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580" w:right="600" w:hanging="336"/>
        <w:spacing w:after="0" w:line="256"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26, 2011</w:t>
      </w:r>
    </w:p>
    <w:p>
      <w:pPr>
        <w:spacing w:after="0" w:line="216" w:lineRule="exact"/>
        <w:rPr>
          <w:sz w:val="24"/>
          <w:szCs w:val="24"/>
          <w:color w:val="auto"/>
        </w:rPr>
      </w:pPr>
    </w:p>
    <w:p>
      <w:pPr>
        <w:ind w:left="580" w:right="80" w:hanging="336"/>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13-3818604</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4820 Eastgate Mall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29, 2011, 34,447,450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26,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40" w:type="dxa"/>
            <w:vAlign w:val="bottom"/>
            <w:gridSpan w:val="8"/>
            <w:vMerge w:val="restart"/>
          </w:tcPr>
          <w:p>
            <w:pPr>
              <w:jc w:val="center"/>
              <w:ind w:right="5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40" w:type="dxa"/>
            <w:vAlign w:val="bottom"/>
            <w:gridSpan w:val="8"/>
            <w:vMerge w:val="continue"/>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40" w:type="dxa"/>
            <w:vAlign w:val="bottom"/>
            <w:gridSpan w:val="2"/>
          </w:tcPr>
          <w:p>
            <w:pPr>
              <w:spacing w:after="0"/>
              <w:rPr>
                <w:sz w:val="24"/>
                <w:szCs w:val="24"/>
                <w:color w:val="auto"/>
              </w:rPr>
            </w:pPr>
          </w:p>
        </w:tc>
        <w:tc>
          <w:tcPr>
            <w:tcW w:w="314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5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December 26, 2010 and June 26, 2011 (unaudited)</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40" w:type="dxa"/>
            <w:vAlign w:val="bottom"/>
            <w:gridSpan w:val="2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for the Three and Six Months Ended June 27, 2010 and June 26, 2011</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8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40" w:type="dxa"/>
            <w:vAlign w:val="bottom"/>
            <w:gridSpan w:val="2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Cash Flows for the Six Months Ended June 27, 2010 and June 26, 2011 (unaudited)</w:t>
              </w:r>
            </w:hyperlink>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tcBorders>
              <w:top w:val="single" w:sz="8" w:color="0000EE"/>
            </w:tcBorders>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64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640" w:type="dxa"/>
            <w:vAlign w:val="bottom"/>
            <w:gridSpan w:val="2"/>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4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67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64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544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67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640" w:type="dxa"/>
            <w:vAlign w:val="bottom"/>
            <w:gridSpan w:val="2"/>
          </w:tcPr>
          <w:p>
            <w:pPr>
              <w:spacing w:after="0"/>
              <w:rPr>
                <w:sz w:val="24"/>
                <w:szCs w:val="24"/>
                <w:color w:val="auto"/>
              </w:rPr>
            </w:pP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24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640" w:type="dxa"/>
            <w:vAlign w:val="bottom"/>
            <w:gridSpan w:val="2"/>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Reserved</w:t>
              </w:r>
            </w:hyperlink>
          </w:p>
        </w:tc>
        <w:tc>
          <w:tcPr>
            <w:tcW w:w="446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6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5.</w:t>
              </w:r>
            </w:hyperlink>
          </w:p>
        </w:tc>
        <w:tc>
          <w:tcPr>
            <w:tcW w:w="64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54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640" w:type="dxa"/>
            <w:vAlign w:val="bottom"/>
            <w:gridSpan w:val="2"/>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Exhibits</w:t>
              </w:r>
            </w:hyperlink>
          </w:p>
        </w:tc>
        <w:tc>
          <w:tcPr>
            <w:tcW w:w="6120" w:type="dxa"/>
            <w:vAlign w:val="bottom"/>
            <w:gridSpan w:val="16"/>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60" w:type="dxa"/>
            <w:vAlign w:val="bottom"/>
            <w:gridSpan w:val="14"/>
          </w:tcPr>
          <w:p>
            <w:pPr>
              <w:jc w:val="center"/>
              <w:ind w:left="4150"/>
              <w:spacing w:after="0"/>
              <w:rPr>
                <w:sz w:val="20"/>
                <w:szCs w:val="20"/>
                <w:color w:val="auto"/>
              </w:rPr>
            </w:pPr>
            <w:r>
              <w:rPr>
                <w:rFonts w:ascii="Arial" w:cs="Arial" w:eastAsia="Arial" w:hAnsi="Arial"/>
                <w:sz w:val="18"/>
                <w:szCs w:val="18"/>
                <w:color w:val="auto"/>
                <w:w w:val="99"/>
              </w:rPr>
              <w:t>2</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40" w:type="dxa"/>
            <w:vAlign w:val="bottom"/>
            <w:gridSpan w:val="2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9"/>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7"/>
          </w:tcPr>
          <w:p>
            <w:pPr>
              <w:jc w:val="center"/>
              <w:ind w:right="980"/>
              <w:spacing w:after="0"/>
              <w:rPr>
                <w:sz w:val="20"/>
                <w:szCs w:val="20"/>
                <w:color w:val="auto"/>
              </w:rPr>
            </w:pPr>
            <w:r>
              <w:rPr>
                <w:rFonts w:ascii="Arial" w:cs="Arial" w:eastAsia="Arial" w:hAnsi="Arial"/>
                <w:sz w:val="18"/>
                <w:szCs w:val="18"/>
                <w:b w:val="1"/>
                <w:bCs w:val="1"/>
                <w:color w:val="auto"/>
                <w:w w:val="93"/>
              </w:rPr>
              <w:t>(Unaudited)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24"/>
                <w:szCs w:val="24"/>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26,</w:t>
            </w:r>
          </w:p>
        </w:tc>
        <w:tc>
          <w:tcPr>
            <w:tcW w:w="0" w:type="dxa"/>
            <w:vAlign w:val="bottom"/>
          </w:tcPr>
          <w:p>
            <w:pPr>
              <w:spacing w:after="0"/>
              <w:rPr>
                <w:sz w:val="1"/>
                <w:szCs w:val="1"/>
                <w:color w:val="auto"/>
              </w:rPr>
            </w:pPr>
          </w:p>
        </w:tc>
      </w:tr>
      <w:tr>
        <w:trPr>
          <w:trHeight w:val="171"/>
        </w:trPr>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w w:val="93"/>
              </w:rPr>
              <w:t>Current assets: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ind w:left="18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ind w:left="180"/>
              <w:spacing w:after="0"/>
              <w:rPr>
                <w:sz w:val="20"/>
                <w:szCs w:val="20"/>
                <w:color w:val="auto"/>
              </w:rPr>
            </w:pPr>
            <w:r>
              <w:rPr>
                <w:rFonts w:ascii="Arial" w:cs="Arial" w:eastAsia="Arial" w:hAnsi="Arial"/>
                <w:sz w:val="18"/>
                <w:szCs w:val="18"/>
                <w:color w:val="auto"/>
              </w:rPr>
              <w:t>Inventoried costs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ind w:left="18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gridSpan w:val="21"/>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1"/>
          </w:tcPr>
          <w:p>
            <w:pPr>
              <w:ind w:left="36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535.5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940" w:type="dxa"/>
            <w:vAlign w:val="bottom"/>
            <w:gridSpan w:val="21"/>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ind w:left="180"/>
              <w:spacing w:after="0"/>
              <w:rPr>
                <w:sz w:val="20"/>
                <w:szCs w:val="20"/>
                <w:color w:val="auto"/>
              </w:rPr>
            </w:pPr>
            <w:r>
              <w:rPr>
                <w:rFonts w:ascii="Arial" w:cs="Arial" w:eastAsia="Arial" w:hAnsi="Arial"/>
                <w:sz w:val="18"/>
                <w:szCs w:val="18"/>
                <w:color w:val="auto"/>
              </w:rPr>
              <w:t>Accrued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tcPr>
          <w:p>
            <w:pPr>
              <w:ind w:left="1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gridSpan w:val="21"/>
          </w:tcPr>
          <w:p>
            <w:pPr>
              <w:ind w:left="360"/>
              <w:spacing w:after="0"/>
              <w:rPr>
                <w:sz w:val="20"/>
                <w:szCs w:val="20"/>
                <w:color w:val="auto"/>
              </w:rPr>
            </w:pPr>
            <w:r>
              <w:rPr>
                <w:rFonts w:ascii="Arial" w:cs="Arial" w:eastAsia="Arial" w:hAnsi="Arial"/>
                <w:sz w:val="18"/>
                <w:szCs w:val="18"/>
                <w:color w:val="auto"/>
              </w:rPr>
              <w:t>Total current liabilities</w:t>
            </w:r>
          </w:p>
        </w:tc>
        <w:tc>
          <w:tcPr>
            <w:tcW w:w="8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-5414645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-5414645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516.3</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r>
      <w:tr>
        <w:trPr>
          <w:trHeight w:val="210"/>
        </w:trPr>
        <w:tc>
          <w:tcPr>
            <w:tcW w:w="8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58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5,000,000 shares authorized Series B Convertible Preferred Stock, $.001 par value, 10,000 shares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outstanding at December 26, 2010 and 0 shares outstanding at June 26, 2011 (liquidation preference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$5.0 million at December 26, 2010) (see note 5)</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$.001 par value, 195,000,000 shares authorized; 18,616,023 and 23,887,142 shares issued and</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December 26, 2010 and June 26, 2011, respectively</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553.5</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619.3</w:t>
            </w: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(383.6)</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(392.3)</w:t>
            </w:r>
          </w:p>
        </w:tc>
      </w:tr>
      <w:tr>
        <w:trPr>
          <w:trHeight w:val="210"/>
        </w:trPr>
        <w:tc>
          <w:tcPr>
            <w:tcW w:w="8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5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ended</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27,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w w:val="96"/>
              </w:rPr>
              <w:t>June 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June 27,</w:t>
            </w:r>
          </w:p>
        </w:tc>
        <w:tc>
          <w:tcPr>
            <w:tcW w:w="240" w:type="dxa"/>
            <w:vAlign w:val="bottom"/>
          </w:tcPr>
          <w:p>
            <w:pPr>
              <w:spacing w:after="0"/>
              <w:rPr>
                <w:sz w:val="10"/>
                <w:szCs w:val="10"/>
                <w:color w:val="auto"/>
              </w:rPr>
            </w:pPr>
          </w:p>
        </w:tc>
        <w:tc>
          <w:tcPr>
            <w:tcW w:w="88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rPr>
              <w:t>June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Product sales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w:t>
            </w:r>
          </w:p>
        </w:tc>
        <w:tc>
          <w:tcPr>
            <w:tcW w:w="6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Merger and acquisition expenses and other</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 from continuing operations</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60"/>
              <w:spacing w:after="0"/>
              <w:rPr>
                <w:sz w:val="20"/>
                <w:szCs w:val="20"/>
                <w:color w:val="auto"/>
              </w:rPr>
            </w:pPr>
            <w:r>
              <w:rPr>
                <w:rFonts w:ascii="Arial" w:cs="Arial" w:eastAsia="Arial" w:hAnsi="Arial"/>
                <w:sz w:val="18"/>
                <w:szCs w:val="18"/>
                <w:color w:val="auto"/>
              </w:rPr>
              <w:t>Net income (loss)</w:t>
            </w:r>
          </w:p>
        </w:tc>
        <w:tc>
          <w:tcPr>
            <w:tcW w:w="6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0"/>
        </w:trPr>
        <w:tc>
          <w:tcPr>
            <w:tcW w:w="52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Basic income (loss) per common share:</w:t>
            </w:r>
          </w:p>
        </w:tc>
        <w:tc>
          <w:tcPr>
            <w:tcW w:w="6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common share</w:t>
            </w:r>
          </w:p>
        </w:tc>
        <w:tc>
          <w:tcPr>
            <w:tcW w:w="6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0.67</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0.68</w:t>
            </w:r>
          </w:p>
        </w:tc>
        <w:tc>
          <w:tcPr>
            <w:tcW w:w="3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2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Diluted income (loss) per common share:</w:t>
            </w:r>
          </w:p>
        </w:tc>
        <w:tc>
          <w:tcPr>
            <w:tcW w:w="6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0.65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60"/>
              <w:spacing w:after="0"/>
              <w:rPr>
                <w:sz w:val="20"/>
                <w:szCs w:val="20"/>
                <w:color w:val="auto"/>
              </w:rPr>
            </w:pPr>
            <w:r>
              <w:rPr>
                <w:rFonts w:ascii="Arial" w:cs="Arial" w:eastAsia="Arial" w:hAnsi="Arial"/>
                <w:sz w:val="18"/>
                <w:szCs w:val="18"/>
                <w:color w:val="auto"/>
              </w:rPr>
              <w:t>Net income (loss) per common share</w:t>
            </w:r>
          </w:p>
        </w:tc>
        <w:tc>
          <w:tcPr>
            <w:tcW w:w="6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0.66</w:t>
            </w:r>
          </w:p>
        </w:tc>
        <w:tc>
          <w:tcPr>
            <w:tcW w:w="3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2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Weighted average common shares outstanding:</w:t>
            </w:r>
          </w:p>
        </w:tc>
        <w:tc>
          <w:tcPr>
            <w:tcW w:w="6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ectPr>
          <w:pgSz w:w="11900" w:h="16838" w:orient="portrait"/>
          <w:cols w:equalWidth="0" w:num="1">
            <w:col w:w="11420"/>
          </w:cols>
          <w:pgMar w:left="240" w:top="140" w:right="239" w:bottom="0" w:gutter="0" w:footer="0" w:header="0"/>
        </w:sectPr>
      </w:pPr>
    </w:p>
    <w:bookmarkStart w:id="3" w:name="page4"/>
    <w:bookmarkEnd w:id="3"/>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Six months</w:t>
            </w: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27,</w:t>
            </w: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26,</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from discontinued operations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Adjustments to reconcile income (loss) from continuing operations to net cash provided by (used in)</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 from continuing operations:</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 to market on swaps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Changes in assets and liabilities, net of acquisitions: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rPr>
              <w:t>Inventoried costs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compensation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rPr>
              <w:t>Income tax receivable and payable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72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restricted cash</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08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credit facility</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Repayment under credit facility</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Net cash flows of continuing operations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cash flows of discontinued operations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wholly owned subsidiaries.</w:t>
      </w:r>
    </w:p>
    <w:p>
      <w:pPr>
        <w:spacing w:after="0" w:line="166"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information as of June 26, 2011 and for the three and six months ended June 27, 2010 and June 26, 2011 is unaudited. The condensed consolidated balance sheet as of December 26, 2010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w:t>
      </w:r>
    </w:p>
    <w:p>
      <w:pPr>
        <w:sectPr>
          <w:pgSz w:w="11900" w:h="16958" w:orient="portrait"/>
          <w:cols w:equalWidth="0" w:num="1">
            <w:col w:w="11420"/>
          </w:cols>
          <w:pgMar w:left="240" w:top="337" w:right="239" w:bottom="0" w:gutter="0" w:footer="0" w:header="0"/>
        </w:sectPr>
      </w:pPr>
    </w:p>
    <w:bookmarkStart w:id="4" w:name="page5"/>
    <w:bookmarkEnd w:id="4"/>
    <w:p>
      <w:pPr>
        <w:spacing w:after="0" w:line="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26, 2010, included in the Company’s Annual Report on Form 10-K, filed with the U.S. Securities and Exchange Commission on March 2, 2011 (the “Form 10-K”). Interim operating results are not necessarily indicative of operating results expected in subsequent periods or for the year as a whole.</w:t>
      </w:r>
    </w:p>
    <w:p>
      <w:pPr>
        <w:spacing w:after="0" w:line="154"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year, with interim fiscal periods ending on the last Sunday of the last month of each calendar quarter. The six months ended June 27, 2010 and June 26, 2011 consisted of 26 week periods. There are 52 calendar weeks in the fiscal years ending on December 26, 2010 and December 25, 2011.</w:t>
      </w:r>
    </w:p>
    <w:p>
      <w:pPr>
        <w:spacing w:after="0" w:line="177" w:lineRule="exact"/>
        <w:rPr>
          <w:sz w:val="20"/>
          <w:szCs w:val="20"/>
          <w:color w:val="auto"/>
        </w:rPr>
      </w:pPr>
    </w:p>
    <w:p>
      <w:pPr>
        <w:ind w:left="680" w:hanging="61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Accounting Standards Updates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Financial Accounting Standards Board </w:t>
      </w:r>
      <w:r>
        <w:rPr>
          <w:rFonts w:ascii="Arial" w:cs="Arial" w:eastAsia="Arial" w:hAnsi="Arial"/>
          <w:sz w:val="18"/>
          <w:szCs w:val="18"/>
          <w:i w:val="1"/>
          <w:iCs w:val="1"/>
          <w:color w:val="auto"/>
        </w:rPr>
        <w:t>(“FASB”)</w:t>
      </w:r>
      <w:r>
        <w:rPr>
          <w:rFonts w:ascii="Arial" w:cs="Arial" w:eastAsia="Arial" w:hAnsi="Arial"/>
          <w:sz w:val="18"/>
          <w:szCs w:val="18"/>
          <w:color w:val="auto"/>
        </w:rPr>
        <w:t xml:space="preserve"> Accounting Standards Updates (“ASU”) including ASU 2011-05 Comprehensive Income, not effective until after December 15, 2011, are not expected to have a material effect on the Company’s consolidated financial position, results of operations or cash flows.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six months ended June 26, 2011 as compared to the significant accounting policies described in the Form 10-K with the following exception: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Comprehensive income consists of (i) net income (loss) and (ii) other related gains and losses affecting stockholders’ equity that, under GAAP, are excluded from net income. For the Company, other comprehensive income (loss) consists solely of unrealized foreign currency translation gains and losses.</w:t>
      </w:r>
    </w:p>
    <w:p>
      <w:pPr>
        <w:spacing w:after="0" w:line="1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outstanding 10% Senior Secured Notes with an aggregate principal amount of $510.0 million which is due on June 1, 2017. The Company pays interest at the rate of 10% per annum semi-annually, in arrears, on June 1 and December 1 of each year. As of June 26, 2011, the principal amount of $510.0 million is outstanding under these notes. In addition, the Company has $26.4 million available under its existing revolving credit agreement. See Note 9 for a complete description of the Company’s debt.</w:t>
      </w:r>
    </w:p>
    <w:p>
      <w:pPr>
        <w:spacing w:after="0" w:line="187" w:lineRule="exact"/>
        <w:rPr>
          <w:sz w:val="20"/>
          <w:szCs w:val="20"/>
          <w:color w:val="auto"/>
        </w:rPr>
      </w:pPr>
    </w:p>
    <w:p>
      <w:pPr>
        <w:ind w:right="580" w:firstLine="648"/>
        <w:spacing w:after="0" w:line="291" w:lineRule="auto"/>
        <w:rPr>
          <w:sz w:val="20"/>
          <w:szCs w:val="20"/>
          <w:color w:val="auto"/>
        </w:rPr>
      </w:pPr>
      <w:r>
        <w:rPr>
          <w:rFonts w:ascii="Arial" w:cs="Arial" w:eastAsia="Arial" w:hAnsi="Arial"/>
          <w:sz w:val="16"/>
          <w:szCs w:val="16"/>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w:t>
      </w:r>
    </w:p>
    <w:p>
      <w:pPr>
        <w:spacing w:after="0" w:line="253" w:lineRule="auto"/>
        <w:rPr>
          <w:sz w:val="20"/>
          <w:szCs w:val="20"/>
          <w:color w:val="auto"/>
        </w:rPr>
      </w:pPr>
      <w:r>
        <w:rPr>
          <w:rFonts w:ascii="Arial" w:cs="Arial" w:eastAsia="Arial" w:hAnsi="Arial"/>
          <w:sz w:val="18"/>
          <w:szCs w:val="18"/>
          <w:color w:val="auto"/>
        </w:rPr>
        <w:t>12 months. The Company’s quarterly and annual operating results have fluctuated in the past and may vary in the future due to a variety of factors, many of which are external to its control. If the conditions in its industry deteriorate,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87"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Certain amounts in the three and six months ended June 27, 2010 condensed consolidated statements of operations have been reclassified to conform to the June 26, 2011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Recent 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March 25, 2011 (the “Acquisition Date”), pursuant to an Agreement and Plan of Merger dated as of February 7, 2011 (the “Herley Merger Agreement”), by and among the Company, Lanza Acquisition Co. (“Herley Merger Sub”) and Herley Industries, Inc. (“Herley”), Herley Merger Sub acquired approximately 13.2 million shares of Herley common stock representing approximately 94% of the total outstanding shares of Herley common stock in a tender offer to purchase all of the outstanding shares of Herley common stock (the “Offer”). The fair value of the non-controlling interest related to Herley as</w:t>
      </w:r>
    </w:p>
    <w:p>
      <w:pPr>
        <w:sectPr>
          <w:pgSz w:w="11900" w:h="16877" w:orient="portrait"/>
          <w:cols w:equalWidth="0" w:num="1">
            <w:col w:w="11420"/>
          </w:cols>
          <w:pgMar w:left="240" w:top="125" w:right="239" w:bottom="0" w:gutter="0" w:footer="0" w:header="0"/>
        </w:sectPr>
      </w:pPr>
    </w:p>
    <w:bookmarkStart w:id="5" w:name="page6"/>
    <w:bookmarkEnd w:id="5"/>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March 25, 2011 was $16.9 million, which represents the market trading price of $19.00 per share multiplied by the approximately 0.9 million shares that were not tendered as of March 25, 2011. On March 30, 2011, following purchases of the non-controlling interest in a subsequent offering period, Herley Merger Sub was merged with and into Herley, with Herley continuing as a wholly owned subsidiary of the Company. The shares of Herley common stock were purchased at a price of $19.00 per share. Accordingly, the Company paid approximately $245.5 million in cash consideration as of March 27, 2011 and as of April 15, 2011 had paid total aggregate cash consideration of $270.7 million in respect of the shares of Herley common stock and certain in-the-money options, which were exercised upon the change in control. In addition, upon completion of the merger,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(“Herley Options”). The Company assumed each Herley Option in accordance with the terms (as in effect as of the date of the Herley Merger Agreement) of the applicable Herley equity plan and the option agreement pursuant to which such Herley Option was granted. The options are exercisable for an aggregate of approximately 0.8 million shares of the Company’s common stock. All options were fully vested upon the change in control and the fair value of the options assumed was $1.9 million. The total aggregate consideration for the purchase of Herley was $272.6 million. In addition, the Company assumed change in control obligations of $4.0 million related to the transaction, the majority of which will be paid in 2011, and combined transaction expenses of $11.1 million.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$13.25 per share in an underwritten public offering. Kratos received gross proceeds of approximately $64.8 million and net proceeds of approximately $61.1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fees and other offering expenses. Kratos used the net proceeds from this offering to fund a portion of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of Herley. In addition, Kratos issued $285.0 million in aggregate principal amount of 10% Senior Secured Notes due 2017 (the “Stage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at a premium of 107% through its wholly owned subsidiary, Acquisition Co. Lanza Parent (the “Stage I Issuer”), on March 25, 2011, in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unregistered offering pursuant to Rule 144A and Regulation S under the Securities Act, to finance the acquisition of Herley. On April 4, 2011, after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Herley was complete, the Stage I Issuer was merged with and into Kratos, all assets and liabilities of the Stage I Issuer became assets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of Kratos. See Note 9 for a complete description of the Company’s debt.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 security applications. Herley is part of the Company’s Kratos Government Solutions (“KGS”) segment.</w:t>
      </w:r>
    </w:p>
    <w:p>
      <w:pPr>
        <w:spacing w:after="0" w:line="16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18"/>
                <w:szCs w:val="18"/>
                <w:color w:val="auto"/>
              </w:rPr>
            </w:pPr>
          </w:p>
        </w:tc>
      </w:tr>
      <w:tr>
        <w:trPr>
          <w:trHeight w:val="210"/>
        </w:trPr>
        <w:tc>
          <w:tcPr>
            <w:tcW w:w="6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25, 2011, the expected fair value of accounts receivable approximated the historical cost. The gross accounts receivable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$39.3 million, of which $0.2 million is not expected to be collectible. There were no contingent liabilities associated with the acquisition of Herley.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initially recorded $47.9 million of inventory and $30.4 million in property and equipment. The Company decreased the value of acquired inventory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$44.5 million and increased the value of acquired property and equipment to $34.0 million based on its updated preliminary valuations.</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amounts of revenue and operating income of Herley included in the Company’s condensed consolidated statement of operations for both the three and six months ended June 26, 2011 was $51.8 million and $6.5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December 15, 2010, the Company acquired Henry Bros. Electronics, Inc. (“HBE”) in a cash merger for a purchase price of $56.6 million, of which $54.9 million was paid in cash and $1.7 million reflects the fair value of options to purchase common stock of HBE that were assumed by the Company and converted into options to purchase common stock of the Company. Upon completion of the merger, holders of HBE common stock received $8.20 in cash for each share of HBE common stock held by them immediately prior to the closing of the merger. In addition, upon completion of the merger, all options to purchase HBE common stock were assumed by the Company (the “HBE Options”) and converted into options to purchase common stock of the</w:t>
      </w:r>
    </w:p>
    <w:p>
      <w:pPr>
        <w:sectPr>
          <w:pgSz w:w="11900" w:h="16941" w:orient="portrait"/>
          <w:cols w:equalWidth="0" w:num="1">
            <w:col w:w="11420"/>
          </w:cols>
          <w:pgMar w:left="240" w:top="125" w:right="239" w:bottom="0" w:gutter="0" w:footer="0" w:header="0"/>
        </w:sectPr>
      </w:pPr>
    </w:p>
    <w:bookmarkStart w:id="6" w:name="page7"/>
    <w:bookmarkEnd w:id="6"/>
    <w:p>
      <w:pPr>
        <w:ind w:right="80"/>
        <w:spacing w:after="0" w:line="312" w:lineRule="auto"/>
        <w:rPr>
          <w:sz w:val="20"/>
          <w:szCs w:val="20"/>
          <w:color w:val="auto"/>
        </w:rPr>
      </w:pPr>
      <w:r>
        <w:rPr>
          <w:rFonts w:ascii="Arial" w:cs="Arial" w:eastAsia="Arial" w:hAnsi="Arial"/>
          <w:sz w:val="16"/>
          <w:szCs w:val="16"/>
          <w:color w:val="auto"/>
        </w:rPr>
        <w:t>Company, entitling the holders thereof to receive 0.7715 shares of common stock of the Company for each share of HBE common stock underlying the HBE Options. The HBE Options will be exercisable for an aggregate of approximately 0.4 million shares of common stock of the Company. The fair value of unvested HBE Options which are related to future service will be expensed as the service is performed over a weighted average vesting period of 2.5 years.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HBE is a leading provider of homeland security solutions, products, and system integration services, including the design, engineering and operation of command and control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Department of Defense (“DoD”) agencies, nuclear power generation facilities, state government and municipality related agencies, major national airports, major harbors, railways, tunnel systems, energy centers, power plants, and related infrastructure. HBE is part of Kratos’ Public Safety &amp; Security (“PSS”) segment.</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HBE has been in business for over 50 years and has established relationships with manufacturing partners, industry colleagues, and customers demanding some of the most sophisticated security solutions available. The Company has a national footprint that includes offices in New York, New Jersey, Virginia, Maryland, Texas, Arizona, Colorado and California. The combination of the Company’s existing PSS businesses, with one of the leading homeland security solutions and high end security system design and engineering services providers in the industry today, strategically strengthens the Company’s overall capabilities and enhances its customer offerings and overall contract portfolio.</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HBE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assets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December 15, 2010, the expected fair value of accounts receivable approximated the historical cost. The gross accounts receivable was $28.6 million, of which $0.9 million is not expected to be collectible.</w:t>
      </w:r>
    </w:p>
    <w:p>
      <w:pPr>
        <w:spacing w:after="0" w:line="170"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amounts of revenue and operating income of HBE included in the Company’s condensed consolidated statement of operations for the three and six months ended June 26, 2011 are $16.6 million and $33.4 million, and $1.1 million and $2.6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7, 2010, the Company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 SCT is a privately-held provider of national security related command and control center, law enforcement, military aviation and data center products, shelters and solutions for the DoD, National Security agencies and related customers. SCT also provides products and solutions for specialized war fighter and critical asymmetric warfare related missions. SCT is part of the KGS segment.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Founded in 2002 and headquartered in Walterboro, South Carolina, SCT designs, engineers, manufactures and delivers various products, shelters and solutions used primarily by the war fighter and first responder in fulfilling their respective national security missions. Representative end customers and program locations include the United States Army, Marine Corps, Special Operations Command, Space and Naval Warfare Systems Center, Fort Bragg, Fort Lewis, Fort Bliss, Fort McGregor, Fort Irwin, Fort Stewart, the Border Patrol and the National Guard. SCT is known for its superior design, engineering,</w:t>
      </w:r>
    </w:p>
    <w:p>
      <w:pPr>
        <w:sectPr>
          <w:pgSz w:w="11900" w:h="16838" w:orient="portrait"/>
          <w:cols w:equalWidth="0" w:num="1">
            <w:col w:w="11400"/>
          </w:cols>
          <w:pgMar w:left="240" w:top="125" w:right="259" w:bottom="0" w:gutter="0" w:footer="0" w:header="0"/>
        </w:sectPr>
      </w:pPr>
    </w:p>
    <w:bookmarkStart w:id="7" w:name="page8"/>
    <w:bookmarkEnd w:id="7"/>
    <w:p>
      <w:pPr>
        <w:spacing w:after="0" w:line="1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construction and on schedule and on budget delivery of cost effective products and solutions that meet critical and special mission national security and asymmetric warfare requirements.</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Pursuant to the terms of the SCT Agreement, upon achievement of certain earnings before interest, taxes, depreciation, and amortization (“EBITDA”) amounts in 2011, 2012 and 2013, the Company will pay the former stockholders of SCT certain additional performance-based consideration (“SCT Contingent Consideration”). The potential undiscounted amount of all future SCT Contingent Consideration that may be payable by the Company under the SCT Agreement is between zero and $3.5 million.</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The fair value of the SCT Contingent Consideration of $1.2 million was estimated by applying the income approach, which is based on significant inputs that are not observable in the market, which </w:t>
      </w:r>
      <w:r>
        <w:rPr>
          <w:rFonts w:ascii="Arial" w:cs="Arial" w:eastAsia="Arial" w:hAnsi="Arial"/>
          <w:sz w:val="18"/>
          <w:szCs w:val="18"/>
          <w:i w:val="1"/>
          <w:iCs w:val="1"/>
          <w:color w:val="auto"/>
        </w:rPr>
        <w:t>FASB Accounting Standards Codification (“ASC”) Topic 820, Fair Value Measurements and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820”) </w:t>
      </w:r>
      <w:r>
        <w:rPr>
          <w:rFonts w:ascii="Arial" w:cs="Arial" w:eastAsia="Arial" w:hAnsi="Arial"/>
          <w:sz w:val="18"/>
          <w:szCs w:val="18"/>
          <w:color w:val="auto"/>
        </w:rPr>
        <w:t>refers to as Level 3 inputs. Key assumptions include a discount rate of 6.1%, a market participant cost of debt at the date of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probability-adjusted levels for EBITDA. Any change in the fair value of the SCT Contingent Consideration subsequent to December 7, 2010, including changes from events after such date, will be recognized in earnings in the period the estimated fair value changes. The SCT Contingent Consideration as of June 26, 2011 of $1.2 million is reflected in other current liabilities and long-term liabilities as $0.1 million and $1.1 million, respectively, in the consolidated balance sheet.</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products and solutions that meet critical and special mission national security and asymmetric warfare requirements. It will also enable the Company to realize significant cross selling opportunities, and increase its sales of higher margin, fixed price products.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SCT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of December 7, 2010, the expected fair value of accounts receivable approximated the historical cost. The gross accounts receivable was $0.2 million, all of which is expected to be collectible.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amounts of revenue and operating income of SCT included in the Company’s condensed consolidated statement of operations for the three and six months ended June 26, 2011 are $1.9 million and $4.5 million, and $0.3 million and $0.8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9, 2010, the Company acquired DEI Services Corporation (“DEI”), in a cash merger valued at approximately $14.0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 million was paid in cash at closing and approximately $5.0 million of which represented the acquisition date fair value of additional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which $0.4 million was achieved and paid in September 2010. DEI is part of the KGS segment.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terms of the agreement and plan of merger (the “DEI Agreement”), upon achievement of certain cash receipts, revenue, EBITDA and backlog amounts in 2010, 2011 and 2012, the Company will be obligated to pay certain additional contingent consideration (the “DEI Contingent Consideration”). The potential undiscounted amount of all future DEI Contingent Consideration that may be payable by the Company under the DEI Agreement is between zero and $12.3 million. The DEI Contingent Consideration will be reduced in the event certain anticipated cash receipts are not collected within agreed upon time periods, which could decrease the future payments by approximately $8.6 million.</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fair value of the DEI Contingent Consideration of $5.0 million was estimated by applying the income approach, which is based on significant inputs that are not observable in the market, which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refers to as Level 3 inputs. Key assumptions include a discount rate of 5.8%, a market participant cost of debt at the date of acquisition, and probability-adjusted levels of cash receipts, revenue, EBITDA and backlog. Any change in the fair value of the DEI Contingent Consideration subsequent to August 9, 2010, including changes from events after such date, such as changes in the meeting of performance goals, will be recognized in earnings in the period the estimated fair value changes. The balance of the DEI Contingent Consideration as of June 26, 2011 of $4.6 million is reflected in other current liabilities and long-term liabilities as $2.2 million and $2.4 million, respectively, in the consolidated balance sheet.</w:t>
      </w:r>
    </w:p>
    <w:p>
      <w:pPr>
        <w:spacing w:after="0" w:line="18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w:t>
      </w:r>
    </w:p>
    <w:p>
      <w:pPr>
        <w:sectPr>
          <w:pgSz w:w="11900" w:h="16975" w:orient="portrait"/>
          <w:cols w:equalWidth="0" w:num="1">
            <w:col w:w="11420"/>
          </w:cols>
          <w:pgMar w:left="240" w:top="125" w:right="239" w:bottom="0" w:gutter="0" w:footer="0" w:header="0"/>
        </w:sectPr>
      </w:pPr>
    </w:p>
    <w:bookmarkStart w:id="8" w:name="page9"/>
    <w:bookmarkEnd w:id="8"/>
    <w:p>
      <w:pPr>
        <w:ind w:right="640"/>
        <w:spacing w:after="0" w:line="277" w:lineRule="auto"/>
        <w:rPr>
          <w:sz w:val="20"/>
          <w:szCs w:val="20"/>
          <w:color w:val="auto"/>
        </w:rPr>
      </w:pPr>
      <w:r>
        <w:rPr>
          <w:rFonts w:ascii="Arial" w:cs="Arial" w:eastAsia="Arial" w:hAnsi="Arial"/>
          <w:sz w:val="18"/>
          <w:szCs w:val="18"/>
          <w:color w:val="auto"/>
        </w:rPr>
        <w:t>the Company’s workforce learning, performance and training solutions to support the warfighter as well as its other defense, security and government customers.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DEI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as part of the DEI transaction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As of August 9, 2010, the expected fair value of accounts receivable approximated the historical cost. The gross accounts receivable was $6.9 million, all of which is expected to be collectible.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amounts of revenue and operating income of DEI included in the Company’s condensed consolidated statement of operations for the three and six months ended June 26, 2011 are $6.3 million and $10.6 million, and $1.6 million and $2.3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19, 2010, the Company acquired Gichner Holdings, Inc. (“Gichner”) pursuant to the Stock Purchase Agreement (the “Gichner Agreement”), dated as of April 12, 2010, by and between the Company and the stockholders of Gichner, in a cash for stock transaction valued at approximately</w:t>
      </w:r>
    </w:p>
    <w:p>
      <w:pPr>
        <w:ind w:right="180"/>
        <w:spacing w:after="0" w:line="292" w:lineRule="auto"/>
        <w:rPr>
          <w:sz w:val="20"/>
          <w:szCs w:val="20"/>
          <w:color w:val="auto"/>
        </w:rPr>
      </w:pPr>
      <w:r>
        <w:rPr>
          <w:rFonts w:ascii="Arial" w:cs="Arial" w:eastAsia="Arial" w:hAnsi="Arial"/>
          <w:sz w:val="16"/>
          <w:szCs w:val="16"/>
          <w:color w:val="auto"/>
        </w:rPr>
        <w:t>$133.0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 Gichner is part of the KGS segment.</w:t>
      </w:r>
    </w:p>
    <w:p>
      <w:pPr>
        <w:spacing w:after="0" w:line="16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weapons system sustainment; Command, Control, Communications, Computing, Combat Systems, Intelligence, Surveillance and Reconnaissance (“C5ISR”); military preset/reset; and foreign military sales. It will also enable the Company to realize significant cross selling opportunities, pursue new and larger contracts and increase its sales of higher margin, fixed price products.</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Upon completion of the Gichner transaction, the Company deposited $8.1 million of the purchase price (“the holdback”) into an escrow account as security for Gichner’s indemnification obligations as set forth in the Gichner Agreement. In addition, the Gichner Agreement provided that the purchase price would be (i) increased on a dollar for dollar basis if the working capital on the closing date (as defined in the Gichner Agreement) exceeded $17.5 million or</w:t>
      </w:r>
    </w:p>
    <w:p>
      <w:pPr>
        <w:ind w:right="180" w:firstLine="8"/>
        <w:spacing w:after="0" w:line="277"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decreased on a dollar for dollar basis if the working capital was less than $17.1 million. The Company and Altus Capital Partners, Inc., the sellers’ representative under the Gichner Agreement, have agreed to a working capital adjustment of $0.6 million owed to the Company. In May 2011 the Company paid $7.1 million of the holdback and will pay the remaining amount of the holdback owed of $0.4 million in the third quarter of 2011.</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Gichner transaction has been accounted for using the acquisition method of accounting which requires, among other things, that the assets acquired and liabilities assumed be recognized at their fair values as of the merger date. Due to the working capital adjustment discussed above, the Company retrospectively recorded purchase price adjustments at the acquisition date to decrease current liabilities by $0.6 million and reduce net deferred tax assets by $0.4 million, resulting in a $0.2 million reduction to the original goodwill recorded of $68.4 million. The following table summarizes the fair values of major assets acquired and liabilities assumed, including the retrospective adjustments, as part of the Gichner transaction (in millions):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As of May 19, 2010, the expected fair value of accounts receivable approximated the historical cost. The gross accounts receivable was $15.6 million, of which $0.4 million is not expected to be collectible.</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Gichner has two primary areas of contingent liabilities: environmental and uncertain tax liabilities. Additionally, Gichner is involved in various commercial disputes and employment matters. The majority of the contingent liabilities have been recorded at fair value in the allocation of acquired assets and liabilities or purchase price, aside from those pertaining to uncertainty in income taxes which are an exception to the fair value basis of accounting; however certain environmental matters that are inherently legal contingencies in nature are recorded at the probable and estimable amount. As of the acquisition date approximately $0.2 million has been recorded for probable and estimable environmental and employment liabilities.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amounts of revenue and operating income of Gichner included in the Company’s condensed consolidated statement of operations for the three and six months ended June 26, 2011 are $31.8 million and $65.8 million, and $1.0 million and $2.8 million, respectively. For the three and six months ended June 27, 2010, the amounts of revenue and operating income included in the condensed consolidated statement of operations was $20.0 million and $2.1 million, respectively.</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FASB ASC Topic 805, Business Combinations,</w:t>
      </w:r>
      <w:r>
        <w:rPr>
          <w:rFonts w:ascii="Arial" w:cs="Arial" w:eastAsia="Arial" w:hAnsi="Arial"/>
          <w:sz w:val="16"/>
          <w:szCs w:val="16"/>
          <w:color w:val="auto"/>
        </w:rPr>
        <w:t xml:space="preserve"> (“Topic 805”) the allocation of the purchase price for the Company’s acquisitions of DEI, SCT, HBE and Herley are subject to adjustment during the measurement period after the respective closing dates when additional information on asset and liability valuations become available. The above estimated fair values of assets acquired and liabilities assumed are provisional and are based on the information that was available as of the respective acquisition dates to estimate the fair value of assets acquired and liabilities assumed. Measurement period adjustments reflect new information obtained about facts and circumstances that existed as of the respective acquisition dates. The Company believes that information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these transactions, including, intangible assets, inventory, property and equipment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following tables summarize the supplemental statements of operations information on an unaudited pro forma basis as if the acquisitions of Herley, HBE, SCT, DEI, and Gichner had occurred on December 28, 2009, and include adjustments that were directly attributable to the foregoing transactions or were not expected to have a continuing impact on the Company. All acquisitions were included in the Company’s results of operations for the three months ended June 26, 2011. There are no material, nonrecurring pro forma adjustments directly attributable to the business combinations included in the reported pro forma revenue and earnings for 2010 or 2011.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amounts, except per share amounts are in millions):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For the Three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0"/>
              </w:rPr>
              <w:t>June 27, 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June 27, 2010</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8"/>
              </w:rPr>
              <w:t>June 26,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 forma net loss before tax</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income (loss) attributable to the registrant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pro forma loss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pro forma results for the three and six month periods ended June 27, 2010 include $8.8 million of acquisition related expenses. The pro forma results for the six months ended June 26, 2011include $18.7 million of acquisition related expenses. The pro forma financial information also reflects pro forma adjustments for the additional amortization associated with finite lived intangible assets acquired, additional incremental interest expense, deferred financing costs related to the financing undertaken for the Gichner and Herley transactions, the change in stock compensation expense as a result of the exercise of stock options and restricted stock immediately prior to closing of the Herley and HBE transactions offset by stock-based compensation expense for stock options assumed, and the tax effect of the increased interest expense and intangible amortization. The weighted average common shares also reflect the issuance of 2.5 million shares in October 2010 and the issuance of 4.9 million shares in February 2011 for the HBE and Herly acquisitions. These adjustments are as follows (in millions except per share data):</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For the Three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0"/>
              </w:rPr>
              <w:t>June 27, 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June 27, 2010</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8"/>
              </w:rPr>
              <w:t>June 26,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change in stock compensation expense</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interest expense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in weighted average common shares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outstanding for shares issued and not already included</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in the weighted average common shares outstanding</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as of the last day of each fiscal year or when evidence of potential impairment exists.</w:t>
      </w:r>
    </w:p>
    <w:p>
      <w:pPr>
        <w:sectPr>
          <w:pgSz w:w="11900" w:h="16942" w:orient="portrait"/>
          <w:cols w:equalWidth="0" w:num="1">
            <w:col w:w="11380"/>
          </w:cols>
          <w:pgMar w:left="240" w:top="341" w:right="279" w:bottom="0" w:gutter="0" w:footer="0" w:header="0"/>
        </w:sectPr>
      </w:pPr>
    </w:p>
    <w:bookmarkStart w:id="10" w:name="page11"/>
    <w:bookmarkEnd w:id="10"/>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KGS and PSS.</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820</w:t>
      </w:r>
      <w:r>
        <w:rPr>
          <w:rFonts w:ascii="Arial" w:cs="Arial" w:eastAsia="Arial" w:hAnsi="Arial"/>
          <w:sz w:val="18"/>
          <w:szCs w:val="18"/>
          <w:color w:val="auto"/>
        </w:rPr>
        <w:t>). The Company also considers its market capitalization based upon an average of the stock price prior to and subsequent to the date the analysis is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and reconciles the fair value of the Company’s reporting units to the Company’s market capitalization assuming a control premium. If the book value exceeds the estimated fair value for a business, a potential impairment is indicated and Topic 350 prescribes the approach for determining the impairment amount, if 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26, 2011 are as follows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Public</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Government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Safety &amp;</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2010</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Retrospective adjustments to the Gichner acquisition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Balance as of December 26, 2010 after retrospective adjustments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26, 2011</w:t>
            </w: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accumulated impairment losses as of December 26, 2010 and June 26, 2011 were $147.1 million associated with the KGS segment and $18.3 million associated with the PSS segment.</w:t>
      </w:r>
    </w:p>
    <w:p>
      <w:pPr>
        <w:spacing w:after="0" w:line="166"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finite-life intangible assets subject to amortization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As of December 26, 2010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6"/>
              </w:rPr>
              <w:t>As of June 26, 2011</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Gross</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900" w:type="dxa"/>
            <w:vAlign w:val="bottom"/>
          </w:tcPr>
          <w:p>
            <w:pPr>
              <w:jc w:val="center"/>
              <w:ind w:right="175"/>
              <w:spacing w:after="0" w:line="119"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900" w:type="dxa"/>
            <w:vAlign w:val="bottom"/>
          </w:tcPr>
          <w:p>
            <w:pPr>
              <w:jc w:val="center"/>
              <w:ind w:right="15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finite-lived intangible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41.5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24.5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Developed technology and technical</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know-how</w:t>
            </w:r>
          </w:p>
        </w:tc>
        <w:tc>
          <w:tcPr>
            <w:tcW w:w="7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7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3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to the finite-life intangible assets listed in the table above, the Company has $24.5 million of indefinite-life intangible assets consisting of trade names at both December 26, 2010 and June 26, 2011.</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Consolidated amortization expense related to intangible assets subject to amortization was $2.0 million and $9.2 million for the three months ended June 27, 2010 and June 26, 2011, respectively, and $3.3 million and $12.6 million for the six months ended June 27, 2010 and June 26, 2011,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future amortization expense of purchased intangible assets with finite lives as of June 26, 2011 is as follows (in millions):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50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(remaining six months)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0"/>
        </w:trPr>
        <w:tc>
          <w:tcPr>
            <w:tcW w:w="8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w:t>
      </w:r>
    </w:p>
    <w:p>
      <w:pPr>
        <w:sectPr>
          <w:pgSz w:w="11900" w:h="16939" w:orient="portrait"/>
          <w:cols w:equalWidth="0" w:num="1">
            <w:col w:w="11420"/>
          </w:cols>
          <w:pgMar w:left="240" w:top="341" w:right="239" w:bottom="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t>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7"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26,</w:t>
            </w:r>
          </w:p>
        </w:tc>
        <w:tc>
          <w:tcPr>
            <w:tcW w:w="2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26,</w:t>
            </w:r>
          </w:p>
        </w:tc>
      </w:tr>
      <w:tr>
        <w:trPr>
          <w:trHeight w:val="171"/>
        </w:trPr>
        <w:tc>
          <w:tcPr>
            <w:tcW w:w="6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Supplies and other</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inventoried costs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 customer advances and progress payments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inventoried costs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27, 2010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26, 2011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Additional paid-in-capital from issuance of common stock</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Employee stock purchase plan and restricted stock units settled in cash</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warrants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of stock options assumed in acquisitions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 at end of period</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60" w:type="dxa"/>
            <w:vAlign w:val="bottom"/>
            <w:vMerge w:val="restart"/>
          </w:tcPr>
          <w:p>
            <w:pPr>
              <w:ind w:left="432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prior reporting periods, the Company had two classes of outstanding stock, Series B Convertible Preferred Stock and common stock. On March 8, 2011, all of the 10,000 shares of the previously issued and outstanding shares of Series B Convertible Preferred Stock were redeemed for 100,000 shares of common stock. Common stock issued by the Company for the six months ended June 27, 2010 and June 26, 2011, was as follows (in millions):</w:t>
      </w:r>
    </w:p>
    <w:p>
      <w:pPr>
        <w:spacing w:after="0" w:line="12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602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602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27, 2010</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26, 2011</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w w:val="99"/>
              </w:rPr>
              <w:t>Stock issued for employee stock purchase plan, stock options and restricted</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stock units exercised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B Convertible Preferred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Common stock issued for cash</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basic and diluted earnings per share were as follows:</w:t>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earnings per share)</w:t>
      </w:r>
    </w:p>
    <w:p>
      <w:pPr>
        <w:spacing w:after="0" w:line="25" w:lineRule="exact"/>
        <w:rPr>
          <w:sz w:val="20"/>
          <w:szCs w:val="20"/>
          <w:color w:val="auto"/>
        </w:rPr>
      </w:pPr>
    </w:p>
    <w:p>
      <w:pPr>
        <w:ind w:left="180" w:right="560" w:hanging="179"/>
        <w:spacing w:after="0" w:line="249" w:lineRule="auto"/>
        <w:rPr>
          <w:sz w:val="20"/>
          <w:szCs w:val="20"/>
          <w:color w:val="auto"/>
        </w:rPr>
      </w:pPr>
      <w:r>
        <w:rPr>
          <w:rFonts w:ascii="Arial" w:cs="Arial" w:eastAsia="Arial" w:hAnsi="Arial"/>
          <w:sz w:val="18"/>
          <w:szCs w:val="18"/>
          <w:color w:val="auto"/>
        </w:rPr>
        <w:t>Income (loss) from continuing operations available for common shareholders(A)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outstanding shares of common stock(B)</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Dilutive effect of employee stock options and awards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gridSpan w:val="4"/>
          </w:tcPr>
          <w:p>
            <w:pPr>
              <w:jc w:val="center"/>
              <w:ind w:left="561"/>
              <w:spacing w:after="0"/>
              <w:rPr>
                <w:sz w:val="20"/>
                <w:szCs w:val="20"/>
                <w:color w:val="auto"/>
              </w:rPr>
            </w:pPr>
            <w:r>
              <w:rPr>
                <w:rFonts w:ascii="Arial" w:cs="Arial" w:eastAsia="Arial" w:hAnsi="Arial"/>
                <w:sz w:val="14"/>
                <w:szCs w:val="14"/>
                <w:b w:val="1"/>
                <w:bCs w:val="1"/>
                <w:color w:val="auto"/>
                <w:w w:val="96"/>
              </w:rPr>
              <w:t>For the Three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ind w:left="740"/>
              <w:spacing w:after="0"/>
              <w:rPr>
                <w:sz w:val="20"/>
                <w:szCs w:val="20"/>
                <w:color w:val="auto"/>
              </w:rPr>
            </w:pPr>
            <w:r>
              <w:rPr>
                <w:rFonts w:ascii="Arial" w:cs="Arial" w:eastAsia="Arial" w:hAnsi="Arial"/>
                <w:sz w:val="14"/>
                <w:szCs w:val="14"/>
                <w:b w:val="1"/>
                <w:bCs w:val="1"/>
                <w:color w:val="auto"/>
                <w:w w:val="96"/>
              </w:rPr>
              <w:t>For the Six</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540" w:type="dxa"/>
            <w:vAlign w:val="bottom"/>
            <w:gridSpan w:val="4"/>
          </w:tcPr>
          <w:p>
            <w:pPr>
              <w:jc w:val="center"/>
              <w:ind w:left="561"/>
              <w:spacing w:after="0"/>
              <w:rPr>
                <w:sz w:val="20"/>
                <w:szCs w:val="20"/>
                <w:color w:val="auto"/>
              </w:rPr>
            </w:pPr>
            <w:r>
              <w:rPr>
                <w:rFonts w:ascii="Arial" w:cs="Arial" w:eastAsia="Arial" w:hAnsi="Arial"/>
                <w:sz w:val="14"/>
                <w:szCs w:val="14"/>
                <w:b w:val="1"/>
                <w:bCs w:val="1"/>
                <w:color w:val="auto"/>
                <w:w w:val="93"/>
              </w:rPr>
              <w:t>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ind w:left="62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19"/>
        </w:trPr>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June 27,</w:t>
            </w: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w w:val="96"/>
              </w:rPr>
              <w:t>June 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June 27,</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June 26,</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23.8</w:t>
            </w:r>
          </w:p>
        </w:tc>
        <w:tc>
          <w:tcPr>
            <w:tcW w:w="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ind w:left="620"/>
              <w:spacing w:after="0" w:line="182" w:lineRule="exact"/>
              <w:rPr>
                <w:sz w:val="20"/>
                <w:szCs w:val="20"/>
                <w:color w:val="auto"/>
              </w:rPr>
            </w:pPr>
            <w:r>
              <w:rPr>
                <w:rFonts w:ascii="Arial" w:cs="Arial" w:eastAsia="Arial" w:hAnsi="Arial"/>
                <w:sz w:val="18"/>
                <w:szCs w:val="18"/>
                <w:color w:val="auto"/>
                <w:w w:val="79"/>
              </w:rPr>
              <w:t>16.0</w:t>
            </w:r>
          </w:p>
        </w:tc>
        <w:tc>
          <w:tcPr>
            <w:tcW w:w="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22.6</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-136525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-574040</wp:posOffset>
            </wp:positionV>
            <wp:extent cx="724662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2">
            <w:col w:w="5180" w:space="720"/>
            <w:col w:w="5560"/>
          </w:cols>
          <w:pgMar w:left="240" w:top="125" w:right="19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Dilutive effect of contingently issuable shares</w:t>
            </w: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and common stock equivalents(C)</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Basic(A/B)</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0.69</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Diluted(A/C)</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0.65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shares were excluded from the calculation of diluted income per share because their inclusion would have been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left="763"/>
              <w:spacing w:after="0"/>
              <w:rPr>
                <w:sz w:val="20"/>
                <w:szCs w:val="20"/>
                <w:color w:val="auto"/>
              </w:rPr>
            </w:pPr>
            <w:r>
              <w:rPr>
                <w:rFonts w:ascii="Arial" w:cs="Arial" w:eastAsia="Arial" w:hAnsi="Arial"/>
                <w:sz w:val="14"/>
                <w:szCs w:val="14"/>
                <w:b w:val="1"/>
                <w:bCs w:val="1"/>
                <w:color w:val="auto"/>
                <w:w w:val="96"/>
              </w:rPr>
              <w:t>For the Three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center"/>
              <w:ind w:left="763"/>
              <w:spacing w:after="0"/>
              <w:rPr>
                <w:sz w:val="20"/>
                <w:szCs w:val="20"/>
                <w:color w:val="auto"/>
              </w:rPr>
            </w:pPr>
            <w:r>
              <w:rPr>
                <w:rFonts w:ascii="Arial" w:cs="Arial" w:eastAsia="Arial" w:hAnsi="Arial"/>
                <w:sz w:val="14"/>
                <w:szCs w:val="14"/>
                <w:b w:val="1"/>
                <w:bCs w:val="1"/>
                <w:color w:val="auto"/>
                <w:w w:val="93"/>
              </w:rPr>
              <w:t>For the Six</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63"/>
              <w:spacing w:after="0"/>
              <w:rPr>
                <w:sz w:val="20"/>
                <w:szCs w:val="20"/>
                <w:color w:val="auto"/>
              </w:rPr>
            </w:pPr>
            <w:r>
              <w:rPr>
                <w:rFonts w:ascii="Arial" w:cs="Arial" w:eastAsia="Arial" w:hAnsi="Arial"/>
                <w:sz w:val="14"/>
                <w:szCs w:val="14"/>
                <w:b w:val="1"/>
                <w:bCs w:val="1"/>
                <w:color w:val="auto"/>
                <w:w w:val="93"/>
              </w:rPr>
              <w:t>Months Ended</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743"/>
              <w:spacing w:after="0"/>
              <w:rPr>
                <w:sz w:val="20"/>
                <w:szCs w:val="20"/>
                <w:color w:val="auto"/>
              </w:rPr>
            </w:pPr>
            <w:r>
              <w:rPr>
                <w:rFonts w:ascii="Arial" w:cs="Arial" w:eastAsia="Arial" w:hAnsi="Arial"/>
                <w:sz w:val="14"/>
                <w:szCs w:val="14"/>
                <w:b w:val="1"/>
                <w:bCs w:val="1"/>
                <w:color w:val="auto"/>
                <w:w w:val="93"/>
              </w:rPr>
              <w:t>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740" w:type="dxa"/>
            <w:vAlign w:val="bottom"/>
            <w:gridSpan w:val="3"/>
          </w:tcPr>
          <w:p>
            <w:pPr>
              <w:ind w:left="320"/>
              <w:spacing w:after="0" w:line="119" w:lineRule="exact"/>
              <w:rPr>
                <w:sz w:val="20"/>
                <w:szCs w:val="20"/>
                <w:color w:val="auto"/>
              </w:rPr>
            </w:pPr>
            <w:r>
              <w:rPr>
                <w:rFonts w:ascii="Arial" w:cs="Arial" w:eastAsia="Arial" w:hAnsi="Arial"/>
                <w:sz w:val="13"/>
                <w:szCs w:val="13"/>
                <w:b w:val="1"/>
                <w:bCs w:val="1"/>
                <w:color w:val="auto"/>
              </w:rPr>
              <w:t>June 27,</w:t>
            </w:r>
          </w:p>
        </w:tc>
        <w:tc>
          <w:tcPr>
            <w:tcW w:w="840" w:type="dxa"/>
            <w:vAlign w:val="bottom"/>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June 26,</w:t>
            </w:r>
          </w:p>
        </w:tc>
        <w:tc>
          <w:tcPr>
            <w:tcW w:w="280" w:type="dxa"/>
            <w:vAlign w:val="bottom"/>
          </w:tcPr>
          <w:p>
            <w:pPr>
              <w:spacing w:after="0"/>
              <w:rPr>
                <w:sz w:val="10"/>
                <w:szCs w:val="10"/>
                <w:color w:val="auto"/>
              </w:rPr>
            </w:pPr>
          </w:p>
        </w:tc>
        <w:tc>
          <w:tcPr>
            <w:tcW w:w="1720" w:type="dxa"/>
            <w:vAlign w:val="bottom"/>
            <w:gridSpan w:val="3"/>
          </w:tcPr>
          <w:p>
            <w:pPr>
              <w:ind w:left="320"/>
              <w:spacing w:after="0" w:line="119" w:lineRule="exact"/>
              <w:rPr>
                <w:sz w:val="20"/>
                <w:szCs w:val="20"/>
                <w:color w:val="auto"/>
              </w:rPr>
            </w:pPr>
            <w:r>
              <w:rPr>
                <w:rFonts w:ascii="Arial" w:cs="Arial" w:eastAsia="Arial" w:hAnsi="Arial"/>
                <w:sz w:val="13"/>
                <w:szCs w:val="13"/>
                <w:b w:val="1"/>
                <w:bCs w:val="1"/>
                <w:color w:val="auto"/>
              </w:rPr>
              <w:t>June 27,</w:t>
            </w:r>
          </w:p>
        </w:tc>
        <w:tc>
          <w:tcPr>
            <w:tcW w:w="840" w:type="dxa"/>
            <w:vAlign w:val="bottom"/>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June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6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140" w:type="dxa"/>
            <w:vAlign w:val="bottom"/>
          </w:tcPr>
          <w:p>
            <w:pPr>
              <w:jc w:val="right"/>
              <w:ind w:right="343"/>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6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Shares of common stock from convertible debt</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26, 2010, the Company had $12.4 million of unrecognized tax benefits that if recognized would affect the effective tax rate, subject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possible offset by an increase in the valuation allowance. During the six months ended June 26, 2011, the Company settled its refund claim with the IRS,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will result in a refund to the Company of approximately $2.1 million, including approximately $0.5 million of interest income which was collected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second quarter. The Company recorded an income tax benefit from continuing operations for this full amount, as this claim had been considered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uncertain tax position under </w:t>
      </w:r>
      <w:r>
        <w:rPr>
          <w:rFonts w:ascii="Arial" w:cs="Arial" w:eastAsia="Arial" w:hAnsi="Arial"/>
          <w:sz w:val="16"/>
          <w:szCs w:val="16"/>
          <w:i w:val="1"/>
          <w:iCs w:val="1"/>
          <w:color w:val="auto"/>
        </w:rPr>
        <w:t>ASC Topic 740, Income Taxes</w:t>
      </w:r>
      <w:r>
        <w:rPr>
          <w:rFonts w:ascii="Arial" w:cs="Arial" w:eastAsia="Arial" w:hAnsi="Arial"/>
          <w:sz w:val="16"/>
          <w:szCs w:val="16"/>
          <w:color w:val="auto"/>
        </w:rPr>
        <w:t>. During the six months ended June 26, 2011, the unrecognized tax benefits were reduced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relating to the expiration of the statute of limitations. The reduction in unrecognized tax benefits was recorded as a tax benefit from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first quarter of 2011, the Company initially recorded, the unrecognized tax benefits of Herley Industries of $1.1 million. The Company increased the unrecognized tax benefits of Herley to $1.2 million based on its updated analysis. The increase in unrecognized tax benefits was recorded as an adjustment to goodwill. Herley’s unrecognized tax benefits are related to various federal and state tax issues.</w:t>
      </w:r>
    </w:p>
    <w:p>
      <w:pPr>
        <w:spacing w:after="0" w:line="18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There were no material expense amounts recorded during the six months ended June 27, 2010 and June 26, 2011, respectively. As a result of the Herley acquisition, a $0.1 million liability for cumulative interest and penalties was recorded with a corresponding increase to goodwill. The Company recorded a benefit for interest and penalties related to the reversal of prior positions of $0.3 million and $0.7 million for the six months ended June 27, 2010 and June 26, 2011, respectively. The Company believes that it is reasonably possible that as much as $0.3 million of the liabilities for uncertain tax positions will expire within 12 months of June 26, 2011 due to the expiration of various applicable statutes of limitations.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forward are subject to examination by the U.S. and state tax authorities due to the existence of net operating loss (“NOL”) carryforwards. Generally, the Company’s tax years for 2002 and forward are subject to examination by various foreign tax authorities.</w:t>
      </w:r>
    </w:p>
    <w:p>
      <w:pPr>
        <w:spacing w:after="0" w:line="18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w:t>
      </w:r>
    </w:p>
    <w:p>
      <w:pPr>
        <w:spacing w:after="0" w:line="15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the Company’s acquisition of Herley, the Company recorded the acquired assets and liabilities at their respective fair market values. For financial statement purposes, the Company increased the historic basis of the Herley assets by approximately $36.8 million. For tax purposes, the Company is required to carry over the historic tax basis of the assets and liabilities of Herley and in accordance with Topic 805, the Company established deferred tax liabilities of approximately $12.8 million for the increase in the financial statement basis of the acquired assets.</w:t>
      </w:r>
    </w:p>
    <w:p>
      <w:pPr>
        <w:spacing w:after="0" w:line="171"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and six months ended June 27, 2010 and June 26, 2011 is as follows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Months Ended</w:t>
            </w:r>
          </w:p>
        </w:tc>
      </w:tr>
      <w:tr>
        <w:trPr>
          <w:trHeight w:val="142"/>
        </w:trPr>
        <w:tc>
          <w:tcPr>
            <w:tcW w:w="5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June 27, 2010</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June 26, 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June 27, 2010</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0"/>
              </w:rPr>
              <w:t>June 26, 2011</w:t>
            </w:r>
          </w:p>
        </w:tc>
        <w:tc>
          <w:tcPr>
            <w:tcW w:w="10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State and foreign taxes, net of federal tax benefit and valuation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 of valuation allowance due to Gichner acquisition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8"/>
              </w:rPr>
              <w:t>Impact of indefinite lived deferred tax liabilities and state law changes</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Settlement with IRS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Increase/(Decrease) in federal valuation allowance</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23"/>
        </w:trPr>
        <w:tc>
          <w:tcPr>
            <w:tcW w:w="5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w:t>
      </w:r>
    </w:p>
    <w:p>
      <w:pPr>
        <w:sectPr>
          <w:pgSz w:w="11900" w:h="16838" w:orient="portrait"/>
          <w:cols w:equalWidth="0" w:num="1">
            <w:col w:w="11420"/>
          </w:cols>
          <w:pgMar w:left="240" w:top="125" w:right="239" w:bottom="0" w:gutter="0" w:footer="0" w:header="0"/>
        </w:sectPr>
      </w:pPr>
    </w:p>
    <w:bookmarkStart w:id="13" w:name="page14"/>
    <w:bookmarkEnd w:id="13"/>
    <w:p>
      <w:pPr>
        <w:spacing w:after="0" w:line="1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exempt rate determined by the Internal Revenue Service (“IRS”) in the month of the ownership change or the two preceding months. In March 2010, an “ownership change” occurred which will limit the utilization of the loss carryforwards. As a result, the Company’s federal annual utilization of NOL carryforwards will be limited to $28.1 million for five years and $11.6 million per year thereafter. For the six months ended June 26, 2011, there was no impact of such limitations on the income tax provision since the amount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taxable income did not exceed the annual limitation amount. In addition the recent equity offerings did not result in an “ownership change”, however,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August 2, 2010, the Company divested the southeast division of its PSS segment for approximately $0.1 million cash consideration and the assumption of certain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220" w:type="dxa"/>
            <w:vAlign w:val="bottom"/>
            <w:gridSpan w:val="5"/>
          </w:tcPr>
          <w:p>
            <w:pPr>
              <w:jc w:val="right"/>
              <w:ind w:right="489"/>
              <w:spacing w:after="0"/>
              <w:rPr>
                <w:sz w:val="20"/>
                <w:szCs w:val="20"/>
                <w:color w:val="auto"/>
              </w:rPr>
            </w:pPr>
            <w:r>
              <w:rPr>
                <w:rFonts w:ascii="Arial" w:cs="Arial" w:eastAsia="Arial" w:hAnsi="Arial"/>
                <w:sz w:val="14"/>
                <w:szCs w:val="14"/>
                <w:b w:val="1"/>
                <w:bCs w:val="1"/>
                <w:color w:val="auto"/>
              </w:rPr>
              <w:t>For the Three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2220" w:type="dxa"/>
            <w:vAlign w:val="bottom"/>
            <w:gridSpan w:val="5"/>
          </w:tcPr>
          <w:p>
            <w:pPr>
              <w:jc w:val="right"/>
              <w:ind w:right="449"/>
              <w:spacing w:after="0"/>
              <w:rPr>
                <w:sz w:val="20"/>
                <w:szCs w:val="20"/>
                <w:color w:val="auto"/>
              </w:rPr>
            </w:pPr>
            <w:r>
              <w:rPr>
                <w:rFonts w:ascii="Arial" w:cs="Arial" w:eastAsia="Arial" w:hAnsi="Arial"/>
                <w:sz w:val="14"/>
                <w:szCs w:val="14"/>
                <w:b w:val="1"/>
                <w:bCs w:val="1"/>
                <w:color w:val="auto"/>
              </w:rPr>
              <w:t>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Months Ended</w:t>
            </w:r>
          </w:p>
        </w:tc>
      </w:tr>
      <w:tr>
        <w:trPr>
          <w:trHeight w:val="119"/>
        </w:trPr>
        <w:tc>
          <w:tcPr>
            <w:tcW w:w="3420" w:type="dxa"/>
            <w:vAlign w:val="bottom"/>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27,</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26,</w:t>
            </w: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27,</w:t>
            </w: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June 26,</w:t>
            </w:r>
          </w:p>
        </w:tc>
        <w:tc>
          <w:tcPr>
            <w:tcW w:w="100" w:type="dxa"/>
            <w:vAlign w:val="bottom"/>
          </w:tcPr>
          <w:p>
            <w:pPr>
              <w:spacing w:after="0"/>
              <w:rPr>
                <w:sz w:val="10"/>
                <w:szCs w:val="10"/>
                <w:color w:val="auto"/>
              </w:rPr>
            </w:pPr>
          </w:p>
        </w:tc>
      </w:tr>
      <w:tr>
        <w:trPr>
          <w:trHeight w:val="171"/>
        </w:trPr>
        <w:tc>
          <w:tcPr>
            <w:tcW w:w="342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auto"/>
            </w:tcBorders>
            <w:shd w:val="clear" w:color="auto" w:fill="CCEEFF"/>
          </w:tcPr>
          <w:p>
            <w:pPr>
              <w:jc w:val="right"/>
              <w:ind w:right="66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(0.4)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Net income (loss) after taxes</w:t>
            </w:r>
          </w:p>
        </w:tc>
        <w:tc>
          <w:tcPr>
            <w:tcW w:w="840" w:type="dxa"/>
            <w:vAlign w:val="bottom"/>
          </w:tcPr>
          <w:p>
            <w:pPr>
              <w:jc w:val="right"/>
              <w:ind w:right="66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(0.4)</w:t>
            </w:r>
          </w:p>
        </w:tc>
        <w:tc>
          <w:tcPr>
            <w:tcW w:w="94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0.1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bl>
    <w:p>
      <w:pPr>
        <w:spacing w:after="0" w:line="18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benefit for income taxes for the six months ended June 27, 2010 and June 26, 2011 was primarily due to the expiration of the statute of limitations for certain foreign tax contingencies related to the Company’s discontinued wireless services business.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is a summary of the assets and liabilities of discontinued operations which are in other current assets, other current liabilities and other long-term liabilities in the accompanying condensed consolidated balance sheets as of December 26, 2010 and June 26, 2011 (in millions):</w:t>
      </w:r>
    </w:p>
    <w:p>
      <w:pPr>
        <w:spacing w:after="0" w:line="12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December 26,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26,</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140" w:type="dxa"/>
            <w:vAlign w:val="bottom"/>
            <w:gridSpan w:val="2"/>
          </w:tcPr>
          <w:p>
            <w:pPr>
              <w:jc w:val="right"/>
              <w:ind w:right="20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0.2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Accrued expenses</w:t>
            </w:r>
          </w:p>
        </w:tc>
        <w:tc>
          <w:tcPr>
            <w:tcW w:w="10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1.7</w:t>
            </w:r>
          </w:p>
        </w:tc>
        <w:tc>
          <w:tcPr>
            <w:tcW w:w="300" w:type="dxa"/>
            <w:vAlign w:val="bottom"/>
            <w:vMerge w:val="continue"/>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 of discontinued operations</w:t>
            </w:r>
          </w:p>
        </w:tc>
        <w:tc>
          <w:tcPr>
            <w:tcW w:w="104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unrecognized tax benefits</w:t>
            </w: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0.6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0.8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May 19, 2010, the Company entered into an Indenture with the guarantors set forth therein and Wilmington Trust FSB, as trustee and collateral agent (the “Indenture”) to issue 10% Senior Secured Notes due 2017. As of June 26, 2011, the Company has issued notes of $225.0 million (the “Original Notes”) and $285.0 million (the “Additional Notes” and, together with the Original Notes, the “Existing Notes”) under this Indenture. These Existing Notes were used to fund acquisitions and for general corporate purposes. They are secured by a lien on substantially all of the assets of the Company and the assets of the guarantors thereunder, subject to certain exceptions and permitted liens. The holders of the Existing Notes have a first priority lien on substantially all of the Company’s assets and the assets of the guarantors, except accounts receivable, inventory, deposit accounts, securities accounts, cash, securities and general intangibles (other than intellectual property) where the holders of the senior secured borrowings have a second priority lien to the $35.0 million credit facility described below.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pays interest on the Existing Notes semi-annually, in arrears, on June 1 and December 1 of each year. The Existing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26, 2011, the Company was in compliance with the covenants contained in the indentures related to the Existing Notes described below.</w:t>
      </w:r>
    </w:p>
    <w:p>
      <w:pPr>
        <w:spacing w:after="0" w:line="19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On or after June 1, 2014, the Company may redeem some or all of the Existing Notes at 105% of the aggregate principal amount of such notes through June 1, 2015, 102.5% of the aggregate principal amount of such notes through June 1, 2016 and 100% of the aggregate principal amount of such</w:t>
      </w:r>
    </w:p>
    <w:p>
      <w:pPr>
        <w:sectPr>
          <w:pgSz w:w="11900" w:h="16989" w:orient="portrait"/>
          <w:cols w:equalWidth="0" w:num="1">
            <w:col w:w="11400"/>
          </w:cols>
          <w:pgMar w:left="240" w:top="125" w:right="259" w:bottom="0" w:gutter="0" w:footer="0" w:header="0"/>
        </w:sectPr>
      </w:pPr>
    </w:p>
    <w:bookmarkStart w:id="14" w:name="page15"/>
    <w:bookmarkEnd w:id="14"/>
    <w:p>
      <w:pPr>
        <w:ind w:right="120"/>
        <w:spacing w:after="0" w:line="302" w:lineRule="auto"/>
        <w:rPr>
          <w:sz w:val="20"/>
          <w:szCs w:val="20"/>
          <w:color w:val="auto"/>
        </w:rPr>
      </w:pPr>
      <w:r>
        <w:rPr>
          <w:rFonts w:ascii="Arial" w:cs="Arial" w:eastAsia="Arial" w:hAnsi="Arial"/>
          <w:sz w:val="16"/>
          <w:szCs w:val="16"/>
          <w:color w:val="auto"/>
        </w:rPr>
        <w:t>notes thereafter, plus accrued and unpaid interest to the date of redemption. Prior to June 1, 2013, the Company may redeem up to 35% of the aggregate principal amount of the Existing Notes at 110% of the aggregate principal amount of the Existing Notes, plus accrued and unpaid interest to the redemption date, with the net cash proceeds of certain equity offerings. In addition, the Company may, at its option, redeem some or all of the Existing Notes at any time prior to June 1, 2014, by paying a “make whole” premium, plus accrued and unpaid interest, if any, to the date of redemption.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Original Notes - $225 Million 10% Senior Secured Note Offering, May 2010</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May 19, 2010, the Company issued its 10% Senior Secured Notes due June 1, 2017 in the aggregate principal amount of $225.0 million in an unregistered offering pursuant to Rule 144A and Regulation S under the Securities Act and on August 11, 2010, the Company completed an exchange offer for such notes pursuant to a registration rights agreement entered into in connection with the issuance thereof. The proceeds were primarily used to finance the acquisitions of Gichner, DEI and Southside. (see Note 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Notes - $285 Million 10% Senior Secured Note Offering, March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the Stage I Issuer issued $285.0 million aggregate principal amount of the Stage I Notes pursuant to an Indenture,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25, 2011, by and among the Stage I Issuer, the guarantors named therein and a party thereto, and Wilmington Trust FSB, as trustee and collateral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“Stage I Indenture”). The Stage I Issuer received approximately $314.0 million in cash proceeds from the offering, which includes an approximate $20.0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issuance premiums and $9.0 million of accrued interest, which proceeds were used, together with cash contributions of $45.0 million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to finance the acquisition of all of the outstanding shares of common stock of Herley (see Note 2), to pay related fees and expenses and for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The effective interest rate on the Additional Notes is 8.5%. In connection with the purchase and sale of the Stage I Notes,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a registration rights agreement with the initial purchasers of the Stage I Notes. On April 4, 2011, (i) the Stage I Issuer merged with and into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Company assumed all the assets and liabilities of the Stage I Issuer including, pursuant to a supplemental indenture to the Stage 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all the obligations of the Stage I Issuer under the Stage I Indenture, the Stage I Notes and the related collateral agreements and (ii)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became the issuer of the Stage I Notes under the Stage I Indenture and pledgor under such collateral agreements. On April 15, 2011, the Company redeemed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of the Stage I Notes by issuing in exchange therefore the Additional Notes in an aggregate principal amount equal to the aggregate principal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Stage I Notes. On July 29, 2011, the Company completed an exchange offer for the Additional Notes pursuant to a registration rights agreement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issuance thereof.</w:t>
      </w:r>
    </w:p>
    <w:p>
      <w:pPr>
        <w:spacing w:after="0" w:line="20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$35 Million Credit Facility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Concurrent with the completion of the offering of the Original Notes on May 19, 2010, the Company entered into a Credit and Security Agreement (the “Credit Agreement”) with certain lenders and with KeyBank National Association (“KeyBank”), as administrative agent, lead arranger and sole book runner, for a four year senior secured revolving credit facility in the amount of $25.0 million (the “Revolver”). The Revolver is secured by a lien on substantially all of the Company’s assets and the assets of the guarantors thereunder, subject to certain exceptions and permitted liens. The Revolver has a first priority lien on accounts receivable, inventory, deposit accounts, securities accounts, cash, securities and general intangibles (other than intellectual property). On all other assets, the Revolver has a second priority lien to the Existing Notes.</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Revolver is available for four years and may be increased to $45.0 million. The increases in the Revolver are subject to the consent of KeyBank and compliance with covenants in the Existing Notes. The amounts of borrowings that may be made under the Revolver are based on a borrowing base and are comprised of specified percentages of eligible receivables, eligible unbilled receivables and eligible inventory. If the amount of borrowings outstanding under the Revolver exceeds the borrowing base then in effect, the Company is required to repay such borrowings in an amount sufficient to eliminate such excess. The Revolver includes $10.0 million of availability for letters of credit and $5.0 million of availability for swingline loans.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3"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13, 2010, the Company entered into a First Amendment Agreement (the “Amendment Agreement”), with KeyBank, which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Among other things, the Amendment Agreement: (i) increased the amount of the senior secured revolving line of credit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 million to $35.0 million; (ii) modified the definitions of certain terms contained in the Credit Agreement; (iii) amended certain borrowing covenants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Agreement to (a) increase the acceptable amount of additional Indebtedness (as defined in the Credit Agreement) attributable to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unsecured Subordinated Indebtedness (as defined in the Credit Agreement) and other unsecured Indebtedness from $25.0 million to $100.0 million and</w:t>
      </w:r>
    </w:p>
    <w:p>
      <w:pPr>
        <w:spacing w:after="0" w:line="32" w:lineRule="exact"/>
        <w:rPr>
          <w:sz w:val="20"/>
          <w:szCs w:val="20"/>
          <w:color w:val="auto"/>
        </w:rPr>
      </w:pPr>
    </w:p>
    <w:p>
      <w:pPr>
        <w:ind w:right="16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 certain performance based contingent obligations related to prior acquisitions from the borrowing restrictions; and (iv) updated certain schedules to the Credit Agreement.</w:t>
      </w:r>
    </w:p>
    <w:p>
      <w:pPr>
        <w:spacing w:after="0" w:line="184"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On February 7, 2011, the Company entered into a second amendment with KeyBank, which amended the Credit Agreement to allow for the acquisition of Herley and issuance of additional notes for the Herley acquisition. On March 28, 2011, the Company entered into a third amendment with KeyBank, which amended the Credit Agreement to increase the availability of letters of credit from $10.0 million to $15.0 million.</w:t>
      </w:r>
    </w:p>
    <w:p>
      <w:pPr>
        <w:sectPr>
          <w:pgSz w:w="11900" w:h="16838" w:orient="portrait"/>
          <w:cols w:equalWidth="0" w:num="1">
            <w:col w:w="11420"/>
          </w:cols>
          <w:pgMar w:left="240" w:top="125" w:right="239" w:bottom="40" w:gutter="0" w:footer="0" w:header="0"/>
        </w:sectPr>
      </w:pPr>
    </w:p>
    <w:bookmarkStart w:id="15" w:name="page16"/>
    <w:bookmarkEnd w:id="15"/>
    <w:p>
      <w:pPr>
        <w:spacing w:after="0" w:line="6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June 26, 2011, there were no outstanding borrowings on the Revolver and $8.6 million was outstanding on letters of credit resulting in net availability of $26.4 million. As of June 26, 2011, the Company was in compliance with the covenants contained in the Revolver.</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On July 27, 2011, the Company entered into an amended and restated Credit Agreement to increase the availability to $65.0 million, with an extension of the maturity date to July 27, 2016. See Note 15 for further discussion of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Prior to May 19, 2010, the Company had a revolving credit facility (the “Second Credit Facility”) with KeyBank, as administrative agent and lender, in the aggregate principal amount of $60.0 million, which was secured by the assets of the Company and its subsidiaries. The Second Credit Facility was entered into on March 3, 2010 and was comprised of a (i) $35.0 million term loan facility and (ii) $25.0 million revolving line of credit. Bank of America, N.A., was syndication agent and lender, and KeyBanc Capital Markets and Banc of America Securities, LLC acted as co-lead arrangers and book runners. On May 19, 2010, the outstanding balance of $54.5 million was paid in full. As a result of the refinance, the Company recorded an interest charge of approximately $1.7 million in the second quarter of 2010 relating to the write-off of previously deferred financing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Prior to March 3, 2010, the Company had a credit facility of $85.0 million with KeyBank, as administrative agent (the “First Credit Facility”). This First Credit Facility provided for (i) two term loans consisting of a first lien term note of $50.0 million and a second lien term note of $10.0 million and (ii) a first lien $25.0 million revolving line of credit. The First Credit Facility was secured by the assets of the Company and its subsidiaries. KeyBank held the revolving line of credit and the second lien term note. Field Point III, Ltd. and SPF CDO I, Ltd., both affiliates of Silverpoint Capital LP (“Silverpoint”), held the first lien term note.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2010 the outstanding balance of $55.4 million was paid in full as a result of the refinance described above. Approximately</w:t>
      </w:r>
    </w:p>
    <w:p>
      <w:pPr>
        <w:spacing w:after="0" w:line="23"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$25.0 million of the proceeds were used to pay in full the remaining balance on the first lien term note under the First Credit Facility held by Silverpoint, at par, with no prepayment penalties, pursuant to the settlement agreement that the Company entered into with Silverpoint in October 2009. As a result of the refinance, the Company recorded an interest charge of approximately $2.2 million in the first quarter of 2010 relating to the write-off of previously deferred financing costs.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assumed a $10.0 million ten-year term loan with a bank in Israel that Herley entered into on September 16, 2008 in connection with the acquisition of one of its wholly owned subsidiaries. The balance as of June 26, 2011 was $7.2 million and the loan is payable in quarterly installments of $0.3 million plus interest at LIBOR plus a margin of 1.5%. The loan agreement contains various financial covenants including a minimum net equity covenant as defined in the loan agreement. The Company was in compliance with the financial covenants as of June 26, 2011.</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the only asset or liability measured and recorded at fair value on the Company’s condensed consolidated balance sheets on a recurring basis and the level within the fair value hierarchy as of December 26, 2010 and June 26, 2011 (in millions):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9"/>
              </w:rPr>
              <w:t>observable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markets</w:t>
            </w:r>
          </w:p>
        </w:tc>
        <w:tc>
          <w:tcPr>
            <w:tcW w:w="160" w:type="dxa"/>
            <w:vAlign w:val="bottom"/>
          </w:tcPr>
          <w:p>
            <w:pPr>
              <w:spacing w:after="0"/>
              <w:rPr>
                <w:sz w:val="12"/>
                <w:szCs w:val="12"/>
                <w:color w:val="auto"/>
              </w:rPr>
            </w:pPr>
          </w:p>
        </w:tc>
        <w:tc>
          <w:tcPr>
            <w:tcW w:w="13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26, 2010</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June 26, 2011</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significant Level 2 observable inputs utilized to value the Company’s interest rate swaps are based upon the terminal value of the swaps. The terminal value of the interest rate swaps is calculated by comparing the fixed rate on the swap to the rate that would be received by entering into an identical swap at the rates in effect at the time of termination. The percentage difference in these two rates is then multiplied by the notional amount of the swap in each remaining period and discounted to present value. The major inputs utilized in the terminal value calculation are valuation date, original swap rate, replacement swap rate, and discount rate. The terminal value calculations are validated with the use of quotes of similar financial instruments from a nationally recognized financial reporting service.</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carrying value of the interest rate swaps is classified as other current liabilities as of December 26, 2010. As of June 26, 2011, there were no outstanding interest rate swaps. Mark to market adjustments for the interest rate swaps are recorded in other income (expense) in the condensed consolidated statements of operations.</w:t>
      </w:r>
    </w:p>
    <w:p>
      <w:pPr>
        <w:spacing w:after="0" w:line="18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 December 26, 2010 and June 26, 2011 are presented in the following table. The carrying value of all other financial instruments, including cash and cash equivalents, accounts receivable, accounts payable and short-term debt, approximated their estimated fair values at December 26, 2010 and June 26, 2011.</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26, 2010</w:t>
            </w:r>
          </w:p>
        </w:tc>
        <w:tc>
          <w:tcPr>
            <w:tcW w:w="1700" w:type="dxa"/>
            <w:vAlign w:val="bottom"/>
            <w:gridSpan w:val="3"/>
          </w:tcPr>
          <w:p>
            <w:pPr>
              <w:ind w:left="820"/>
              <w:spacing w:after="0"/>
              <w:rPr>
                <w:sz w:val="20"/>
                <w:szCs w:val="20"/>
                <w:color w:val="auto"/>
              </w:rPr>
            </w:pPr>
            <w:r>
              <w:rPr>
                <w:rFonts w:ascii="Arial" w:cs="Arial" w:eastAsia="Arial" w:hAnsi="Arial"/>
                <w:sz w:val="14"/>
                <w:szCs w:val="14"/>
                <w:b w:val="1"/>
                <w:bCs w:val="1"/>
                <w:color w:val="auto"/>
                <w:w w:val="94"/>
              </w:rPr>
              <w:t>June 26, 2011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3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70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780" w:type="dxa"/>
            <w:vAlign w:val="bottom"/>
            <w:tcBorders>
              <w:top w:val="single" w:sz="8" w:color="auto"/>
            </w:tcBorders>
          </w:tcPr>
          <w:p>
            <w:pPr>
              <w:jc w:val="center"/>
              <w:ind w:right="291"/>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64"/>
        </w:trPr>
        <w:tc>
          <w:tcPr>
            <w:tcW w:w="43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25" w:right="279" w:bottom="0" w:gutter="0" w:footer="0" w:header="0"/>
        </w:sectPr>
      </w:pPr>
    </w:p>
    <w:bookmarkStart w:id="16" w:name="page17"/>
    <w:bookmarkEnd w:id="16"/>
    <w:p>
      <w:pPr>
        <w:ind w:left="980"/>
        <w:spacing w:after="0"/>
        <w:tabs>
          <w:tab w:leader="none" w:pos="5500" w:val="left"/>
          <w:tab w:leader="none" w:pos="6240" w:val="left"/>
          <w:tab w:leader="none" w:pos="6880" w:val="left"/>
          <w:tab w:leader="none" w:pos="7640" w:val="left"/>
          <w:tab w:leader="none" w:pos="8260" w:val="left"/>
          <w:tab w:leader="none" w:pos="9000" w:val="left"/>
          <w:tab w:leader="none" w:pos="9620" w:val="left"/>
          <w:tab w:leader="none" w:pos="10340" w:val="left"/>
        </w:tabs>
        <w:rPr>
          <w:sz w:val="20"/>
          <w:szCs w:val="20"/>
          <w:color w:val="auto"/>
        </w:rPr>
      </w:pPr>
      <w:r>
        <w:rPr>
          <w:rFonts w:ascii="Arial" w:cs="Arial" w:eastAsia="Arial" w:hAnsi="Arial"/>
          <w:sz w:val="18"/>
          <w:szCs w:val="18"/>
          <w:color w:val="auto"/>
        </w:rPr>
        <w:t>Long-term debt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225.0</w:t>
        <w:tab/>
        <w:t>$</w:t>
      </w:r>
      <w:r>
        <w:rPr>
          <w:sz w:val="20"/>
          <w:szCs w:val="20"/>
          <w:color w:val="auto"/>
        </w:rPr>
        <w:tab/>
      </w:r>
      <w:r>
        <w:rPr>
          <w:rFonts w:ascii="Arial" w:cs="Arial" w:eastAsia="Arial" w:hAnsi="Arial"/>
          <w:sz w:val="18"/>
          <w:szCs w:val="18"/>
          <w:color w:val="auto"/>
        </w:rPr>
        <w:t>247.2</w:t>
        <w:tab/>
        <w:t>$</w:t>
      </w:r>
      <w:r>
        <w:rPr>
          <w:sz w:val="20"/>
          <w:szCs w:val="20"/>
          <w:color w:val="auto"/>
        </w:rPr>
        <w:tab/>
      </w:r>
      <w:r>
        <w:rPr>
          <w:rFonts w:ascii="Arial" w:cs="Arial" w:eastAsia="Arial" w:hAnsi="Arial"/>
          <w:sz w:val="18"/>
          <w:szCs w:val="18"/>
          <w:color w:val="auto"/>
        </w:rPr>
        <w:t>516.3</w:t>
        <w:tab/>
        <w:t>$</w:t>
      </w:r>
      <w:r>
        <w:rPr>
          <w:sz w:val="20"/>
          <w:szCs w:val="20"/>
          <w:color w:val="auto"/>
        </w:rPr>
        <w:tab/>
      </w:r>
      <w:r>
        <w:rPr>
          <w:rFonts w:ascii="Arial" w:cs="Arial" w:eastAsia="Arial" w:hAnsi="Arial"/>
          <w:sz w:val="15"/>
          <w:szCs w:val="15"/>
          <w:color w:val="auto"/>
        </w:rPr>
        <w:t>545.5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627761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pacing w:after="0" w:line="20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inputs—quoted prices in active markets).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Company’s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(i.e., changes in interest rate payments) attributable to fluctuations in the three month LIBOR on certain previously outstanding variable-rate debt.</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There were no interest rate swaps outstanding as of June 26, 2011.</w:t>
      </w:r>
    </w:p>
    <w:p>
      <w:pPr>
        <w:spacing w:after="0" w:line="18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Company’s derivative financial instruments, which are cash flow hedges, were considered ineffective as a result of the interest rate floor that occurred with the first amendment of the First Credit Facility in March 2008. The effect of marking the derivative instruments to market for the six months ended June 27, 2010 and June 26, 2011 was income of $0.3 million for both periods. The fair value of the Company’s derivative liabilities as of December 26, 2010 and June 26, 2011 was $0.3 million and zero, respectively, and is carried in other current liabilities in the accompanying condensed consolidated balance sheets. See Note 10 for further discussion on the fair value measurements related to the Company’s derivative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$85.8 million and $122.3 million, or 87% and 71%, of total revenue for the three months ended June 27, 2010 and June 26, 2011, respectively, and approximately $144.1 million and $216.4 million, or 86% and 74%, of total revenue for the six months ended June 27, 2010 and June 26, 2011,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and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operating income, and assets generated or held by the Company’s current reporting segments for the three and six months ended June 27, 2010 and June 26, 2011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27,</w:t>
            </w:r>
          </w:p>
        </w:tc>
        <w:tc>
          <w:tcPr>
            <w:tcW w:w="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June 27,</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June 26,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180"/>
              <w:spacing w:after="0"/>
              <w:rPr>
                <w:sz w:val="20"/>
                <w:szCs w:val="20"/>
                <w:color w:val="auto"/>
              </w:rPr>
            </w:pPr>
            <w:r>
              <w:rPr>
                <w:rFonts w:ascii="Arial" w:cs="Arial" w:eastAsia="Arial" w:hAnsi="Arial"/>
                <w:sz w:val="18"/>
                <w:szCs w:val="18"/>
                <w:color w:val="auto"/>
              </w:rPr>
              <w:t>Kratos Government Solutions</w:t>
            </w:r>
          </w:p>
        </w:tc>
        <w:tc>
          <w:tcPr>
            <w:tcW w:w="19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91.6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145.3</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153.1</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5"/>
              </w:rPr>
              <w:t>99.1</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9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180"/>
              <w:spacing w:after="0"/>
              <w:rPr>
                <w:sz w:val="20"/>
                <w:szCs w:val="20"/>
                <w:color w:val="auto"/>
              </w:rPr>
            </w:pPr>
            <w:r>
              <w:rPr>
                <w:rFonts w:ascii="Arial" w:cs="Arial" w:eastAsia="Arial" w:hAnsi="Arial"/>
                <w:sz w:val="18"/>
                <w:szCs w:val="18"/>
                <w:color w:val="auto"/>
              </w:rPr>
              <w:t>Kratos Government Solutions</w:t>
            </w:r>
          </w:p>
        </w:tc>
        <w:tc>
          <w:tcPr>
            <w:tcW w:w="19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9.7</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180"/>
              <w:spacing w:after="0"/>
              <w:rPr>
                <w:sz w:val="20"/>
                <w:szCs w:val="20"/>
                <w:color w:val="auto"/>
              </w:rPr>
            </w:pPr>
            <w:r>
              <w:rPr>
                <w:rFonts w:ascii="Arial" w:cs="Arial" w:eastAsia="Arial" w:hAnsi="Arial"/>
                <w:sz w:val="18"/>
                <w:szCs w:val="18"/>
                <w:color w:val="auto"/>
              </w:rPr>
              <w:t>Unallocated corporate expense, net</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(2.1)</w:t>
            </w: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color w:val="auto"/>
              </w:rPr>
              <w:t>22</w:t>
            </w: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9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743.5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-1219200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 w:name="page18"/>
    <w:bookmarkEnd w:id="17"/>
    <w:tbl>
      <w:tblPr>
        <w:tblLayout w:type="fixed"/>
        <w:tblInd w:w="1960" w:type="dxa"/>
        <w:tblCellMar>
          <w:top w:w="0" w:type="dxa"/>
          <w:left w:w="0" w:type="dxa"/>
          <w:bottom w:w="0" w:type="dxa"/>
          <w:right w:w="0" w:type="dxa"/>
        </w:tblCellMar>
      </w:tblP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10"/>
        </w:trPr>
        <w:tc>
          <w:tcPr>
            <w:tcW w:w="52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increase in assets in the KGS segment is primarily attributable to the acquisition of Herley. The increase in assets in corporate activities is primarily due to an increase in cash and cash equivalents from the sale of $285.0 million of Additional Notes and the issuance of common stock during for the six months ended June 26, 2011. See Notes 2, 5 and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June 26, 2011, there have been no material developments in the Company’s legal proceedings since December 26, 2010. For additional information regarding the Company’s legal proceedings, see Item 3, “Legal Proceedings” in the Form 10-K.</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16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of the Company’s products, product finishes, and services are covered by a warranty to be free from defects in material and workmanship for periods ranging from one to ten years. Optional extended warranty contracts can also be purchased.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product warranty and deferred warranty revenue activity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Six months ended</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June 27,</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w w:val="96"/>
              </w:rPr>
              <w:t>June 26,</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0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Costs accrued and revenues deferred</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(in cash or kind) and revenues recognized</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4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w w:val="98"/>
              </w:rPr>
              <w:t>Noncurrent accrued product warranty and deferred warranty revenue</w:t>
            </w:r>
          </w:p>
        </w:tc>
        <w:tc>
          <w:tcPr>
            <w:tcW w:w="4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580" w:type="dxa"/>
            <w:vAlign w:val="bottom"/>
            <w:vMerge w:val="restart"/>
          </w:tcPr>
          <w:p>
            <w:pPr>
              <w:ind w:left="432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55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On May 15, 2011, the Company entered into an Agreement and Plan of Merger (the “Merger Agreement”) with Integral Systems, Inc., a Maryland corporation (“Integral Systems”), IRIS Merger Sub Inc., a Maryland corporation and the Company’s wholly owned subsidiary (“Merger Sub”), and IRIS Acquisition Sub LLC, a Maryland limited liability company and the Company’s wholly owned subsidiary (“Merger LLC”). On July 27, 2011, pursuant to the terms and subject to the conditions set forth in the Merger Agreement, Merger Sub merged with and into Integral Systems, and Integral Systems continued as the surviving corporation and as a wholly owned subsidiary of the Company (the “Merger”). The total aggregate purchase price is estimated to be $240.1 million which includes $37.2 million of Integral Systems’ debt paid at closing. The acquisition related disclosures required by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cannot be made as the initial accounting for the business transaction is incomplete. In addition, the disclosure requirements of </w:t>
      </w:r>
      <w:r>
        <w:rPr>
          <w:rFonts w:ascii="Arial" w:cs="Arial" w:eastAsia="Arial" w:hAnsi="Arial"/>
          <w:sz w:val="16"/>
          <w:szCs w:val="16"/>
          <w:i w:val="1"/>
          <w:iCs w:val="1"/>
          <w:color w:val="auto"/>
        </w:rPr>
        <w:t>Topic 805</w:t>
      </w:r>
      <w:r>
        <w:rPr>
          <w:rFonts w:ascii="Arial" w:cs="Arial" w:eastAsia="Arial" w:hAnsi="Arial"/>
          <w:sz w:val="16"/>
          <w:szCs w:val="16"/>
          <w:color w:val="auto"/>
        </w:rPr>
        <w:t>, when the initial accounting is incomplete, also cannot be made due to the timing of the acquisition and the related due date of this Quarterly Report on Form 10-Q. Key financial data such as the determination of the final acquisition price and the fair value of the assets acquired and liabilities assumed is not yet available.</w:t>
      </w:r>
    </w:p>
    <w:p>
      <w:pPr>
        <w:spacing w:after="0" w:line="16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Integral Systems applies almost 30 years of experience to providing integrated technology solutions for the aerospace and communications markets. Since Integral Systems’ founding in 1982, it has supported more than 250 satellite missions for both commercial and government customers who perform communications, science, meteorology and earth resource applications and its systems are utilized worldwide. Integral Systems products support the commercial geostationary satellite operators and supports over 80% of U.S. unclassified space missions. It integrates leading edge technologies, algorithms and integration processes and a commercial model to bring efficiencies into the government market, which is its largest source of revenue.</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Integral Systems is a leader in ground systems, signal processing and other areas of satellite command and control and is also at the cutting edge of advanced technologies for unmanned aerial vehicles, situational awareness, remote management and electronic warfare. These products and services enhance the Company’s portfolio of solutions for assuring the availability, reliability and security of mission critical systems for defense, intelligence and commercial operations.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will be allocated to goodwill. The value of the goodwill represents the value the Company expects to be created by expanding its ability to bring mission critical communications and C5ISR solutions and to provide a broader array of advanced technologies for its customers.</w:t>
      </w:r>
    </w:p>
    <w:p>
      <w:pPr>
        <w:sectPr>
          <w:pgSz w:w="11900" w:h="16838" w:orient="portrait"/>
          <w:cols w:equalWidth="0" w:num="1">
            <w:col w:w="11460"/>
          </w:cols>
          <w:pgMar w:left="240" w:top="125" w:right="199" w:bottom="0" w:gutter="0" w:footer="0" w:header="0"/>
        </w:sectPr>
      </w:pPr>
    </w:p>
    <w:bookmarkStart w:id="18" w:name="page19"/>
    <w:bookmarkEnd w:id="18"/>
    <w:p>
      <w:pPr>
        <w:spacing w:after="0" w:line="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the effective time of the Merger (the “Effective Time”), holders of Integral Systems common stock were entitled to receive (i) $5.00 in cash, without interest, and (ii) the issuance of 0.588 shares of the Company’s common stock for each share of Integral Systems common stock owned (the “Merger Consideration”).</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addition, at the Effective Time, each Integral Systems stock option that had an exercise price less than $13.00 per share were, if the holder thereof elected in writing, cancelled in exchange for an amount in cash, without interest, equal to the product of the total number of shares of Integral Systems common stock subject to such in-the-money option, multiplied by the aggregate value of the excess, if any, of $13.00 over the exercise price per share subject to such option, less the amount of any tax withholding. Each Integral Systems stock option that had an exercise price equal to or greater than $13.00 per share and each Integral Systems in-the-money option of which the holder did not make the election described in the preceding sentence was converted into an option to purchase Kratos common stock, with (i) the number of shares subject to such option adjusted to equal the number of shares of Integral Systems common stock subject to such out-of-the-money option multiplied by 0.9559, rounded up to the nearest whole share, and (ii) the per share exercise price under each such option adjusted by dividing the per share exercise price under such option by 0.9559, rounded up to the nearest whole cent. Each share of restricted stock granted under an Integral Systems equity plan or otherwise, whether vested or unvested, that was outstanding immediately prior to the completion of the Merger was cancelled and the holder thereof was entitled to receive an amount in cash, without interest, equal to the product of the total number of restricted shares of Integral Systems common stock held by such holder, multiplied by $13.00, less the amount of any tax withholding. No fractional shares of the Company’s common stock were issued in the Merger. The Merger is intended to qualify as a “reorganization” within the meaning of Section 368(a) of the Internal Revenue Code of 1986, as amended.</w:t>
      </w:r>
    </w:p>
    <w:p>
      <w:pPr>
        <w:spacing w:after="0" w:line="188"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Company entered into two transactions for the purpose of financing the acquisition of Integral Systems and providing capital for general corporate purposes. On July 27, 2011, the Company issued $115.0 million aggregate principal amount of its 10% Senior Secured Notes due 2017 (the “July Notes”). The July Notes were issued at a premium of 105%, for an effective interest rate of approximately 8.9%. The gross proceeds of approximately</w:t>
      </w:r>
    </w:p>
    <w:p>
      <w:pPr>
        <w:ind w:right="20"/>
        <w:spacing w:after="0" w:line="292" w:lineRule="auto"/>
        <w:rPr>
          <w:sz w:val="20"/>
          <w:szCs w:val="20"/>
          <w:color w:val="auto"/>
        </w:rPr>
      </w:pPr>
      <w:r>
        <w:rPr>
          <w:rFonts w:ascii="Arial" w:cs="Arial" w:eastAsia="Arial" w:hAnsi="Arial"/>
          <w:sz w:val="16"/>
          <w:szCs w:val="16"/>
          <w:color w:val="auto"/>
        </w:rPr>
        <w:t>$121.0 million, which includes an approximate $6.0 million issuance premium and excludes accrued interest, were used to finance, in part, the cash portion of the purchase price for the acquisition of Integral Systems, to refinance existing indebtedness of Integral Systems and its subsidiaries, to pay certain severance payments in connection with the Merger and to pay related fees and expenses. The July Notes and related guarantees are secured by a lien on substantially all of the assets of the Company and its existing and future domestic restricted subsidiaries, subject to certain exceptions and permitted liens. The July Notes have substantially similar terms as the Existing Notes, except that the Existing Notes do not have transfer restrictions or registration rights.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Concurrent with the completion of the offering of the July Notes on July 27, 2011, the Company entered into an amended and restated Credit and Security Agreement (the “Amended Credit Agreement”) replacing the Company’s current Credit Agreement with KeyBank as administrative agent, lead arranger and sole book runner, and East West Bank and Bank of the West participating in the syndication for a five year senior secured revolving credit facility in the amount of $65.0 million (the “Amended Revolver”). The Amended Revolver has a maturity date of July 27, 2016 and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Original Notes, Amended Notes and July Notes (collectively, the “Notes”).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Amended Revolver may be increased to $100.0 million. The increases in the Amended Revolver are subject to the consent of the administrative agent, identification of one or more additional lenders willing to advance the increased amount of the Amended Revolver and compliance with covenants in the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$30.0 million of availability for letters of credit and $5.0 million of availability for swingline loans.</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may borrow funds under the Amended Revolver at a base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and competition in the marketplace which could reduce revenues and profit margins.</w:t>
      </w:r>
    </w:p>
    <w:p>
      <w:pPr>
        <w:spacing w:after="0" w:line="1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(“Form 10-Q”) to conform such statements to actual results or to changes in our expectations.</w:t>
      </w:r>
    </w:p>
    <w:p>
      <w:pPr>
        <w:sectPr>
          <w:pgSz w:w="11900" w:h="16845" w:orient="portrait"/>
          <w:cols w:equalWidth="0" w:num="1">
            <w:col w:w="11420"/>
          </w:cols>
          <w:pgMar w:left="240" w:top="125" w:right="239" w:bottom="0" w:gutter="0" w:footer="0" w:header="0"/>
        </w:sectPr>
      </w:pPr>
    </w:p>
    <w:bookmarkStart w:id="19" w:name="page20"/>
    <w:bookmarkEnd w:id="19"/>
    <w:p>
      <w:pPr>
        <w:spacing w:after="0" w:line="11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amortization expense, may be considered non-GAAP (as defined below)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principles generally accepted in the U.S.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our Annual Report on Form 10-K, filed with the U.S. Securities and Exchange Commission on March 2, 2011 (the “Form 10-K”), including the disclosures made in Item 1A “Risk Factors” and the audited consolidated financial statements and related notes included therein, and the disclosures made in Item 1A “Risk Factors” in this Form 10-Q. All references to “us,” “we,” “our,” the “Company” and “Kratos” refer to Kratos Defense &amp; Security Solutions, Inc., a Delaware Corporation,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are a specialized national security technology business providing mission critical products, services and solutions for U.S. national security priorities. Our core capabilities are sophisticated engineering, manufacturing and system integration offerings for national security platforms and programs. Our principal services are related to, but are not limited to, Command, Control, Communications, Computing, Combat Systems, Intelligence, Surveillance and Reconnaissance (“C5ISR”); related cybersecurity, cyberwarfare, information assurance and situational awareness solutions;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and advanced network engineering and information technology services. We offer our customers products, solutions, services and expertise to support their mission-critical needs by leveraging our skills across our core offering areas.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primary end customers are U.S. Federal Government agencies, including the Department of Defense (“DoD”), classified agencies, intelligence agencies, other national security agencies and homeland security related agencies. We believe our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provide products, solutions and services for a wide range of established, deployed and operating national security platforms, including, but not limited to: Aegis Ballistic Missile Defense systems, M1 Abrams tanks, Bradley fighting vehicles, F-5 Tiger, HiMARS, Chaparral and HAWK missile systems, Kiowa AH-60 helicopters, DDG-1000 Zumwalt destroyers, attack and missile submarines, certain intelligence surveillance and reconnaissance systems and various unmanned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intend to supplement our organic growth by identifying, acquiring and integrating businesses that meet our primary objective of providing us with enhanced capabilities to pursue a broader cross section of the DoD, Department of Homeland Security and other government markets, complement and broaden our existing client base and expand our primary service offerings. Our senior management team has significant acquisition experience. Since May 2010, we have acquired five companies, each as discussed below and on July 27, 2011, we completed the acquisition of Integral Systems, Inc. (“Integral Systems”).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May 15, 2011, we entered into an Agreement and Plan of Merger (the “Merger Agreement”), with Integral Systems, IRIS Merger Sub Inc., a Maryland corporation and the Company’s wholly owned subsidiary (“Merger Sub”), and IRIS Acquisition Sub LLC, a Maryland limited liability company and our wholly owned subsidiary. On July 27, 2011, pursuant to the terms and subject to the conditions set forth in the Merger Agreement, Merger Sub merged with and into Integral Systems, and Integral Systems continued as the surviving corporation and as our wholly owned subsidiary (the “Merger”). The total aggregate purchase price is estimated to be $240.1 million which includes $37.2 million of Integral Systems’ debt paid at closing.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Integral Systems applies almost 30 years of experience to providing integrated technology solutions for the aerospace and communications markets. Since Integral Systems’ founding in 1982, it has supported more than 250 satellite missions for both commercial and government customers who perform communications, science, meteorology and earth resource applications and its systems are utilized worldwide. Integral Systems products support the</w:t>
      </w:r>
    </w:p>
    <w:p>
      <w:pPr>
        <w:sectPr>
          <w:pgSz w:w="11900" w:h="16952" w:orient="portrait"/>
          <w:cols w:equalWidth="0" w:num="1">
            <w:col w:w="11420"/>
          </w:cols>
          <w:pgMar w:left="240" w:top="341" w:right="239" w:bottom="0" w:gutter="0" w:footer="0" w:header="0"/>
        </w:sectPr>
      </w:pPr>
    </w:p>
    <w:bookmarkStart w:id="20" w:name="page21"/>
    <w:bookmarkEnd w:id="20"/>
    <w:p>
      <w:pPr>
        <w:ind w:right="60"/>
        <w:spacing w:after="0" w:line="342" w:lineRule="auto"/>
        <w:rPr>
          <w:sz w:val="20"/>
          <w:szCs w:val="20"/>
          <w:color w:val="auto"/>
        </w:rPr>
      </w:pPr>
      <w:r>
        <w:rPr>
          <w:rFonts w:ascii="Arial" w:cs="Arial" w:eastAsia="Arial" w:hAnsi="Arial"/>
          <w:sz w:val="16"/>
          <w:szCs w:val="16"/>
          <w:color w:val="auto"/>
        </w:rPr>
        <w:t>commercial geostationary satellite operators and the company supports over 80% of U.S. unclassified space missions. It integrates leading edge technologies, algorithms and integration processes and a commercial model to bring efficiencies into the government market, which is its largest source of revenue.</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Integral Systems is a leader in ground systems, signal processing and other areas of satellite command and control and is also at the cutting edge of advanced technologies for unmanned aerial vehicles, situational awareness, remote management and electronic warfare. These products and services enhance the Company’s portfolio of solutions for assuring the availability, reliability and security of mission critical systems for defense, intelligence and commercial operations.</w:t>
      </w:r>
    </w:p>
    <w:p>
      <w:pPr>
        <w:spacing w:after="0" w:line="187"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At the effective time of the Merger, holders of Integral Systems common stock were entitled to receive (i) $5.00 in cash, without interest, and (ii) the issuance of 0.588 shares of our common stock for each share of Integral Systems common stock held by them immediately prior to the closing of the merger.</w:t>
      </w:r>
    </w:p>
    <w:p>
      <w:pPr>
        <w:spacing w:after="0" w:line="12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at the Effective Time, each Integral Systems stock option that had an exercise price less than $13.00 per share was, if the holder thereof had elected in writing, cancelled in exchange for an amount in cash, without interest, equal to the product of the total number of shares of Integral Systems common stock subject to such in-the-money option, multiplied by the aggregate value of the excess, if any, of $13.00 over the exercise price per share subject to such option, less the amount of any tax withholding. Each Integral Systems stock option that had an exercise price equal to or greater than $13.00 per share and each Integral Systems in-the-money option of which the holder did not make the election described in the preceding sentence was converted into an option to purchase Kratos common stock, with (i) the number of shares subject to such option adjusted to equal the number of shares of Integral Systems common stock subject to such out-of-the-money option multiplied by 0.9559, rounded up to the nearest whole share, and (ii) the per share exercise price under each such option adjusted by dividing the per share exercise price under such option by 0.9559, rounded up to the nearest whole cent. Each share of restricted stock granted under an Integral Systems equity plan or otherwise, whether vested or unvested, that was outstanding immediately prior to the completion of the Merger was cancelled and the holder thereof was entitled to receive an amount in cash, without interest, equal to the product of the total number of restricted shares of Integral Systems common stock held by such holder, multiplied by $13.00, less the amount of any tax withholding. No fractional shares of our common stock were issued in the Merger. The Merger was intended to qualify as a “reorganization” within the meaning of Section 368(a) of the Internal Revenue Code of 1986, as amended.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March 25, 2011, pursuant to an Agreement and Plan of Merger dated as of February 7, 2011 (the “Herley Merger Agreement”), by and among us, Lanza Acquisition Co. (“Herley Acquisition Sub”) and Herley Industries, Inc. (“Herley”), Herley Merger Sub acquired approximately 13.2 million shares of Herley common stock representing approximately 94% of the total outstanding shares of Herley common stock in a tender offer to purchase all of the outstanding shares of Herley common stock. On March 30, 2011, following purchases in a subsequent offering period, Herley Merger Sub was merged with and into Herley, with Herley continuing as a wholly owned subsidiary of ours. The shares of Herley common stock were purchased at a price of $19.00 per share. Accordingly, we paid approximately $245.5 million in cash consideration as of March 27, 2011 and as of April 15, 2011 had paid total aggregate cash consideration of $270.6 million in respect of the shares of Herley common stock and certain in-the-money options which were exercised upon the change in control. In addition, upon completion of the merger, all unexercised options to purchase Herley common stock were assumed by us and converted into options to purchase our common stock, entitling the holders thereof to receive 1.3495 shares of our common stock for each share of Herley common stock underlying the options (the “Herley Options”). We assumed each Herley Option in accordance with the terms (as in effect as of the date of the Herley Merger Agreement) of the applicable Herley equity plan and the option agreement pursuant to which such Herley Option was granted. The options are exercisable for an aggregate of approximately 0.8 million shares of our common stock. All options were fully vested upon the change in control and the fair value of the options assumed was $1.9 million. The total aggregate consideration for the purchase of Herley was $272.6 million. In addition, the Company assumed change in control obligations of $4.0 million related to the transaction, the majority of which will be paid in 2011, and combined transaction expenses of $11.1 million.</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February 11, 2011, we completed the sale of approximately 4.9 million shares of our common stock at a purchase price of $13.25 per share in an underwritten public offering, and on March 25, 2011, Acquisition Co. Lanza Parent, our wholly owned subsidiary (the “Stage I Issuer”), issued 10% Senior Secured Notes due 2017 in the aggregate principal amount of $285.0 million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“Stage I Notes”). The proceeds of the underwritten public offering and sale and issuance of the Stage I Notes were used to fund the acquisition of Herley. We received gross proceeds from the equity offering of approximately $64.8 million and after deducting underwriting and other offering expenses received approximately $61.1 million in net proceeds. The Stage I Notes were offered at a premium of 107%, for an effective interest rate of 8.5% and the gross proceeds were approximately $314.0 million, which includes approximately $20.0 million of issuance premium and $9.0 million of accrued interest.</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Herley is a leading provider of microwave technologies for use in command and control systems, flight instrumentation, weapons sensors, radar, communication systems, and electronic warfare systems. Herley has served the defense industry for approximately 45 years by designing and manufacturing microwave devices for use in high-technology defense electronics applications.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15, 2010, we acquired Henry Bros. Electronics, Inc. (“HBE”) in a cash merger for a purchase price of $56.6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$54.9 million was paid in cash and $1.7 million reflects the fair value of options to purchase common stock of HBE that were assumed by us and converted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options to purchase our common stock. Upon completion of the merger, holders of HBE common stock received $8.20 in cash for each share of HBE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held by them immediately prior to the closing of the merger. In addition, upon completion of the merger, all options to purchase HBE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(the “HBE Options”) were assumed by us and converted into options to purchase our common stock, entitling the holders thereof to receive 0.7715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for each share of HBE common stock underlying the HBE Options. The HBE Options will be exercisable for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0.4 million shares of our common stock. The fair value of unvested options which are related to future service will be expensed as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performed over the weighted average vesting period of 2.5 years.</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HBE is a leading provider of homeland security solutions, products, and system integration services, including the design, engineering and operation of command, control and surveillance systems for the protection of strategic assets and critical infrastructure in the U.S. HBE also has particular expertise in the design, engineering, deployment and operation of specialized surveillance, thermal imaging, analytics, radar, and biometrics technology based security</w:t>
      </w:r>
    </w:p>
    <w:p>
      <w:pPr>
        <w:sectPr>
          <w:pgSz w:w="11900" w:h="16838" w:orient="portrait"/>
          <w:cols w:equalWidth="0" w:num="1">
            <w:col w:w="11400"/>
          </w:cols>
          <w:pgMar w:left="240" w:top="125" w:right="259" w:bottom="0" w:gutter="0" w:footer="0" w:header="0"/>
        </w:sectPr>
      </w:pPr>
    </w:p>
    <w:bookmarkStart w:id="21" w:name="page22"/>
    <w:bookmarkEnd w:id="21"/>
    <w:p>
      <w:pPr>
        <w:spacing w:after="0" w:line="2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HBE has been in business for over 50 years and has established relationships with manufacturing partners, industry colleagues, and customers demanding some of the most sophisticated security solutions available. HBE has a national footprint that includes offices in New York, New Jersey, Virginia, Maryland, Texas, Arizona, Colorado and California. The combination of our existing PSS businesses with one of the leading homeland security solutions and high end security system design and engineering services providers in the industry today strategically strengthens our overall capabilities and enhances its customer offerings and overall contract portfolio.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December 7, 2010, we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 Pursuant to the terms of the SCT Agreement, upon achievement of certain earnings before interest, taxes, depreciation, and amortization amounts in 2011, 2012 and 2013, we shall pay the former stockholders of SCT certain additional performance-based consideration (the “SCT Contingent Consideration”). The potential undiscounted amount of all future SCT Contingent Consideration that may be payable by us under the SCT Agreement is between zero and $3.5 million.</w:t>
      </w:r>
    </w:p>
    <w:p>
      <w:pPr>
        <w:spacing w:after="0" w:line="18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SCT provides national security related command and control center, law enforcement, military aviation and data center products, shelters and solutions for the DoD, national security agencies and related customers. SCT also provides products and solutions for specialized war fighter and critical asymmetric warfare related missions. Founded in 2002 and headquartered in Walterboro, South Carolina, SCT designs, engineers, manufactures and delivers various products, shelters and solutions used primarily by the war fighter and first responder in fulfilling their respective national security missions. Representative end customers and program locations include the U.S. Army, Marine Corps, Special Operations Command, Space and Naval Warfare Systems Center, Fort Bragg, Fort Lewis, Fort Bliss, Fort McGregor, Fort Irwin, Fort Stewart, the Border Patrol and the National Guard. SCT is known for its superior design, engineering, construction and on schedule and on budget delivery of cost effective products and solutions that meet critical and special mission national security and asymmetric warfare requirements.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August 9, 2010, we acquired DEI Services Corporation (“DEI”),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Pursuant to the terms of the applicable agreement and plan of merger (the “DEI Agreement”), upon achievement of certain cash receipts, revenue, EBITDA and backlog amounts in 2010, 2011 and 2012, we will be obligated to pay the former stockholders of DEI certain additional contingent consideration (the “DEI Contingent Consideration”). The potential undiscounted amount of all future DEI Contingent Consideration that may be payable by us under the DEI Agreement is between zero and $12.3 million. The DEI Contingent Consideration will be reduced in the event certain anticipated cash receipts are not collected within agreed upon time periods, which could decrease the future payments by approximately $8.6 million.</w:t>
      </w:r>
    </w:p>
    <w:p>
      <w:pPr>
        <w:spacing w:after="0" w:line="19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May 19, 2010, we acquired Gichner Holdings, Inc. (“Gichner”) pursuant to a Stock Purchase Agreement, dated as of April 12, 2010, by and between us and the stockholders of Gichner (the “Gichner Agreement”),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26, 2011, we consider the following factors to be important in understanding our financial statements.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federal government and provided to our PSS customers under fixed price contracts, we utilize both cost-to-cost and units produced measures under the percentage-of-completion method of accounting under the provisions of </w:t>
      </w:r>
      <w:r>
        <w:rPr>
          <w:rFonts w:ascii="Arial" w:cs="Arial" w:eastAsia="Arial" w:hAnsi="Arial"/>
          <w:sz w:val="16"/>
          <w:szCs w:val="16"/>
          <w:i w:val="1"/>
          <w:iCs w:val="1"/>
          <w:color w:val="auto"/>
        </w:rPr>
        <w:t>Financial Accounting Standards Board (“FASB”) Accounting Standards Codification (“ASC”) Topic 605, 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w:t>
      </w:r>
    </w:p>
    <w:p>
      <w:pPr>
        <w:sectPr>
          <w:pgSz w:w="11900" w:h="16865" w:orient="portrait"/>
          <w:cols w:equalWidth="0" w:num="1">
            <w:col w:w="11420"/>
          </w:cols>
          <w:pgMar w:left="240" w:top="125" w:right="239" w:bottom="0" w:gutter="0" w:footer="0" w:header="0"/>
        </w:sectPr>
      </w:pPr>
    </w:p>
    <w:bookmarkStart w:id="22" w:name="page23"/>
    <w:bookmarkEnd w:id="22"/>
    <w:p>
      <w:pPr>
        <w:ind w:right="460"/>
        <w:spacing w:after="0" w:line="342" w:lineRule="auto"/>
        <w:rPr>
          <w:sz w:val="20"/>
          <w:szCs w:val="20"/>
          <w:color w:val="auto"/>
        </w:rPr>
      </w:pPr>
      <w:r>
        <w:rPr>
          <w:rFonts w:ascii="Arial" w:cs="Arial" w:eastAsia="Arial" w:hAnsi="Arial"/>
          <w:sz w:val="16"/>
          <w:szCs w:val="16"/>
          <w:color w:val="auto"/>
        </w:rPr>
        <w:t>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2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monthly on a contract-by-contract basis, and are revised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completed,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27, 2010 to the Three Months Ended June 26, 2011</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$72.0 million from $99.1 million for the three months ended June 27, 2010 to $171.1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26, 2011. KGS segment revenue increased by $53.7 million. This increase was primarily due to the acquisitions of DEI, SCT, and Herley which had combined revenues of $60.1 million and a full quarter of revenue from Gichner which resulted in increased revenue of $11.8 million which was partially offset by the completion of acquired small business contracts, impact of funding and contract awards as a result of the continuing resolution, and in-sourcing of our employees by the U.S. Government. PSS segment revenue increased by $18.3 million which was primarily due to the acquisition of HBE which had revenues of $16.6 million as well as organic growth of $1.7 million in our existing PSS business as a result of increased demand for security and surveillance systems. Revenues by operating segment for the three months ended June 27, 2010 and June 26, 2011 are as follows (dollars in millions):</w:t>
      </w:r>
    </w:p>
    <w:p>
      <w:pPr>
        <w:spacing w:after="0" w:line="159"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June 27, 2010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June 26, 2011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53.7</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18.3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0"/>
        </w:trPr>
        <w:tc>
          <w:tcPr>
            <w:tcW w:w="3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72.0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increased $67.8 million from $28.0 million for the three months ended June 27, 2010 to $95.8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26, 2011. As a percentage of total revenue, product sales were 28% for the three months ended June 27, 2010 as compared to 56%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June 26, 2011. This increase was primarily related to the acquisitions of Herley, DEI, and SCT. Service revenues increased by $4.2 million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$71.1 million for the three months ended June 27, 2010 to $75.3 million for the three months ended June 26, 2011. The increase was primarily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HBE partially offset by the reductions in service revenue in the KGS segment as discussed above.</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from $79.2 million for the three months ended June 27, 2010 to $125.7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26, 2011. The $46.5 million increase in cost of revenues was primarily a result of the acquisitions of DEI, SCT, HBE, and Herley which had combined cost of revenues of $49.1 million and increases in cost of revenues of $10.8 million related to a full three months of costs for Gichner, offset by reductions in cost of revenues in our KGS segment as a result of decreased revenue discussed above. Gross margin increased from 20.1% for the three months ended June 27, 2010 to 26.5% for the three months ended June 26, 2011. Margins on services increased for the three months ended June 27, 2010 as compared to June 26, 2011, from 21.0% to 23.0%, respectively, due primarily to the acquisition of HBE. Margins on products increased for the three months ended June 27, 2010 as compared to June 26, 2011 from 17.9% to 29.3%, respectively, as a result of the DEI, SCT, and Herley acquisitions. Margins in the KGS segment increased from 20.6% for the three months ended June 27, 2010 to 26.2% for the three months ended June 26, 2011 primarily as a result of the higher gross margins from our DEI, SCT and Herley acquisitions. Margins in the PSS segment decreased from 34.7% for the three months ended June 27, 2010 to 28.3% for the three months ended June 26, 2011 as a result of the mix of revenue.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$19.9 million from $13.8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27, 2010 to $33.7 million for the three months ended June 26, 2011. The increase was primarily a result of the acquisitions of DEI, SCT, HBE, and Herley and a full three months of expenses for Gichner. As a percentage of revenues, SG&amp;A increased from 13.9% to 19.7%. Excluding amortization of intangibles of $2.0 million for the three months ended June 27, 2010 and amortization of intangibles of $9.2 million for the three months ended June 26, 2011, SG&amp;A increased as a percentage of revenues from 11.9% to 14.3% for the three months ended June 27, 2010 and June 26, 2011, respectively, reflecting the SG&amp;A of our acquisitions of Herley and HBE which have higher SG&amp;A as a percentage of revenues and corresponding higher gross margin percentages.</w:t>
      </w:r>
    </w:p>
    <w:p>
      <w:pPr>
        <w:spacing w:after="0" w:line="18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and Other. </w:t>
      </w:r>
      <w:r>
        <w:rPr>
          <w:rFonts w:ascii="Arial" w:cs="Arial" w:eastAsia="Arial" w:hAnsi="Arial"/>
          <w:sz w:val="18"/>
          <w:szCs w:val="18"/>
          <w:color w:val="auto"/>
        </w:rPr>
        <w:t>Merger and acquisition expenses for the three months ended June 27, 2010 were $1.1 million,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related to the acquisition of Gichner. Merger and acquisition expenses for the three months ended June 26, 2011 were $1.8 million which were primarily related to our acquisitions of Herley and Integral Systems.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$0.5 million for the three months ended June 27, 2010 to</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for the three months ended June 26, 2011 primarily related to the acquisition of Herley.</w:t>
      </w:r>
    </w:p>
    <w:p>
      <w:pPr>
        <w:sectPr>
          <w:pgSz w:w="11900" w:h="16838" w:orient="portrait"/>
          <w:cols w:equalWidth="0" w:num="1">
            <w:col w:w="11400"/>
          </w:cols>
          <w:pgMar w:left="240" w:top="125" w:right="259" w:bottom="0" w:gutter="0" w:footer="0" w:header="0"/>
        </w:sectPr>
      </w:pPr>
    </w:p>
    <w:bookmarkStart w:id="23" w:name="page24"/>
    <w:bookmarkEnd w:id="23"/>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$5.1 million to $13.1 million for the three months ended June 27, 2010 and June 26, 2011,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$8.0 million is primarily related to a $7.6 million increase in interest expense as a result of the Existing Notes issued in May 2010 and March 2011, primarily to fund the Gichner and Herley acquisitions.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We recorded an income tax benefit of $11.7 million on a loss of $0.6 million before income taxes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2010. The benefit of $11.7 million was primarily related to the establishment of deferred tax liabilities, in acquisition accounting, of approximately $16.2 million for the increase in the financial statement basis of the acquired assets of Gichner. As a result of the ability to recognize deferred tax assets for these deferred tax liabilities, the Company released valuation allowances against its deferred tax assets and recognized an income tax benefit of $12.2 million for the three months ended June 27, 2010.</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recorded an income tax expense of $0.9 million, or a negative 20.15% rate, on loss of $4.4 million before income taxes for the three months ended June 26, 2011. The expense of $0.9 million was primarily related to state and foreign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was $0.4 million and income from discontinued operations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three months ended June 27, 2010 and June 26, 2011, respectively. The loss of $0.4 million for the three months ended June 27, 2010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impairment charge of $0.2 million to reflect the terms of the sale of our Southeast division of our PSS segment which occurred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August 2010 and operating losses for this division. The income of $0.1 million for the three months ended June 26, 2011 was primarily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expiration of the statute of limitations for items that had previously been reserved. Revenues generated by these businesses were approximately $0.8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zero for the three months ended June 27, 2010 and June 26, 2011, respectively. Loss before taxes was a loss of $0.2 million, excluding the impairment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 for the three months ended June 27, 2010 and income before taxes was $0.1 million for the three months ended June 26,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27, 2010 to the Six Months Ended June 26, 2011</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$126.1 million from $167.8 million for the six months ended June 27, 2010 to $ 293.9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26, 2011. KGS segment revenue increased by $89.6 million. This increase was primarily due to the acquisitions of DEI, SCT, and Herley which had combined revenues of $66.9 million and a full six months of revenue from Gichner which resulted in increased revenue of $45.8 million which was partially offset by the completion of acquired small business contracts, impact of funding and contract awards as a result of the continuing resolution, and in-sourcing of our employees by the U.S. Government. PSS segment revenue increased by $36.5 million which was primarily the due to the acquisition of HBE which had revenues of $33.4 million as well as organic growth of $3.1 million in our existing PSS business as a result of increased demand for security and surveillance systems. Revenues by operating segment for the three months ended June 27, 2010 and June 26, 2011 are as follows (dollars in millions):</w:t>
      </w:r>
    </w:p>
    <w:p>
      <w:pPr>
        <w:spacing w:after="0" w:line="159"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June 27, 2010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June 26, 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10"/>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Product sales increased $106.7 million from $32.1 million for the six months ended June 27, 2010 to $138.8 million for the six months ended June 26, 2011. As a percentage of total revenue, product sales were 19% for the six months ended June 27, 2010 as compared to 47% for the six months ended June 26, 2011. This increase was primarily related to the acquisitions of Gichner, DEI, SCT and Herley. Service revenues increased by $19.4 million from $135.7 million for the six months ended June 27, 2010 to $155.1 million for the six months ended June 26, 2011. The increase was primarily related to the acquisition of HBE partially offset by the reductions in service revenue in the KGS segment as discussed above.</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from $132.6 million for the six months ended June 27, 2010 to $221.1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26, 2011. The $88.5 million increase in cost of revenues was primarily a result of the acquisitions of DEI, SCT, HBE, and Herley which had combined cost of revenues of $65.1 million and increases in cost of revenues of $38.6 million related to a full six months of costs for Gichner offset by reductions in cost of revenues in our KGS segment as a result of decreased revenue as discussed above. Gross margin increased from 21.0% for the six months ended June 27, 2010 to 24.8% for the six months ended June 26, 2011. Margins on services increased for the six months ended June 27, 2010 as compared to June 26, 2011, from 21.7% to 23.7%, respectively, due primarily to the acquisition of HBE. Margins on products increased for the six months ended June 27, 2010 as compared to June 26, 2011 from 17.8% to 25.9%, respectively, as a result of the DEI, SCT, and Herley acquisitions. Margins in the KGS segment increased from 21.6% for the six months ended June 27, 2010 to 24.0% for the six months ended June 26, 2011 primarily as a result of the higher gross margins from our DEI, SCT and Herley acquisitions. Margins in the PSS segment decreased from 34.0% for the six months ended June 27, 2010 to 28.3% for the six months ended June 26, 2011 as a result of the mix of revenue.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Selling, general and administrative expenses increased $28.4 million from $24.9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27, 2010 to $53.3 million for the six months ended June 26, 2011. The increase was primarily a result of the acquisitions of DEI, SCT, HBE, and Herley and a full six months of expenses for Gichner. As a percentage of revenues, SG&amp;A increased from 14.8% to 18.1%. Excluding amortization of intangibles of $3.3 million for the six months ended June 27, 2010 and amortization of intangibles of $12.6 million for the six months ended June 26, 2011, SG&amp;A increased as a percentage of revenues from 12.9% to 13.8% for the six months ended June 27, 2010 and June 26, 2011, respectively, reflecting the SG&amp;A of our acquisitions of Herley and HBE which have higher SG&amp;A as a percentage of revenues and corresponding higher gross margin percentages.</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increased $6.5 million from $1.1 million to $7.6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27, 2010 and June 26, 2011, respectively. Acquisition expenses in 2010 related primarily to our acquisition of Gichner on May 19, 2010. Merger and acquisition expenses in 2011 are primarily related to the acquisitions of Herley and Integral Systems.</w:t>
      </w:r>
    </w:p>
    <w:p>
      <w:pPr>
        <w:sectPr>
          <w:pgSz w:w="11900" w:h="16838" w:orient="portrait"/>
          <w:cols w:equalWidth="0" w:num="1">
            <w:col w:w="11380"/>
          </w:cols>
          <w:pgMar w:left="240" w:top="125" w:right="279" w:bottom="0" w:gutter="0" w:footer="0" w:header="0"/>
        </w:sectPr>
      </w:pPr>
    </w:p>
    <w:bookmarkStart w:id="24" w:name="page25"/>
    <w:bookmarkEnd w:id="24"/>
    <w:p>
      <w:pPr>
        <w:spacing w:after="0" w:line="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$1.1 million for the six months ended June 27, 2010 to</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for the six months ended June 26, 2011 primarily related to the acquisition of Herley.</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$8.8 million to $19.5 million for the six months ended June 27, 2010 and June 26, 2011,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$10.7 million is primarily related to an increase in interest expense as a result of the Existing Notes issued in May 2010 and March 2011, primarily to fund the Gichner and Herley acquisitions.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Benefit for Income Taxes. </w:t>
      </w:r>
      <w:r>
        <w:rPr>
          <w:rFonts w:ascii="Arial" w:cs="Arial" w:eastAsia="Arial" w:hAnsi="Arial"/>
          <w:sz w:val="17"/>
          <w:szCs w:val="17"/>
          <w:color w:val="auto"/>
        </w:rPr>
        <w:t>We recorded an income tax benefit of $11.4 million on a loss of $0.7 million before income taxes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27, 2010. The benefit of $11.4 million was primarily related to the establishment of deferred tax liabilities, in acquisition accounting, of approximately $16.2 million for the increase in the financial statement basis of the acquired assets of Gichner. As a result of the ability to recognize deferred tax assets for these deferred tax liabilities, the Company released valuation allowance against its deferred tax assets and recognized an income tax benefit of $12.2 million for the six months ended June 27, 2010. This benefit was partially offset by current state taxes of $0.8 million.</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recorded an income tax benefit of $0.3 million, or a 3.2% rate, on loss of $9.4 million before income taxes for the six months ended June 26, 2011. The benefit of $0.3 million was primarily related to the income tax refund claim of $2.1 million that was settled with the IRS offset by state and foreign income taxes of $1.6 million, which cannot be offset by our net operating losses.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Income from discontinued operations improved from $0.2 million to $0.4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27, 2010 and June 26, 2011, respectively. In 2010, the income was primarily due to a reduction in liabilities as a result of the final settlement of sales and use tax liabilities related to our discontinued wireless deployment business partially offset by losses in the Southeast division of PSS. Revenues generated by these businesses were approximately $1.9 million and zero for the six months ended June 27, 2010 and June 26, 2011, respectively. Excluding an impairment charge in 2010 losses before taxes were $0.4 million for the six months ended June 27, 2010 and income before taxes was $0.1 million for the six months ended June 26, 2011. For the six months ended June 27, 2010 and June 26, 2011, we recognized a tax benefit of $0.8 million and $0.3 million, respectively, primarily related to the expiration of the statute of limitations for certain foreign tax contingencies from our discontinued wireless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of June 27, 2010 and June 26, 2011, our backlog was approximately $680 million and $932 million, respectively, of which $252 million was funded in 2010 and $383 million was funded in 2011.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26, 2011, we had cash and cash equivalents of $100.4 million compared with cash and cash equivalents of $10.8 million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26, 2010. Our total debt increased by $292.0 million, from $226.7 million on December 26, 2010 to $518.7 million on June 26, 2011. The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debt was the result of an additional offering of our 10% Senior Secured Notes in the aggregate amount of $285.0 million issued at a premium of 107%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acquisition of Herley and debt of $7.5 million assumed in the Herley transaction that is related to a foreign loan.</w:t>
      </w:r>
    </w:p>
    <w:p>
      <w:pPr>
        <w:spacing w:after="0" w:line="21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our ongoing operations,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condensed consolidated statements of cash flows is as follows (in millions):</w:t>
      </w:r>
    </w:p>
    <w:p>
      <w:pPr>
        <w:sectPr>
          <w:pgSz w:w="11900" w:h="16917" w:orient="portrait"/>
          <w:cols w:equalWidth="0" w:num="1">
            <w:col w:w="11400"/>
          </w:cols>
          <w:pgMar w:left="240" w:top="125" w:right="259" w:bottom="0" w:gutter="0" w:footer="0" w:header="0"/>
        </w:sectPr>
      </w:pPr>
    </w:p>
    <w:p>
      <w:pPr>
        <w:spacing w:after="0" w:line="162" w:lineRule="exact"/>
        <w:rPr>
          <w:sz w:val="20"/>
          <w:szCs w:val="20"/>
          <w:color w:val="auto"/>
        </w:rPr>
      </w:pPr>
    </w:p>
    <w:p>
      <w:pPr>
        <w:ind w:left="7140"/>
        <w:spacing w:after="0"/>
        <w:tabs>
          <w:tab w:leader="none" w:pos="8760" w:val="left"/>
        </w:tabs>
        <w:rPr>
          <w:sz w:val="20"/>
          <w:szCs w:val="20"/>
          <w:color w:val="auto"/>
        </w:rPr>
      </w:pPr>
      <w:r>
        <w:rPr>
          <w:rFonts w:ascii="Arial" w:cs="Arial" w:eastAsia="Arial" w:hAnsi="Arial"/>
          <w:sz w:val="14"/>
          <w:szCs w:val="14"/>
          <w:b w:val="1"/>
          <w:bCs w:val="1"/>
          <w:color w:val="auto"/>
        </w:rPr>
        <w:t>Six months ended</w:t>
      </w:r>
      <w:r>
        <w:rPr>
          <w:sz w:val="20"/>
          <w:szCs w:val="20"/>
          <w:color w:val="auto"/>
        </w:rPr>
        <w:tab/>
      </w:r>
      <w:r>
        <w:rPr>
          <w:rFonts w:ascii="Arial" w:cs="Arial" w:eastAsia="Arial" w:hAnsi="Arial"/>
          <w:sz w:val="12"/>
          <w:szCs w:val="12"/>
          <w:b w:val="1"/>
          <w:bCs w:val="1"/>
          <w:color w:val="auto"/>
        </w:rPr>
        <w:t>Six months ended</w:t>
      </w:r>
    </w:p>
    <w:p>
      <w:pPr>
        <w:spacing w:after="0" w:line="4" w:lineRule="exact"/>
        <w:rPr>
          <w:sz w:val="20"/>
          <w:szCs w:val="20"/>
          <w:color w:val="auto"/>
        </w:rPr>
      </w:pPr>
    </w:p>
    <w:p>
      <w:pPr>
        <w:ind w:left="7420"/>
        <w:spacing w:after="0"/>
        <w:tabs>
          <w:tab w:leader="none" w:pos="9040" w:val="left"/>
        </w:tabs>
        <w:rPr>
          <w:sz w:val="20"/>
          <w:szCs w:val="20"/>
          <w:color w:val="auto"/>
        </w:rPr>
      </w:pPr>
      <w:r>
        <w:rPr>
          <w:rFonts w:ascii="Arial" w:cs="Arial" w:eastAsia="Arial" w:hAnsi="Arial"/>
          <w:sz w:val="14"/>
          <w:szCs w:val="14"/>
          <w:b w:val="1"/>
          <w:bCs w:val="1"/>
          <w:color w:val="auto"/>
        </w:rPr>
        <w:t>June 27,</w:t>
      </w:r>
      <w:r>
        <w:rPr>
          <w:sz w:val="20"/>
          <w:szCs w:val="20"/>
          <w:color w:val="auto"/>
        </w:rPr>
        <w:tab/>
      </w:r>
      <w:r>
        <w:rPr>
          <w:rFonts w:ascii="Arial" w:cs="Arial" w:eastAsia="Arial" w:hAnsi="Arial"/>
          <w:sz w:val="12"/>
          <w:szCs w:val="12"/>
          <w:b w:val="1"/>
          <w:bCs w:val="1"/>
          <w:color w:val="auto"/>
        </w:rPr>
        <w:t>June 26,</w:t>
      </w:r>
    </w:p>
    <w:p>
      <w:pPr>
        <w:sectPr>
          <w:pgSz w:w="11900" w:h="16917" w:orient="portrait"/>
          <w:cols w:equalWidth="0" w:num="1">
            <w:col w:w="11400"/>
          </w:cols>
          <w:pgMar w:left="240" w:top="125" w:right="259" w:bottom="0" w:gutter="0" w:footer="0" w:header="0"/>
          <w:type w:val="continuous"/>
        </w:sectPr>
      </w:pPr>
    </w:p>
    <w:bookmarkStart w:id="25" w:name="page26"/>
    <w:bookmarkEnd w:id="25"/>
    <w:p>
      <w:pPr>
        <w:ind w:left="7540"/>
        <w:spacing w:after="0"/>
        <w:tabs>
          <w:tab w:leader="none" w:pos="91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6350</wp:posOffset>
            </wp:positionV>
            <wp:extent cx="579755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5" w:lineRule="exact"/>
        <w:rPr>
          <w:sz w:val="20"/>
          <w:szCs w:val="20"/>
          <w:color w:val="auto"/>
        </w:rPr>
      </w:pPr>
    </w:p>
    <w:p>
      <w:pPr>
        <w:ind w:left="980"/>
        <w:spacing w:after="0"/>
        <w:tabs>
          <w:tab w:leader="none" w:pos="6980" w:val="left"/>
          <w:tab w:leader="none" w:pos="8100" w:val="left"/>
          <w:tab w:leader="none" w:pos="8620" w:val="left"/>
          <w:tab w:leader="none" w:pos="9600" w:val="left"/>
        </w:tabs>
        <w:rPr>
          <w:sz w:val="20"/>
          <w:szCs w:val="20"/>
          <w:color w:val="auto"/>
        </w:rPr>
      </w:pPr>
      <w:r>
        <w:rPr>
          <w:rFonts w:ascii="Arial" w:cs="Arial" w:eastAsia="Arial" w:hAnsi="Arial"/>
          <w:sz w:val="17"/>
          <w:szCs w:val="17"/>
          <w:color w:val="auto"/>
        </w:rPr>
        <w:t>Net cash provided by (used in) operating activities from continuing operations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w:t>
        <w:tab/>
        <w:t>$</w:t>
      </w:r>
      <w:r>
        <w:rPr>
          <w:sz w:val="20"/>
          <w:szCs w:val="20"/>
          <w:color w:val="auto"/>
        </w:rPr>
        <w:tab/>
      </w:r>
      <w:r>
        <w:rPr>
          <w:rFonts w:ascii="Arial" w:cs="Arial" w:eastAsia="Arial" w:hAnsi="Arial"/>
          <w:sz w:val="16"/>
          <w:szCs w:val="16"/>
          <w:color w:val="auto"/>
        </w:rPr>
        <w:t>(10.1)</w:t>
      </w:r>
    </w:p>
    <w:p>
      <w:pPr>
        <w:spacing w:after="0" w:line="20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Cash provided by operating activities from continuing operations for the six months ended June 27, 2010 includes $1.3 million in acquisition costs paid related to the Gichner acquisition. Excluding these acquisition costs paid, we generated cash flow from operating activities of $7.9 million.</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Cash used in operating activities from continuing operations for the six months ended June 26, 2011 includes $13.9 million in merger and acquisition costs paid related to our recent acquisitions. Excluding these acquisition costs paid, we generated cash flow from operating activities of $3.8 million. Our cash flows from operating activities were negatively impacted by the prolonged continuing resolution that the U.S. Government operated under from October 2010 through April 15, 2011 when the 2011 budget was enacted. The protracted negotiations to enact a 2011 budget resulted in delays in contract awards, contract funding, and increased work performed prior to contract funding. The continuing resolution also contributed to the increase in our Days Sales Outstanding from 75 days (excluding the recent impact of the acquisition of HBE) at December 26, 2010 to 87 days at June 26, 2011.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26,</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restricted cash</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11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19, 2010, we purchased Gichner for $132.9 million net of cash acquired of $0.1 million.</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On March 25, 2011, we completed our initial tender offer for all outstanding shares of common stock, par value $0.001 per share, of Herley. On that day, we paid $245.5 million for approximately 12.9 million shares of Herley common stock which excluded 0.3 million shares that had been tendered via a notice of guaranteed delivery. Through purchases in a subsequent offering period and a short-form merger, the Company completed its acquisition of Herley on March 30, 2011, and paid approximately $25.1 million in April 2011 for the balance of the outstanding shares of 1.2 million and the Herley Options that were exercised as a result of the change in control. See Note 2 of the notes to the condensed consolidated financial statements. In March 2011, we also paid $0.3 million to the SCT shareholders as SCT’s indemnification obligations as set forth in the SCT Agreement were met.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Six months ended</w:t>
            </w:r>
          </w:p>
        </w:tc>
      </w:tr>
      <w:tr>
        <w:trPr>
          <w:trHeight w:val="149"/>
        </w:trPr>
        <w:tc>
          <w:tcPr>
            <w:tcW w:w="5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June 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26,</w:t>
            </w:r>
          </w:p>
        </w:tc>
      </w:tr>
      <w:tr>
        <w:trPr>
          <w:trHeight w:val="171"/>
        </w:trPr>
        <w:tc>
          <w:tcPr>
            <w:tcW w:w="56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Proceeds from the issuance of 10% Senior Secured Notes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225.0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Borrowings under credit facility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under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0"/>
        </w:trPr>
        <w:tc>
          <w:tcPr>
            <w:tcW w:w="5680" w:type="dxa"/>
            <w:vAlign w:val="bottom"/>
          </w:tcPr>
          <w:p>
            <w:pPr>
              <w:ind w:left="360"/>
              <w:spacing w:after="0"/>
              <w:rPr>
                <w:sz w:val="20"/>
                <w:szCs w:val="20"/>
                <w:color w:val="auto"/>
              </w:rPr>
            </w:pPr>
            <w:r>
              <w:rPr>
                <w:rFonts w:ascii="Arial" w:cs="Arial" w:eastAsia="Arial" w:hAnsi="Arial"/>
                <w:sz w:val="18"/>
                <w:szCs w:val="18"/>
                <w:color w:val="auto"/>
                <w:w w:val="98"/>
              </w:rPr>
              <w:t>Net cash provided by financing activities from continuing operations</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During the six months ended June 27, 2010, cash provided by financing activities was primarily related to the proceeds from the offering of the Original Notes (as defined below) in the aggregate amount of $225.0 million, which proceeds were then used to finance the acquisition of Gichner and refinance our senior secured credit facility with KeyBank and Bank of America.</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described immediately below, during the six months ended June 26, 2011, we issued common stock and additional notes to fund the acquisition of Herley.</w:t>
      </w:r>
    </w:p>
    <w:p>
      <w:pPr>
        <w:spacing w:after="0" w:line="170"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February 11,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On March 25, 2011, we issued the Stage I Notes. The Stage I Notes were offered at a premium of 107%, for an effective interest rate of 8.5% and the gross proceeds were approximately $314.0 million, which includes approximately $20.0 million of issuance premium and $9.0 million of accrued interest. We paid $14.6 million in debt issuance costs related to this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“Contractual Obligations and Commitments” for a further discussion of our Notes and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r>
      <w:tr>
        <w:trPr>
          <w:trHeight w:val="149"/>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26,</w:t>
            </w:r>
          </w:p>
        </w:tc>
      </w:tr>
      <w:tr>
        <w:trPr>
          <w:trHeight w:val="171"/>
        </w:trPr>
        <w:tc>
          <w:tcPr>
            <w:tcW w:w="6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118" w:right="199" w:bottom="1"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8" w:right="199" w:bottom="1"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(the “Indenture”) to issue 10% Senior Secured Notes due 2017. We have issued notes of $225.0 million (the “Original Notes”) and $285.0 million (the “Additional Notes” and, together with the Original Notes, the “Existing Notes”) under this Indenture, collectively referred to herein as Notes. These Existing Notes were used to fund acquisitions and for general corporate purposes. They are secured by a lien on substantially all of our assets and the assets of the guarantors thereunder, subject to certain exceptions and permitted liens. The holders of the Existing Notes have a first priority lien on substantially all of our assets and the assets of the guarantors, except accounts receivable, inventory, deposit accounts, securities accounts, cash, securities and general intangibles (other than intellectual property) where the holders of the senior secured borrowings have a second priority lien to the $35.0 million credit facility described below.</w:t>
      </w:r>
    </w:p>
    <w:p>
      <w:pPr>
        <w:spacing w:after="0" w:line="167"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We pay interest on the Existing Notes semi-annually, in arrears, on June 1 and December 1 of each year. The Existing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26, 2011, we were in compliance with the covenants contained in the indentures related to each respective Existing Notes described below.</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or after June 1, 2014, we may redeem some or all of the Existing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Existing Notes at 110% of the aggregate principal amount of the Existing Notes, plus accrued and unpaid interest to the redemption date, with the net cash proceeds of certain equity offerings. In addition, we may, at our option, redeem some or all of the Existing Notes at any time prior to June 1, 2014, by paying a “make whole” premium, plus accrued and unpaid interest, if any, to the date of redemption.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Original Notes - $225 Million 10% Senior Secured Note Offering, May 2010</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19, 2010, we issued our 10% Senior Secured Notes due June 1, 2017 in the aggregate principal amount of $225.0 million in an unregistered offering pursuant to Rule 144A and Regulation S under the Securities Act of 1933, as amended (the “Securities Act”) and on August 11, 2010, we completed an exchange offer for such notes pursuant to a registration rights agreement entered into in connection with the issuance thereof. The proceeds were primarily used to finance the acquisitions of Gichner, DEI and SCT.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Notes - $285 Million 10% Senior Secured Note Offering, March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the Stage I Issuer issued $285.0 million aggregate principal amount of the Stage I Notes pursuant to an Indenture,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25, 2011, by and among the Stage I Issuer, the guarantors named therein and a party thereto, and Wilmington Trust FSB, as trustee and collateral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“Stage I Indenture”). The Stage I Issuer received approximately $314.0 million in cash proceeds from the offering, which includes an approximate $20.0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issuance premiums and $9.0 million of accrued interest, which proceeds were used, together with our cash contributions of $45.0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finance the acquisition of all of the outstanding shares of common stock of Herley, to pay related fees and expenses and for general corporate purposes.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interest rate on the Additional Notes is 8.5%. In connection with the purchase and sale of the Stage I Notes, we entered into a registration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the initial purchasers of the Stage I Notes. On April 4, 2011, (i) the Stage I Issuer merged with and into Kratos, and we assumed all the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of the Stage I Issuer including, pursuant to a supplemental indenture to the Stage I Indenture, all the obligations of the Stage I Issuer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Stage I Indenture, the Stage I Notes and the related Collateral Agreements and (ii) we became the issuer of the Stage I Notes under the Stage I Indenture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pledgor under such Collateral Agreements. On April 15, 2011, we redeemed all of the Stage I Notes by issuing in exchange therefore the Additional Notes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aggregate principal amount equal to the aggregate principal amount of the Stage I Notes. On July 29, 2011, we completed an exchange offer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Notes pursuant to a registration rights agreement entered into in connection with the issuance thereof.</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May 15, 2011, we entered into an Agreement and Plan of Merger with Integral Systems, IRIS Merger Sub Inc., a Maryland corporation and our wholly owned subsidiary, and IRIS Acquisition Sub LLC, a Maryland limited liability company and our wholly owned subsidiary. On July 27, 2011, pursuant to the terms and subject to the conditions set forth in the Merger Agreement, Merger Sub merged with and into Integral Systems, and Integral Systems continued as the surviving corporation and as our wholly owned subsidiary. The total aggregate purchase price is estimated to be $236.3 million which includes $37.2 million of Integral Systems debt paid at closing.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entered into two transactions for the purpose of financing the acquisition of Integral Systems and providing capital for general corporate purposes. On July 27, 2011, we issued $115.0 million aggregate principal amount of our 10% Senior Secured Notes due 2017 (the “July Notes”). The July Notes were issued at a premium of 105%, for an effective interest rate of approximately 8.9%. The gross proceeds of approximately $121.0 million, which includes an approximate $6.0 million of issuance premium and excludes accrued interest, will be used to finance, in part, the cash portion of the purchase price for the acquisition of Integral Systems, to refinance existing indebtedness of Integral Systems and its subsidiaries, to pay certain severance payments in connection with the Merger and to pay related fees and expenses. The July Notes and related guarantees are secured by a lien on substantially all of our assets and our existing and future domestic restricted subsidiaries, subject to certain exceptions and permitted liens. The July Notes have substantially similar terms as the Existing Notes, except that the Existing Notes do not have transfer restrictions or registration rights.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Concurrent with the completion of the offering of the July Notes on July 27, 2011 we entered into an amended and restated Credit and Security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(the “Amended Credit Agreement”) replacing our current Credit Agreement with KeyBank as administrative agent, lead arranger and sole book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runner, East West Bank and Bank of the West participating in the syndication for a five year senior secured revolving credit facility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$65.0 million (the “Amended Revolver”). The Amended Revolver has a maturity date of July 27, 2016 and is secured by a lien on substantially all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assets and the assets of the guarantors thereunder, subject to certain exceptions and permitted liens. The Amended Revolver has a first priority lien on</w:t>
      </w:r>
    </w:p>
    <w:p>
      <w:pPr>
        <w:sectPr>
          <w:pgSz w:w="11900" w:h="16838" w:orient="portrait"/>
          <w:cols w:equalWidth="0" w:num="1">
            <w:col w:w="11420"/>
          </w:cols>
          <w:pgMar w:left="240" w:top="368" w:right="239" w:bottom="0" w:gutter="0" w:footer="0" w:header="0"/>
        </w:sectPr>
      </w:pPr>
    </w:p>
    <w:bookmarkStart w:id="27" w:name="page28"/>
    <w:bookmarkEnd w:id="27"/>
    <w:p>
      <w:pPr>
        <w:ind w:right="240"/>
        <w:spacing w:after="0" w:line="264" w:lineRule="auto"/>
        <w:rPr>
          <w:sz w:val="20"/>
          <w:szCs w:val="20"/>
          <w:color w:val="auto"/>
        </w:rPr>
      </w:pPr>
      <w:r>
        <w:rPr>
          <w:rFonts w:ascii="Arial" w:cs="Arial" w:eastAsia="Arial" w:hAnsi="Arial"/>
          <w:sz w:val="18"/>
          <w:szCs w:val="18"/>
          <w:color w:val="auto"/>
        </w:rPr>
        <w:t>accounts receivable, inventory, deposit accounts, securities accounts, cash, securities and general intangibles (other than intellectual property). On all other assets, the Amended Revolver has a second priority lien junior to the lien securing the Original Notes, Additional Notes and July Notes (collectively, the “Notes”).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Amended Revolver may be increased to $100.0 million. The increases in the Amended Revolver are subject to the consent of the administrative agent, identification of one or more additional lenders willing to advance the increased amount of the Amended Revolver and compliance with covenants in the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then we are required to repay such borrowings in an amount sufficient to eliminate such excess. The Amended Revolver includes $30.0 million of availability for letters of credit and $5.0 million of availability for swingline loans.</w:t>
      </w:r>
    </w:p>
    <w:p>
      <w:pPr>
        <w:spacing w:after="0" w:line="17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may borrow funds under the Amended Revolver at a base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assumed a $10.0 million ten-year term loan with a bank in Israel that Herley entered into on September 16, 2008 in connection with the acquisition of one of its wholly owned subsidiaries. The balance as of June 26, 2011 was $7.2 million and the loan is payable in quarterly installments of $0.3 million plus interest at LIBOR plus a margin of 1.5%. The loan agreement contains various financial covenants including a minimum net equity covenant as defined in the loan agreement. We were in compliance with the financial covenants as of June 26, 2011.</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 and Divestitures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xml:space="preserve"> such amounts are recorded at fair value on the acquisition date.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Upon completion of the Gichner transaction, we deposited $8.1 million of the purchase price into an escrow account as security for Gichner’s indemnification obligations as set forth in the Gichner Agreement. In addition, the Gichner Agreement provided that the purchase price would be (i) increased on a dollar for dollar basis if the working capital on the closing date (as defined in the Gichner Agreement) exceeded $17.5 million or (ii) decreased on a dollar for dollar basis if the working capital was less than $17.1 million. We and Altus Capital Partners, Inc., the sellers’ representative under the Gichner Agreement, have agreed to a working capital adjustment of $0.6 million owed to us. In May 2011 we paid $7.1 million of the holdback and will pay the remaining amount of the holdback owed of $0.4 million in the third quarter of 2011.</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DEI Agreement provides that upon achievement of certain cash receipts, revenue, EBITDA and backlog amounts in 2010, 2011 and 2012, we shall pay the former stockholders of DEI certain additional contingent consideration. We have paid $0.4 million related to contingent consideration and the potential amount of contingent consideration that may be payable by us in the future under the DEI Agreement is between zero and $8.0 million. The contingent consideration will be reduced in the event certain anticipated cash receipts are not collected within agreed upon time periods. As of June 26, 2011, $2.6 million of these cash receipts have been collected and future payments could be reduced by approximately $6.0 million if the final cash receipt is not collected.</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SCT Agreement provides that upon achievement of certain EBITDA amounts in 2011, 2012 and 2013, we shall pay the former stockholders of SCT certain additional performance-based consideration. The potential undiscounted amount of all future contingent consideration that may be payable by us under the SCT Agreement is between zero and $3.5 million.</w:t>
      </w:r>
    </w:p>
    <w:p>
      <w:pPr>
        <w:spacing w:after="0" w:line="181"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240" w:firstLine="729"/>
        <w:spacing w:after="0" w:line="264" w:lineRule="auto"/>
        <w:rPr>
          <w:sz w:val="20"/>
          <w:szCs w:val="20"/>
          <w:color w:val="auto"/>
        </w:rPr>
      </w:pPr>
      <w:r>
        <w:rPr>
          <w:rFonts w:ascii="Arial" w:cs="Arial" w:eastAsia="Arial" w:hAnsi="Arial"/>
          <w:sz w:val="18"/>
          <w:szCs w:val="18"/>
          <w:color w:val="auto"/>
        </w:rPr>
        <w:t>At June 26, 2011, we had working capital of $224.1 million compared to $66.0 million at December 26, 2010. The increase was primarily due to the issuance of 4.9 million shares of our common stock and the issuance of the Additional Notes in the amount of $285.0 million, offset by cash paid of $248.9 million to acquire Herley, net of cash acquired.</w:t>
      </w:r>
    </w:p>
    <w:p>
      <w:pPr>
        <w:sectPr>
          <w:pgSz w:w="11900" w:h="16838" w:orient="portrait"/>
          <w:cols w:equalWidth="0" w:num="1">
            <w:col w:w="11400"/>
          </w:cols>
          <w:pgMar w:left="240" w:top="125" w:right="259" w:bottom="56" w:gutter="0" w:footer="0" w:header="0"/>
        </w:sectPr>
      </w:pPr>
    </w:p>
    <w:bookmarkStart w:id="28" w:name="page29"/>
    <w:bookmarkEnd w:id="28"/>
    <w:p>
      <w:pPr>
        <w:spacing w:after="0" w:line="2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may also pursue business acquisitions and other transactions designed to expand our business, which we would expect to fund from borrowings under the Amended Revolver, other future indebtedness or, if appropriate, the private and/or public sale or exchange of our debt or equity securities.</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the six months ended June 26, 2011, there have been no significant changes to our Critical Accounting Policies or Estimates compared to the significant accounting policies described in the Form 10-K with the following exception: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Comprehensive income consists of (i) net income and (ii) other related gains and losses affecting stockholders’ equity that, under GAAP, are excluded from net income. For the Company, other comprehensive income (loss) consists solely of unrealized foreign currency translation gains and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New accounting pronouncements issued or effective during the three month period ended June 26, 2011 have not had or are not expected to have a material impact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Exposure to market risk for changes in interest rates relates to our outstanding debt. We are exposed to interest rate risk primarily through our borrowing activities under our Amended Revolver and ten-year term note discussed under 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Cash and cash equivalents as of June 26, 2011 were $100.4 million and are primarily invested in money market interest bearing accounts. A hypothetical 10% adverse change in the average interest rate on our money market cash investments and short-term investments would have had no material effect on our net loss for the six months ended June 26,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June 26, 2011.</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six months ended June 26, 2011 that has materially affected, or is reasonably likely to materially affect, our internal control over financial reporting.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June 26, 2011, there have been no material developments in our legal proceedings since December 26, 2010. For additional information regarding our legal proceedings, see Item 3, “Legal Proceedings” in the Form 10-K.</w:t>
      </w:r>
    </w:p>
    <w:p>
      <w:pPr>
        <w:sectPr>
          <w:pgSz w:w="11900" w:h="16861" w:orient="portrait"/>
          <w:cols w:equalWidth="0" w:num="1">
            <w:col w:w="11380"/>
          </w:cols>
          <w:pgMar w:left="240" w:top="125" w:right="27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we may become involved in various claims, lawsuits and legal proceedings that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operating results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the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Form 10-K, except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significantly increased our leverage in connection with the financing of recent acquisitions and we have substantial indebtedness, which could have a negative impact on our financing options and liquidity position and have adverse effects on our business.</w:t>
      </w:r>
    </w:p>
    <w:p>
      <w:pPr>
        <w:spacing w:after="0" w:line="14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connection with the acquisition of Herley, we incurred $285.0 million of indebtedness and on July 27, 2011 in connection with the acquisition of Integral Systems, we incurred an additional $115.0 million of indebtedness. As of June 26, 2011, we had approximately $518.7 million of total indebtedness outstanding. As a result of this increased indebtedness, our interest payment obligations will increase significantly. The degree to which we will be leveraged could have adverse effects on our business, including the following:</w:t>
      </w:r>
    </w:p>
    <w:p>
      <w:pPr>
        <w:spacing w:after="0" w:line="187" w:lineRule="exact"/>
        <w:rPr>
          <w:sz w:val="20"/>
          <w:szCs w:val="20"/>
          <w:color w:val="auto"/>
        </w:rPr>
      </w:pPr>
    </w:p>
    <w:p>
      <w:pPr>
        <w:ind w:left="980" w:right="1020" w:hanging="324"/>
        <w:spacing w:after="0" w:line="258"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the Notes and our other indebtedness and contractual and commercial commitments;</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9" w:lineRule="exact"/>
        <w:rPr>
          <w:rFonts w:ascii="Arial" w:cs="Arial" w:eastAsia="Arial" w:hAnsi="Arial"/>
          <w:sz w:val="18"/>
          <w:szCs w:val="18"/>
          <w:color w:val="auto"/>
        </w:rPr>
      </w:pPr>
    </w:p>
    <w:p>
      <w:pPr>
        <w:ind w:left="980" w:right="540" w:hanging="324"/>
        <w:spacing w:after="0" w:line="265" w:lineRule="auto"/>
        <w:tabs>
          <w:tab w:leader="none" w:pos="9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the Notes or other outstanding notes tendered to us if there is a change of control, which would constitute a default under the Indenture and under the Amended Revolver; and</w:t>
      </w: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ability to meet our debt service obligations will depend upon our future performance, which may be subject to financial, business and other factors affecting our operations, many of which are beyond our control.</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 we and our subsidiaries may still be able to incur substantially more debt, which could exacerbate the risks associated with our substantial leverage.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be able to incur substantial additional indebtedness in the future. Although the Indenture and the Amended Credit Agreement governing the Amended Revolver will limit our ability and the ability of our subsidiaries to incur additional indebtedness, these restrictions are subject to a number of qualifications and exceptions and, under certain circumstances, debt incurred in compliance with these restrictions could be substantial. For example, indebtedness in excess of $25.0 million may be incurred under the Amended Revolver in reliance on the $15.0 million general debt basket as well as the fixed charge debt incurrence test, which additional indebtedness may be secured subject to certain conditions. In addition, the Indenture and the Amended Credit Agreement governing the Amended Revolver will not prevent us from incurring obligations that do not constitute indebtedness. To the extent that we incur additional indebtedness or such other obligations, the risks associated with our substantial leverage described above, including our possible inability to service our debt, would increase.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service obligations may adversely affect our cash flow.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such as those described in the Form 10-K under the heading “Risks Related to Our Business Currently and Following the Pending Acquisition of Herley” and under the heading “Risks Related to the Combined Company if the Merger Is Completed” in the Registration Statement on Form S-4 that we filed with the Securities and Exchange Commission on June 7, 2011 (File no. 333-174745).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w:t>
      </w:r>
    </w:p>
    <w:p>
      <w:pPr>
        <w:sectPr>
          <w:pgSz w:w="11900" w:h="16838" w:orient="portrait"/>
          <w:cols w:equalWidth="0" w:num="1">
            <w:col w:w="11420"/>
          </w:cols>
          <w:pgMar w:left="240" w:top="341" w:right="239" w:bottom="0" w:gutter="0" w:footer="0" w:header="0"/>
        </w:sectPr>
      </w:pPr>
    </w:p>
    <w:bookmarkStart w:id="30" w:name="page31"/>
    <w:bookmarkEnd w:id="30"/>
    <w:p>
      <w:pPr>
        <w:spacing w:after="0" w:line="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 refinancing our indebtedness or seeking additional equity capital. These alternative strategies may not be affected on satisfactory terms, if at all, and they may not yield sufficient funds to make required payments on the Notes and our other indebtedness.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the Notes. If the amounts outstanding under the Notes, the Amended Revolver, and any other indebtedness, were to be accelerated, our assets may not be sufficient to repay in full the money owed to the lenders or to our other debt holders.</w:t>
      </w:r>
    </w:p>
    <w:p>
      <w:pPr>
        <w:spacing w:after="0" w:line="1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 including the Notes.</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June 26, 2011, approximately 5% of our consolidated assets were held by foreign subsidiaries. Our ability to meet our debt service obligations (including those relating to the Notes)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8"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the Notes, there may be a cost associated with repatriating the cash to the U.S.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The Indenture and the Amended Credit Agreement governing our Amended Revolver impose significant operating and financial restrictions on us and our subsidiaries that may prevent us and our subsidiaries from pursuing certain business opportunities and restrict our ability to operate our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and the Amended Credit Agreement governing our Amended Revolver contain covenants that restrict our and our subsidiaries’ 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preferred stock;</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purchase, any equity interests or make other restricted payments;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acquisitions or investments;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restrictions on the payments of dividends or other distributions from our restricted subsidiaries;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consummate a merger or consolidation or sell, assign, transfer, lease or otherwise dispose of all or substantially all of our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Amended Revolver also requires us to comply with specified financial ratios, including a borrowing base availability and minimum fixed charge coverage ratio. Our ability to comply with these covenants will likely be affected by many factors, including events beyond our control, and we may not be able to satisfy those requirements. Our failure to comply with our debt-related obligations could result in an event of default under our other indebtedness and the acceleration of our other indebtedness, in whole or in part, could result in an event of default under the Indenture.</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restrictions contained in the Indenture and in the Amended Credit Agreement governing the Amended Revolver will also limit our ability and the ability of our subsidiaries to plan for or react to market conditions, meet capital needs or otherwise restrict our respective activities or business plans and adversely affect the ability to finance our respective operations, enter into acquisitions or to engage in other business activities that would be in our respective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On August 4, 2011, we entered into amendments (the “Amendments”) to the employment agreements (the “Employment Agreements”) with Eric DeMarco, our Chief Executive Officer, Deanna Lund, our Executive Vice President and Chief Financial Officer and Laura Siegal, our Vice President, Controller and Treasurer (the “Executives”). The Amendments generally update the Employment Agreements in an effort to harmonize their provisions. For example, the Amendments delete provisions that are no longer applicable. The Amendments also change the definition of “Change of Control” to include: (i) any person becoming the “beneficial owner” of Company securities representing 50% or more of the combined voting power of Company’s then-outstanding securities;</w:t>
      </w:r>
    </w:p>
    <w:p>
      <w:pPr>
        <w:spacing w:after="0" w:line="2" w:lineRule="exact"/>
        <w:rPr>
          <w:sz w:val="20"/>
          <w:szCs w:val="20"/>
          <w:color w:val="auto"/>
        </w:rPr>
      </w:pPr>
    </w:p>
    <w:p>
      <w:pPr>
        <w:ind w:right="80" w:firstLine="8"/>
        <w:spacing w:after="0" w:line="323"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any consecutive one-year period, individuals who constituted Company’s Board of Directors (the “Board”) at the beginning of such period or their approved replacements, ceasing for any reason to constitute a majority of the Board; (iii) the Company consummating a merger or consolidation with any</w:t>
      </w:r>
    </w:p>
    <w:p>
      <w:pPr>
        <w:sectPr>
          <w:pgSz w:w="11900" w:h="16893" w:orient="portrait"/>
          <w:cols w:equalWidth="0" w:num="1">
            <w:col w:w="11420"/>
          </w:cols>
          <w:pgMar w:left="240" w:top="125" w:right="239" w:bottom="0" w:gutter="0" w:footer="0" w:header="0"/>
        </w:sectPr>
      </w:pPr>
    </w:p>
    <w:bookmarkStart w:id="31" w:name="page32"/>
    <w:bookmarkEnd w:id="31"/>
    <w:p>
      <w:pPr>
        <w:ind w:right="340"/>
        <w:spacing w:after="0" w:line="279" w:lineRule="auto"/>
        <w:rPr>
          <w:sz w:val="20"/>
          <w:szCs w:val="20"/>
          <w:color w:val="auto"/>
        </w:rPr>
      </w:pPr>
      <w:r>
        <w:rPr>
          <w:rFonts w:ascii="Arial" w:cs="Arial" w:eastAsia="Arial" w:hAnsi="Arial"/>
          <w:sz w:val="17"/>
          <w:szCs w:val="17"/>
          <w:color w:val="auto"/>
        </w:rPr>
        <w:t>other corporation unless: (a) the voting securities of Company outstanding immediately before the merger or consolidation would continue to represent at least 50% of the combined voting power of the voting securities of Company or such surviving entity outstanding immediately after such merger or consolidation; and (b) no person becomes the “beneficial owner” of Company securities representing 50% or more of the combined voting power of Company’s then outstanding securities); and (iv) any person acquiring all, or substantially all, of the Company’s assets.</w:t>
      </w:r>
    </w:p>
    <w:p>
      <w:pPr>
        <w:spacing w:after="0" w:line="171"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The Amendments also provide that in the event the Company enters into a definitive agreement (“Definitive Agreement”) that would result in a Change of Control, the Executives shall have the following options in connection with the consummation of the Change of Control, but only to the extent that the Definitive Agreement so provides: (a) to the extent that the Company is the surviving entity in the Change of Control, each Executive may elect to retain, immediately after the consummation of the Change of Control, ownership of the Company’s equity with a fair market value immediately after the consummation of the Change of Control that is equal to no less than 50% of the fair market value of the Executive’s equity interests in the Company (including stock options and restricted stock) immediately prior to the consummation of the Change of Control, or (b) in the event that the Company is not the surviving entity in a Change of Control, each Executive may elect to require that no less than 50% of the Executive’s equity interests in the Company (including stock options and restricted stock) be converted into the same form of equity interest (i.e., common stock, stock options, restricted stock, etc.) of the surviving entity or its parent such that the fair market value of his or her ownership in the surviving entity immediately following the Change of Control is no less than the fair market value of his or her converted ownership interest in the Company immediately prior to the consummation of the Change of Control. The Amendments do not require that a Definitive Agreement contain any of the foregoing options.</w:t>
      </w:r>
    </w:p>
    <w:p>
      <w:pPr>
        <w:spacing w:after="0" w:line="183"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In addition, the Amendments provide that following a Change of Control, the Company will not change any of the Executive’s job duties and responsibilities, if doing so would result in the nature of the Executive’s job duties being substantially different than they were immediately prior to the Change of Control.</w:t>
      </w:r>
    </w:p>
    <w:p>
      <w:pPr>
        <w:spacing w:after="0" w:line="181"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 Amendments also update the Employment Agreements to clarify and, in certain respects, change the definition of a “Triggering Event” (an event that permits the Executives to resign employment and receive severance) to mean: (i) termination from employment by the Company without cause;</w:t>
      </w:r>
    </w:p>
    <w:p>
      <w:pPr>
        <w:ind w:right="60" w:firstLine="8"/>
        <w:spacing w:after="0" w:line="277" w:lineRule="auto"/>
        <w:tabs>
          <w:tab w:leader="none" w:pos="2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material change in the nature of such Executive’s role or job responsibilities so that the Executive’s job duties and responsibilities after the Change of Control, when considered in their totality as a whole, are substantially diminished in nature from the job duties the Executive performed immediately prior to the Change of Control; (iii) the relocation of the Executive’s principal place of work to a location more than 30 miles from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location the Executive was assigned to immediately prior to the Change of Control and such relocation results in the Executive’s one-way commute to work increasing by more than 30 miles based on the Executive’s principal place of residence immediately before such relocation was announced; or (iv) the Company materially breaches the Executive’s Employment Agreement. Under the Amendments, a Triggering Event described above will not exist unless the Executive provides written notice to Company within 90 days of its initial existence and Company does not cure such condition within 30 days from the date it receives such notice. In addition, no Triggering Event will be deemed to have occurred unless the Executive actually terminates employment within 12 months from the date such Triggering Event initially occurs.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Amendments also increase the portion of unvested equity awards that will vest immediately on a Change of Control from 50% to 100%.</w:t>
      </w:r>
    </w:p>
    <w:p>
      <w:pPr>
        <w:spacing w:after="0" w:line="23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Amendment to Mr. DeMarco’s Employment Agreement also clarifies how certain offsets are applied to his severance rights and increases the duration of healthcare provided under certain severance scenarios from 12 months to 36 months to better align the healthcare portion of severance with the cash severance payable under those same scenarios.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on August 4, 2011, Kratos Defense Engineering Solutions, Inc. entered into amendments to the employment agreements with Phillip Carrai, our President, Technology &amp; Training Solutions and Richard Selvaggio, our President, Weapons Systems Solutions. Those amendments define “Change of Control” as in the Amendments discussed above and provide Messrs. Carrai and Selvaggio with the same options as the Executives in the event the Company enters into a Definitive Agreement.</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August 2, 2011, our board of directors approved a new form of an Indemnification Agreement to be used by the Company (the “New Indemnification Agreement”). The New Indemnification Agreement updates the pre-existing indemnification agreement for new legal developments and also provides for certain trust arrangements of required payments in the event of a Change of Control of the Company.</w:t>
      </w:r>
    </w:p>
    <w:p>
      <w:pPr>
        <w:spacing w:after="0" w:line="18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foregoing is only a summary of certain terms and conditions of the Amendments, the other amended employment agreements and the New Indemnification Agreement and is qualified in its entirety by reference to the Amendments and employment agreements attached hereto as Exhibits 10.3 to 10.7 and the form of Indemnification Agreement attached hereto as Exhibit 10.8, each of which is incorporated herein by reference. Because this quarterly report on Form 10-Q is being filed within four business days of August 4, 2011, our entry into the Employment Agreements, the entry by Kratos Defense Engineering Solutions, Inc. into the other amended employment agreements and the adoption of the New Indemnification Agreement are being disclosed hereunder rather than under Item 5.02(e) of Form 8-K.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Reference</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494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vMerge w:val="restart"/>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vMerge w:val="restart"/>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4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11"/>
        </w:trPr>
        <w:tc>
          <w:tcPr>
            <w:tcW w:w="1040" w:type="dxa"/>
            <w:vAlign w:val="bottom"/>
          </w:tcPr>
          <w:p>
            <w:pPr>
              <w:jc w:val="right"/>
              <w:ind w:right="28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5"/>
              </w:rPr>
              <w:t>Agreement and Plan of Merger, dated May 15, 2011, by and among</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07/29/11</w:t>
            </w:r>
          </w:p>
        </w:tc>
        <w:tc>
          <w:tcPr>
            <w:tcW w:w="200" w:type="dxa"/>
            <w:vAlign w:val="bottom"/>
          </w:tcPr>
          <w:p>
            <w:pPr>
              <w:spacing w:after="0"/>
              <w:rPr>
                <w:sz w:val="24"/>
                <w:szCs w:val="24"/>
                <w:color w:val="auto"/>
              </w:rPr>
            </w:pPr>
          </w:p>
        </w:tc>
        <w:tc>
          <w:tcPr>
            <w:tcW w:w="1060" w:type="dxa"/>
            <w:vAlign w:val="bottom"/>
          </w:tcPr>
          <w:p>
            <w:pPr>
              <w:jc w:val="right"/>
              <w:ind w:right="339"/>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Kratos Defense &amp; Security Solutions, Inc., Integral</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32" w:name="page33"/>
    <w:bookmarkEnd w:id="32"/>
    <w:p>
      <w:pPr>
        <w:ind w:left="1300"/>
        <w:spacing w:after="0"/>
        <w:rPr>
          <w:sz w:val="20"/>
          <w:szCs w:val="20"/>
          <w:color w:val="auto"/>
        </w:rPr>
      </w:pPr>
      <w:r>
        <w:rPr>
          <w:rFonts w:ascii="Arial" w:cs="Arial" w:eastAsia="Arial" w:hAnsi="Arial"/>
          <w:sz w:val="18"/>
          <w:szCs w:val="18"/>
          <w:color w:val="auto"/>
        </w:rPr>
        <w:t>Systems, Inc., IRIS Merger Sub Inc., and IRIS Acquisition Sub</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 and Plan of Merger, dated February 7, 2011, by and</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02/08/11</w:t>
            </w: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Lanza</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Acquisition, Co. and Herley Industries, Inc. (incorporated by</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reference to Annex A to the Prospectus Supplement dated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February 7, 2011, pursuant to the Registration Statement on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Form S-3 of Kratos Defense &amp; Security Solutions, Inc. (File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 333-161340)).</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 and Plan of Merger, dated October 5, 2010, by and</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10/07/10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among Kratos Defense &amp; Security Solutions, Inc., Hammer</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Acquisition Inc. and Henry Bros. Electronics,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2.4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Amendment to the Agreement and Plan of Merger, dated</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11/15/10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November 13, 2010, by and among Kratos Defense &amp; Security</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Solutions, Inc., Hammer Acquisition Inc. and Henry Bros.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Electronics,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2.5#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Stock Purchase Agreement, dated as of April 12, 2010, by and</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04/12/10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between Kratos Defense &amp; Security Solutions, Inc. and the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Stockholders of Gichner Holdings,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Kratos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Defense &amp; Security Solutions,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ind w:left="43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Reference</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4"/>
            <w:vMerge w:val="continue"/>
          </w:tcPr>
          <w:p>
            <w:pPr>
              <w:spacing w:after="0"/>
              <w:rPr>
                <w:sz w:val="12"/>
                <w:szCs w:val="12"/>
                <w:color w:val="auto"/>
              </w:rPr>
            </w:pPr>
          </w:p>
        </w:tc>
        <w:tc>
          <w:tcPr>
            <w:tcW w:w="516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Exhibit Description</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51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Date</w:t>
            </w:r>
          </w:p>
        </w:tc>
        <w:tc>
          <w:tcPr>
            <w:tcW w:w="128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Certificate of Ownership and Merger of Kratos Defense &amp; Security</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09/12/07</w:t>
            </w:r>
          </w:p>
        </w:tc>
        <w:tc>
          <w:tcPr>
            <w:tcW w:w="2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Solutions, Inc. into Wireless Facilities,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Certificate of Amendment to Amended and Restated Certificate of</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09/27/09</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Incorporation of Kratos Defense &amp; Security Solutions,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3.4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 Series A</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3.5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 Series 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8-K/A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Preferred Stock (included as Exhibit A to the Preferred Stock</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Purchase Agreement dated as of May 16, 2002 among the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Company, Meritech Capital Partners II L.P., Meritech Capital</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Affiliates II L.P., MCB Entrepreneur Partners II L.P., Oak</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7"/>
              </w:rPr>
              <w:t>Investment Partners X, Limited Partnership, Oak X Affiliates Fund,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Limited Partnership, Oak Investment Partners IX, L.P, Oak</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Affiliates Fund, L.P, Oak IX Affiliates Fund-A, L.P, and the KLS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Trust dated July 14, 1999).</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3.6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Certificate of Designation of Series C Preferred Stock.</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3.7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Second Amended and Restated Bylaws of Kratos Defense &amp;</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03/15/11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Security Solutions,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12/26/10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4"/>
              </w:rPr>
              <w:t>Rights Agreement, dated as of December 16, 2004, between Kratos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Defense &amp; Security Solutions, Inc. and Wells Fargo, N.A.</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Indenture, dated as of May 19, 2010, by and among Kratos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Defense &amp; Security Solutions, Inc., the Guarantors set forth therein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and Wilmington Trust FSB, as Trustee and Collateral Agent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7"/>
              </w:rPr>
              <w:t>(including the Form of 10% Senior Secured Notes due 2017 as an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exhibit thereto).</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5"/>
              </w:rPr>
              <w:t>First Supplemental Indenture, dated as of February 7, 2011, by and</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02/07/11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among Kratos Defense &amp; Security Solutions, Inc., the guarantors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listed on Exhibit A thereto and Wilmington Trust FSB.</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Supplemental Indenture, dated April 1, 2011, among the</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04/07/11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-6501765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-6501765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guaranteeing subsidiaries named therein and Wilmington Trust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FSB, as trustee, to the Indenture (as amended or supplemented),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dated as of May 19, 2010, among Kratos Defense &amp; Security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Solutions, Inc., the guarantors party thereto and Wilmington Trust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FSB, as trustee and collateral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Third Supplemental Indenture, dated April 15, 2011, by and among</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04/20/11</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Kratos Defense &amp; Security Solutions, Inc., the guaranteeing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subsidiaries named therein and Wilmington Trust FSB, as trustee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5"/>
              </w:rPr>
              <w:t>and collateral agent, to the Indenture, dated as of May 19, 2010 (as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amended or supplemented), among Kratos Defense &amp; Security</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Solutions, Inc., the guarantors party thereto and Wilmington Trust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FSB, as trustee and collateral agent.</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ind w:left="43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Reference</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4"/>
            <w:vMerge w:val="continue"/>
          </w:tcPr>
          <w:p>
            <w:pPr>
              <w:spacing w:after="0"/>
              <w:rPr>
                <w:sz w:val="12"/>
                <w:szCs w:val="12"/>
                <w:color w:val="auto"/>
              </w:rPr>
            </w:pPr>
          </w:p>
        </w:tc>
        <w:tc>
          <w:tcPr>
            <w:tcW w:w="516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Exhibit Description</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51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Date</w:t>
            </w:r>
          </w:p>
        </w:tc>
        <w:tc>
          <w:tcPr>
            <w:tcW w:w="128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4.7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Sixth Supplemental Indenture, dated July 27, 2011, by and among</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07/29/11</w:t>
            </w:r>
          </w:p>
        </w:tc>
        <w:tc>
          <w:tcPr>
            <w:tcW w:w="2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Kratos Defense &amp; Security Solutions, Inc., the guaranteeing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subsidiaries named therein and Wilmington Trust, National</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7"/>
              </w:rPr>
              <w:t>Association (as successor by merger to Wilmington Trust FSB), as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trustee and collateral agent, to the Indenture, dated as of May 19,</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2010 (as amended or supplemented), among Kratos Defense &amp;</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Security Solutions, Inc., the guarantors party thereto and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Wilmington Trust FSB, as trustee and collateral agent.</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5"/>
              </w:rPr>
              <w:t>Registration Rights Agreement, dated July 27, 2011, by and among</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07/29/11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Kratos Defense &amp; Security Solutions, Inc., the guarantors named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therein, Jefferies &amp; Company, Inc., KeyBanc Capital Markets Inc.,</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and B. Riley &amp; Co., LLC.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4.9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4"/>
              </w:rPr>
              <w:t>Form of 10% Senior Secured Note due 2017 (issuable in connection</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S-4</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07/07/11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with the 2011 exchange offer).</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ind w:left="43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Reference</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gridSpan w:val="4"/>
            <w:vMerge w:val="continue"/>
          </w:tcPr>
          <w:p>
            <w:pPr>
              <w:spacing w:after="0"/>
              <w:rPr>
                <w:sz w:val="12"/>
                <w:szCs w:val="12"/>
                <w:color w:val="auto"/>
              </w:rPr>
            </w:pPr>
          </w:p>
        </w:tc>
        <w:tc>
          <w:tcPr>
            <w:tcW w:w="516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Exhibit Description</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51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Date</w:t>
            </w:r>
          </w:p>
        </w:tc>
        <w:tc>
          <w:tcPr>
            <w:tcW w:w="128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Credit and Security Agreement, dated as of May 19, 2010, as</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02/07/11</w:t>
            </w:r>
          </w:p>
        </w:tc>
        <w:tc>
          <w:tcPr>
            <w:tcW w:w="2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3"/>
              </w:rPr>
              <w:t>amended and restated as of July 27, 2011, among Kratos Defense &amp;</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8"/>
              </w:rPr>
              <w:t>Security Solutions, Inc., the lenders named therein, and KeyBank</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National Association, as lead arranger, sole book runner and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Form of Voting Agreement, dated May 15, 2011, by and between</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05/18/11</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Kratos Defense &amp; Security Solutions, Inc. and the directors and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certain executive officers of Integral Systems,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4"/>
              </w:rPr>
              <w:t>Second Amended and Restated Executive Employment Agreement,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dated as of August 4, 2011, by and between Kratos Defense &amp;</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Security Solutions, Inc. and Eric DeMarco.</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Second Amended and Restated Severance and Change of Control</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 dated as of August 4, 2011, by and between Kratos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Defense &amp; Security Solutions, Inc. and Deanna Lund.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Second Amended and Restated Severance and Change of Control</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 dated as of August 4, 2011, by and between Kratos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Defense &amp; Security Solutions, Inc. and Laura Siegal.</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First Amendment to Amended and Restated Employment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Agreement, dated as of August 4, 2011, by and between Kratos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Defense Engineering Solutions, Inc. and Phil Carrai.</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First Amendment to Employment Agreement, dated as of August 4,</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-8268335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-8268335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-4718050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-4718050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4" w:name="page35"/>
    <w:bookmarkEnd w:id="34"/>
    <w:p>
      <w:pPr>
        <w:ind w:left="1300"/>
        <w:spacing w:after="0"/>
        <w:rPr>
          <w:sz w:val="20"/>
          <w:szCs w:val="20"/>
          <w:color w:val="auto"/>
        </w:rPr>
      </w:pPr>
      <w:r>
        <w:rPr>
          <w:rFonts w:ascii="Arial" w:cs="Arial" w:eastAsia="Arial" w:hAnsi="Arial"/>
          <w:sz w:val="18"/>
          <w:szCs w:val="18"/>
          <w:color w:val="auto"/>
        </w:rPr>
        <w:t>2011, by and between Kratos Defense Engineering Solutions,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Richard Selvaggio.</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10.8</w:t>
            </w:r>
          </w:p>
        </w:tc>
        <w:tc>
          <w:tcPr>
            <w:tcW w:w="7480" w:type="dxa"/>
            <w:vAlign w:val="bottom"/>
          </w:tcPr>
          <w:p>
            <w:pPr>
              <w:ind w:left="300"/>
              <w:spacing w:after="0"/>
              <w:rPr>
                <w:sz w:val="20"/>
                <w:szCs w:val="20"/>
                <w:color w:val="auto"/>
              </w:rPr>
            </w:pPr>
            <w:r>
              <w:rPr>
                <w:rFonts w:ascii="Arial" w:cs="Arial" w:eastAsia="Arial" w:hAnsi="Arial"/>
                <w:sz w:val="18"/>
                <w:szCs w:val="18"/>
                <w:color w:val="auto"/>
              </w:rPr>
              <w:t>Form of Indemnification Agreement by and between Kratos</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Defense &amp; Security Solutions, Inc. and its directors and executive</w:t>
            </w:r>
          </w:p>
        </w:tc>
        <w:tc>
          <w:tcPr>
            <w:tcW w:w="24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officers.</w:t>
            </w:r>
          </w:p>
        </w:tc>
        <w:tc>
          <w:tcPr>
            <w:tcW w:w="240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31.1</w:t>
            </w:r>
          </w:p>
        </w:tc>
        <w:tc>
          <w:tcPr>
            <w:tcW w:w="748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302 of</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the Sarbanes Oxley Act of 2002.</w:t>
            </w:r>
          </w:p>
        </w:tc>
        <w:tc>
          <w:tcPr>
            <w:tcW w:w="240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31.2</w:t>
            </w:r>
          </w:p>
        </w:tc>
        <w:tc>
          <w:tcPr>
            <w:tcW w:w="748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302 of</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the Sarbanes Oxley Act of 2002.</w:t>
            </w:r>
          </w:p>
        </w:tc>
        <w:tc>
          <w:tcPr>
            <w:tcW w:w="240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32.1</w:t>
            </w:r>
          </w:p>
        </w:tc>
        <w:tc>
          <w:tcPr>
            <w:tcW w:w="748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 for Eric</w:t>
            </w:r>
          </w:p>
        </w:tc>
        <w:tc>
          <w:tcPr>
            <w:tcW w:w="24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M. DeMarco.</w:t>
            </w:r>
          </w:p>
        </w:tc>
        <w:tc>
          <w:tcPr>
            <w:tcW w:w="240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32.2</w:t>
            </w:r>
          </w:p>
        </w:tc>
        <w:tc>
          <w:tcPr>
            <w:tcW w:w="748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 for</w:t>
            </w:r>
          </w:p>
        </w:tc>
        <w:tc>
          <w:tcPr>
            <w:tcW w:w="24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Deanna Lund.</w:t>
            </w:r>
          </w:p>
        </w:tc>
        <w:tc>
          <w:tcPr>
            <w:tcW w:w="240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101†</w:t>
            </w:r>
          </w:p>
        </w:tc>
        <w:tc>
          <w:tcPr>
            <w:tcW w:w="7480" w:type="dxa"/>
            <w:vAlign w:val="bottom"/>
          </w:tcPr>
          <w:p>
            <w:pPr>
              <w:ind w:left="300"/>
              <w:spacing w:after="0"/>
              <w:rPr>
                <w:sz w:val="20"/>
                <w:szCs w:val="20"/>
                <w:color w:val="auto"/>
              </w:rPr>
            </w:pPr>
            <w:r>
              <w:rPr>
                <w:rFonts w:ascii="Arial" w:cs="Arial" w:eastAsia="Arial" w:hAnsi="Arial"/>
                <w:sz w:val="18"/>
                <w:szCs w:val="18"/>
                <w:color w:val="auto"/>
              </w:rPr>
              <w:t>Financial statements from the Quarterly Report on Form 10-Q of</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Kratos Defense &amp; Security Solutions, Inc. for the six months ended</w:t>
            </w:r>
          </w:p>
        </w:tc>
        <w:tc>
          <w:tcPr>
            <w:tcW w:w="24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June 26, 2011, formatted in XBRL: (i) the Consolidated Balance</w:t>
            </w:r>
          </w:p>
        </w:tc>
        <w:tc>
          <w:tcPr>
            <w:tcW w:w="2400" w:type="dxa"/>
            <w:vAlign w:val="bottom"/>
          </w:tcPr>
          <w:p>
            <w:pPr>
              <w:spacing w:after="0"/>
              <w:rPr>
                <w:sz w:val="20"/>
                <w:szCs w:val="20"/>
                <w:color w:val="auto"/>
              </w:rPr>
            </w:pPr>
          </w:p>
        </w:tc>
      </w:tr>
    </w:tbl>
    <w:p>
      <w:pPr>
        <w:ind w:left="1300"/>
        <w:spacing w:after="0"/>
        <w:rPr>
          <w:sz w:val="20"/>
          <w:szCs w:val="20"/>
          <w:color w:val="auto"/>
        </w:rPr>
      </w:pPr>
      <w:r>
        <w:rPr>
          <w:rFonts w:ascii="Arial" w:cs="Arial" w:eastAsia="Arial" w:hAnsi="Arial"/>
          <w:sz w:val="18"/>
          <w:szCs w:val="18"/>
          <w:color w:val="auto"/>
        </w:rPr>
        <w:t>Sheets, (ii) the Consolidated Statements of Operations, (iii) the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(iv) the Notes to the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right="160" w:hanging="652"/>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ind w:left="660" w:right="20" w:hanging="652"/>
        <w:spacing w:after="0" w:line="264"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195"/>
        </w:trPr>
        <w:tc>
          <w:tcPr>
            <w:tcW w:w="480" w:type="dxa"/>
            <w:vAlign w:val="bottom"/>
          </w:tcPr>
          <w:p>
            <w:pPr>
              <w:spacing w:after="0"/>
              <w:rPr>
                <w:sz w:val="16"/>
                <w:szCs w:val="16"/>
                <w:color w:val="auto"/>
              </w:rPr>
            </w:pPr>
          </w:p>
        </w:tc>
        <w:tc>
          <w:tcPr>
            <w:tcW w:w="5220" w:type="dxa"/>
            <w:vAlign w:val="bottom"/>
          </w:tcPr>
          <w:p>
            <w:pPr>
              <w:jc w:val="center"/>
              <w:spacing w:after="0" w:line="195" w:lineRule="exact"/>
              <w:rPr>
                <w:sz w:val="20"/>
                <w:szCs w:val="20"/>
                <w:color w:val="auto"/>
              </w:rPr>
            </w:pPr>
            <w:r>
              <w:rPr>
                <w:rFonts w:ascii="Arial" w:cs="Arial" w:eastAsia="Arial" w:hAnsi="Arial"/>
                <w:sz w:val="18"/>
                <w:szCs w:val="18"/>
                <w:color w:val="auto"/>
                <w:w w:val="95"/>
              </w:rPr>
              <w:t>Eric M. DeMarco</w:t>
            </w:r>
          </w:p>
        </w:tc>
      </w:tr>
      <w:tr>
        <w:trPr>
          <w:trHeight w:val="216"/>
        </w:trPr>
        <w:tc>
          <w:tcPr>
            <w:tcW w:w="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195"/>
        </w:trPr>
        <w:tc>
          <w:tcPr>
            <w:tcW w:w="480" w:type="dxa"/>
            <w:vAlign w:val="bottom"/>
          </w:tcPr>
          <w:p>
            <w:pPr>
              <w:spacing w:after="0"/>
              <w:rPr>
                <w:sz w:val="16"/>
                <w:szCs w:val="16"/>
                <w:color w:val="auto"/>
              </w:rPr>
            </w:pPr>
          </w:p>
        </w:tc>
        <w:tc>
          <w:tcPr>
            <w:tcW w:w="5220" w:type="dxa"/>
            <w:vAlign w:val="bottom"/>
          </w:tcPr>
          <w:p>
            <w:pPr>
              <w:jc w:val="center"/>
              <w:spacing w:after="0" w:line="195" w:lineRule="exact"/>
              <w:rPr>
                <w:sz w:val="20"/>
                <w:szCs w:val="20"/>
                <w:color w:val="auto"/>
              </w:rPr>
            </w:pPr>
            <w:r>
              <w:rPr>
                <w:rFonts w:ascii="Arial" w:cs="Arial" w:eastAsia="Arial" w:hAnsi="Arial"/>
                <w:sz w:val="18"/>
                <w:szCs w:val="18"/>
                <w:color w:val="auto"/>
                <w:w w:val="91"/>
              </w:rPr>
              <w:t>Deanna H. Lund</w:t>
            </w:r>
          </w:p>
        </w:tc>
      </w:tr>
      <w:tr>
        <w:trPr>
          <w:trHeight w:val="216"/>
        </w:trPr>
        <w:tc>
          <w:tcPr>
            <w:tcW w:w="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LAURA L. SIEGAL, CPA</w:t>
            </w:r>
          </w:p>
        </w:tc>
      </w:tr>
      <w:tr>
        <w:trPr>
          <w:trHeight w:val="195"/>
        </w:trPr>
        <w:tc>
          <w:tcPr>
            <w:tcW w:w="480" w:type="dxa"/>
            <w:vAlign w:val="bottom"/>
          </w:tcPr>
          <w:p>
            <w:pPr>
              <w:spacing w:after="0"/>
              <w:rPr>
                <w:sz w:val="16"/>
                <w:szCs w:val="16"/>
                <w:color w:val="auto"/>
              </w:rPr>
            </w:pPr>
          </w:p>
        </w:tc>
        <w:tc>
          <w:tcPr>
            <w:tcW w:w="5220" w:type="dxa"/>
            <w:vAlign w:val="bottom"/>
          </w:tcPr>
          <w:p>
            <w:pPr>
              <w:jc w:val="center"/>
              <w:spacing w:after="0" w:line="195" w:lineRule="exact"/>
              <w:rPr>
                <w:sz w:val="20"/>
                <w:szCs w:val="20"/>
                <w:color w:val="auto"/>
              </w:rPr>
            </w:pPr>
            <w:r>
              <w:rPr>
                <w:rFonts w:ascii="Arial" w:cs="Arial" w:eastAsia="Arial" w:hAnsi="Arial"/>
                <w:sz w:val="18"/>
                <w:szCs w:val="18"/>
                <w:color w:val="auto"/>
                <w:w w:val="92"/>
              </w:rPr>
              <w:t>Laura L. Siegal</w:t>
            </w:r>
          </w:p>
        </w:tc>
      </w:tr>
      <w:tr>
        <w:trPr>
          <w:trHeight w:val="216"/>
        </w:trPr>
        <w:tc>
          <w:tcPr>
            <w:tcW w:w="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Corporate Controller</w:t>
            </w:r>
          </w:p>
        </w:tc>
      </w:tr>
      <w:tr>
        <w:trPr>
          <w:trHeight w:val="230"/>
        </w:trPr>
        <w:tc>
          <w:tcPr>
            <w:tcW w:w="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ectPr>
          <w:pgSz w:w="11900" w:h="16838" w:orient="portrait"/>
          <w:cols w:equalWidth="0" w:num="1">
            <w:col w:w="11420"/>
          </w:cols>
          <w:pgMar w:left="240" w:top="125" w:right="239" w:bottom="114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49" w:gutter="0" w:footer="0" w:header="0"/>
          <w:type w:val="continuous"/>
        </w:sectPr>
      </w:pPr>
    </w:p>
    <w:bookmarkStart w:id="35" w:name="page36"/>
    <w:bookmarkEnd w:id="35"/>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as of August 4, 2011</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Executive Employment Agreement (“Agreement”) was made effective November 14, 2003 (“Effective Date”), by and between Kratos Defense &amp; Security Solutions, Inc. (“Company” or “Kratos”) and Eric DeMarco (“Executive”), was amended and restated as of August 4, 2008 and is hereby amended and restated as of August 4, 2011.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1320" w:hanging="664"/>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Company hereby employs Executive, and Executive hereby accepts such employment, upon the terms and conditions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herein.</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Executive currently is employed as the Company’s Chief Executive Officer (“CEO”), having the duties and responsibilities assigned by Company’s Board of Directors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the Company shall not change Executive’s job duties and responsibilities after the Change of Control (as that term is defined below), if, when considered in their totality as a whole, such a change results in the nature of Executive’s job duties being substantially different than the nature of the job duties Executive performed immediately prior to the Change of Control. Executive also holds a seat on Company’s Board of Directors.</w:t>
      </w:r>
    </w:p>
    <w:p>
      <w:pPr>
        <w:spacing w:after="0" w:line="188"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Best Efforts/Full-time</w:t>
      </w:r>
      <w:r>
        <w:rPr>
          <w:rFonts w:ascii="Arial" w:cs="Arial" w:eastAsia="Arial" w:hAnsi="Arial"/>
          <w:sz w:val="17"/>
          <w:szCs w:val="17"/>
          <w:color w:val="auto"/>
        </w:rPr>
        <w:t>. Executive will expend his best efforts on behalf of Company, and will abide by all policies and decisions made by Company, as well as all applicable federal, state and local laws, regulations or ordinances. Executive will act in the best interest of Company at all times. Executive shall devote his full business time and efforts to the performance of his assigned duties for Company, unless Executive notifies the Board of Directors in advance of his intent to engage in other paid work and receives the Board of Directors’ express written consent to do so.</w:t>
      </w:r>
    </w:p>
    <w:p>
      <w:pPr>
        <w:spacing w:after="0" w:line="171" w:lineRule="exact"/>
        <w:rPr>
          <w:sz w:val="20"/>
          <w:szCs w:val="20"/>
          <w:color w:val="auto"/>
        </w:rPr>
      </w:pPr>
    </w:p>
    <w:p>
      <w:pPr>
        <w:ind w:firstLine="656"/>
        <w:spacing w:after="0" w:line="255" w:lineRule="auto"/>
        <w:tabs>
          <w:tab w:leader="none" w:pos="13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At-will Employment Relationship</w:t>
      </w:r>
      <w:r>
        <w:rPr>
          <w:rFonts w:ascii="Arial" w:cs="Arial" w:eastAsia="Arial" w:hAnsi="Arial"/>
          <w:sz w:val="18"/>
          <w:szCs w:val="18"/>
          <w:color w:val="auto"/>
        </w:rPr>
        <w:t>. Executive’s employment with Company is at-will and not for any specified period and may be terminated by either Executive or Company at any time, with or without cause. In addition, Company reserves the right to modify Executive’s position or duties to meet business needs and to use discretion in deciding on appropriate discipline. No representative of Company, other than the Board of Directors, has the authority to alter the at-will employment relationship between Executive and Company. Any change to the at-will employment relationship must be by specific, written agreement signed by Executive and the Board of Directors. Nothing in this Agreement is intended to or should be construed to contradict, modify or alter this at-will relationship.</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his duties hereunder, Company shall pay to Executive a base salary of $575,000 per year (the “Base Salary”), payable in accordance with the normal payroll practices of Company, less required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w:t>
      </w:r>
    </w:p>
    <w:p>
      <w:pPr>
        <w:spacing w:after="0" w:line="124" w:lineRule="exact"/>
        <w:rPr>
          <w:sz w:val="20"/>
          <w:szCs w:val="20"/>
          <w:color w:val="auto"/>
        </w:rPr>
      </w:pPr>
    </w:p>
    <w:p>
      <w:pPr>
        <w:ind w:right="260" w:firstLine="1297"/>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Incentive Compensation</w:t>
      </w:r>
      <w:r>
        <w:rPr>
          <w:rFonts w:ascii="Arial" w:cs="Arial" w:eastAsia="Arial" w:hAnsi="Arial"/>
          <w:sz w:val="17"/>
          <w:szCs w:val="17"/>
          <w:color w:val="auto"/>
        </w:rPr>
        <w:t>. Executive will be eligible to earn an annual performance bonus, up to a maximum amount of 100% of his Base Salary, based upon the achievement of certain goals and objectives to be mutually determined by Executive and Company.</w:t>
      </w:r>
    </w:p>
    <w:p>
      <w:pPr>
        <w:spacing w:after="0" w:line="147"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 Options</w:t>
      </w:r>
      <w:r>
        <w:rPr>
          <w:rFonts w:ascii="Arial" w:cs="Arial" w:eastAsia="Arial" w:hAnsi="Arial"/>
          <w:sz w:val="18"/>
          <w:szCs w:val="18"/>
          <w:color w:val="auto"/>
        </w:rPr>
        <w:t>. Executive will be eligible to receive stock options or other equity-based incentives based upon his performance as determined by Company in its sole and absolute discretion.</w:t>
      </w:r>
    </w:p>
    <w:p>
      <w:pPr>
        <w:spacing w:after="0" w:line="170" w:lineRule="exact"/>
        <w:rPr>
          <w:sz w:val="20"/>
          <w:szCs w:val="20"/>
          <w:color w:val="auto"/>
        </w:rPr>
      </w:pPr>
    </w:p>
    <w:p>
      <w:pPr>
        <w:ind w:right="420" w:firstLine="1297"/>
        <w:spacing w:after="0" w:line="30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Performance and Salary Review</w:t>
      </w:r>
      <w:r>
        <w:rPr>
          <w:rFonts w:ascii="Arial" w:cs="Arial" w:eastAsia="Arial" w:hAnsi="Arial"/>
          <w:sz w:val="17"/>
          <w:szCs w:val="17"/>
          <w:color w:val="auto"/>
        </w:rPr>
        <w:t>. The Board of Directors will periodically review Executive’s performance on no less than an annual basis. Adjustments to Base Salary or other compensation, if any, will be made by the Board of Directors in its sole and absolute discretion.</w:t>
      </w:r>
    </w:p>
    <w:p>
      <w:pPr>
        <w:spacing w:after="0" w:line="147" w:lineRule="exact"/>
        <w:rPr>
          <w:sz w:val="20"/>
          <w:szCs w:val="20"/>
          <w:color w:val="auto"/>
        </w:rPr>
      </w:pPr>
    </w:p>
    <w:p>
      <w:pPr>
        <w:ind w:right="80" w:firstLine="656"/>
        <w:spacing w:after="0" w:line="264" w:lineRule="auto"/>
        <w:tabs>
          <w:tab w:leader="none" w:pos="13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executives of Company subject to the terms and conditions of Company’s benefit plan documents. Company reserves the right to change or eliminate the fringe benefits on a prospective, company-wide basis, at any time, effective upon notice to Executive.</w:t>
      </w:r>
    </w:p>
    <w:p>
      <w:pPr>
        <w:spacing w:after="0" w:line="181" w:lineRule="exact"/>
        <w:rPr>
          <w:rFonts w:ascii="Arial" w:cs="Arial" w:eastAsia="Arial" w:hAnsi="Arial"/>
          <w:sz w:val="18"/>
          <w:szCs w:val="18"/>
          <w:color w:val="auto"/>
        </w:rPr>
      </w:pPr>
    </w:p>
    <w:p>
      <w:pPr>
        <w:ind w:right="60" w:firstLine="656"/>
        <w:spacing w:after="0" w:line="264" w:lineRule="auto"/>
        <w:tabs>
          <w:tab w:leader="none" w:pos="13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out-of-pocket business expenses incurred in the performance of his duties on behalf of Company. To obtain reimbursement, expenses must be submitted promptly with appropriate supporting documentation in accordance with Company’s policies.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Company anticipates a mutually rewarding employment relationship with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Company may terminate Executive’s employment immediately at any time for Cause. For purposes of this Agreement, “Cause” is defined as:</w:t>
      </w:r>
    </w:p>
    <w:p>
      <w:pPr>
        <w:spacing w:after="0" w:line="21" w:lineRule="exact"/>
        <w:rPr>
          <w:sz w:val="20"/>
          <w:szCs w:val="20"/>
          <w:color w:val="auto"/>
        </w:rPr>
      </w:pPr>
    </w:p>
    <w:p>
      <w:pPr>
        <w:jc w:val="center"/>
        <w:ind w:right="140" w:firstLine="8"/>
        <w:spacing w:after="0" w:line="281" w:lineRule="auto"/>
        <w:tabs>
          <w:tab w:leader="none" w:pos="2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Executive with respect to Executive’s obligations or otherwise relating to the business of Company; (b) Executive’s material breach of this Agreement or Company’s standard form of confidentiality agreement;</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Executive’s conviction or entry of a plea of nolo contendere for fraud, misappropriation or embezzlement, or any felony or crime of moral turpitude; or</w:t>
      </w:r>
    </w:p>
    <w:p>
      <w:pPr>
        <w:spacing w:after="0" w:line="32" w:lineRule="exact"/>
        <w:rPr>
          <w:rFonts w:ascii="Arial" w:cs="Arial" w:eastAsia="Arial" w:hAnsi="Arial"/>
          <w:sz w:val="16"/>
          <w:szCs w:val="16"/>
          <w:color w:val="auto"/>
        </w:rPr>
      </w:pPr>
    </w:p>
    <w:p>
      <w:pPr>
        <w:ind w:right="60" w:firstLine="8"/>
        <w:spacing w:after="0" w:line="25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Executive’s willful neglect of duties or poor performance. Notwithstanding the foregoing, a termination under subsection 7.1(d) above shall not constitute a termination for “Cause” unless Company has first given Executive written notice of the offending conduct (such notice shall include a description of remedial actions that Company reasonably deems appropriate to cure such offending conduct) and a thirty (30) day opportunity to cure such offending conduct. In the event Company terminates Executive’s employment under subsection 7.1(d) above, Company agrees to participate in binding arbitration, if requested by Executive, to</w:t>
      </w:r>
    </w:p>
    <w:p>
      <w:pPr>
        <w:sectPr>
          <w:pgSz w:w="11900" w:h="16840" w:orient="portrait"/>
          <w:cols w:equalWidth="0" w:num="1">
            <w:col w:w="11420"/>
          </w:cols>
          <w:pgMar w:left="240" w:top="121" w:right="239" w:bottom="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determine whether the cause for termination was willful neglect of duties or poor performance as opposed to some other reason that does not constitute Cause under this Agreement. In the event Executive’s employment is terminated in accordance with this subsection 7.1, Executive shall be entitled to receive only the Base Salary then in effect, prorated to the date of termination and any accrued but unpaid vacation (the “Standard Entitlements”). All other Company obligations to Executive pursuant to this Agreement will become automatically terminated and completely extinguished. In addition, Executive will not be entitled to receive the Severance Package described in subsection 7.2 below.</w:t>
      </w:r>
    </w:p>
    <w:p>
      <w:pPr>
        <w:spacing w:after="0" w:line="188" w:lineRule="exact"/>
        <w:rPr>
          <w:sz w:val="20"/>
          <w:szCs w:val="20"/>
          <w:color w:val="auto"/>
        </w:rPr>
      </w:pPr>
    </w:p>
    <w:p>
      <w:pPr>
        <w:ind w:right="140" w:firstLine="1297"/>
        <w:spacing w:after="0" w:line="26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Without Cause by Company/Severance</w:t>
      </w:r>
      <w:r>
        <w:rPr>
          <w:rFonts w:ascii="Arial" w:cs="Arial" w:eastAsia="Arial" w:hAnsi="Arial"/>
          <w:sz w:val="17"/>
          <w:szCs w:val="17"/>
          <w:color w:val="auto"/>
        </w:rPr>
        <w:t xml:space="preserve">. Company may terminate Executive’s employment under this Agreement without Cause at any time on thirty (30) days’ advance written notice to Executive. In the event of such termination, or upon the occurrence of a “Change in Control” followed by a “Triggering Event,” as hereinafter defined, Executive will receive the Standard Entitlements and the “Severance Package” described in subsection 7.2(a) below, provided that Executive agrees to comply with all of the conditions set forth in subsection 7.2(b) below. All other Company obligations to Executive pursuant to this Agreement will be automatically terminated and completely extinguished. For purposes of this subsection 7.2, a “Triggering Event” shall mean: (i) Executive’s termination from employment by the Company without Cause; (ii) a material change in the nature of Executive’s role or job responsibilities so that Executive’s job duties and responsibilities after the Change of Control, when considered in their totality as a whole, are substantially diminished in nature from the job duties Executive performed immediately prior to the Change of Control; (iii) the relocation of Executive’s principal place of work to a location more than thirty (30) miles from the location Executive was assigned to immediately prior to the Change of Control and such relocation results in Executive’s one-way commute to work increasing by more than 30 miles based on Executive’s principal place of residence immediately before such relocation was announced; or (iv) the Company materially breaches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case of a Triggering Event described in clause (i), (ii), (iii) or (iv) hereof, such condition shall not exist unless Executive provides written notice to Company within ninety (90) days of its initial existence and Company does not cure such condition within thirty (30) days from the date it receives such notice from Executive. In addition, no Triggering Event will be deemed to have occurred unless Executive separates from service within twelve (12) months from the date such Triggering Event initially occurs.</w:t>
      </w:r>
    </w:p>
    <w:p>
      <w:pPr>
        <w:spacing w:after="0" w:line="183"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Severance Package</w:t>
      </w:r>
      <w:r>
        <w:rPr>
          <w:rFonts w:ascii="Arial" w:cs="Arial" w:eastAsia="Arial" w:hAnsi="Arial"/>
          <w:sz w:val="18"/>
          <w:szCs w:val="18"/>
          <w:color w:val="auto"/>
        </w:rPr>
        <w:t>. The Severance Package will consist of the following:</w:t>
      </w:r>
    </w:p>
    <w:p>
      <w:pPr>
        <w:spacing w:after="0" w:line="225" w:lineRule="exact"/>
        <w:rPr>
          <w:rFonts w:ascii="Arial" w:cs="Arial" w:eastAsia="Arial" w:hAnsi="Arial"/>
          <w:sz w:val="18"/>
          <w:szCs w:val="18"/>
          <w:color w:val="auto"/>
        </w:rPr>
      </w:pPr>
    </w:p>
    <w:p>
      <w:pPr>
        <w:ind w:right="40" w:firstLine="2601"/>
        <w:spacing w:after="0" w:line="242" w:lineRule="auto"/>
        <w:tabs>
          <w:tab w:leader="none" w:pos="32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“Severance Payment” equivalent to the sum of three (3) years of Executive’s Base Salary then in effect on the date of termination plus three (3) times Executive’s maximum bonus potential for the year in which Executive was terminated, less (x) any bonus amounts already received by Executive which applied to Executive’s performance in the year of termination and (y) applicable taxes and withholdings, all payable in a lump sum on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such termination; provided, however, that to the extent that doing so would not result in adverse tax consequences under Code Section 409A, such amounts shall instead be payable, if sooner, on the day on which Executive satisfies the release requirement set forth in subsection (b)(ii), below;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2601"/>
        <w:spacing w:after="0" w:line="277" w:lineRule="auto"/>
        <w:tabs>
          <w:tab w:leader="none" w:pos="3272" w:val="left"/>
        </w:tabs>
        <w:numPr>
          <w:ilvl w:val="2"/>
          <w:numId w:val="30"/>
        </w:numPr>
        <w:rPr>
          <w:rFonts w:ascii="Arial" w:cs="Arial" w:eastAsia="Arial" w:hAnsi="Arial"/>
          <w:sz w:val="18"/>
          <w:szCs w:val="18"/>
          <w:color w:val="auto"/>
        </w:rPr>
      </w:pPr>
      <w:r>
        <w:rPr>
          <w:rFonts w:ascii="Arial" w:cs="Arial" w:eastAsia="Arial" w:hAnsi="Arial"/>
          <w:sz w:val="18"/>
          <w:szCs w:val="18"/>
          <w:color w:val="auto"/>
        </w:rPr>
        <w:t>accelerated vesting of any and all of Executive’s stock options, restricted stock units and any other outstanding equity awards that remain unvested as of the date of termination; and</w:t>
      </w:r>
    </w:p>
    <w:p>
      <w:pPr>
        <w:spacing w:after="0" w:line="170" w:lineRule="exact"/>
        <w:rPr>
          <w:rFonts w:ascii="Arial" w:cs="Arial" w:eastAsia="Arial" w:hAnsi="Arial"/>
          <w:sz w:val="18"/>
          <w:szCs w:val="18"/>
          <w:color w:val="auto"/>
        </w:rPr>
      </w:pPr>
    </w:p>
    <w:p>
      <w:pPr>
        <w:ind w:right="120" w:firstLine="2601"/>
        <w:spacing w:after="0" w:line="273" w:lineRule="auto"/>
        <w:tabs>
          <w:tab w:leader="none" w:pos="3282" w:val="left"/>
        </w:tabs>
        <w:numPr>
          <w:ilvl w:val="2"/>
          <w:numId w:val="30"/>
        </w:numPr>
        <w:rPr>
          <w:rFonts w:ascii="Arial" w:cs="Arial" w:eastAsia="Arial" w:hAnsi="Arial"/>
          <w:sz w:val="17"/>
          <w:szCs w:val="17"/>
          <w:color w:val="auto"/>
        </w:rPr>
      </w:pPr>
      <w:r>
        <w:rPr>
          <w:rFonts w:ascii="Arial" w:cs="Arial" w:eastAsia="Arial" w:hAnsi="Arial"/>
          <w:sz w:val="17"/>
          <w:szCs w:val="17"/>
          <w:color w:val="auto"/>
        </w:rPr>
        <w:t>continuation of Executive’s group health insurance benefits on the same terms as during his employment until the sooner of three (3) years following the Separation Date or Executive’s procurement of health care coverage through another employer (the “Benefits Continuation Period”), provided Company’s insurance carrier allows for such benefits continuation. In the event Company’s insurance carrier does not allow for such coverage continuation, Company agrees to pay the premiums required to continue Executive’s group health care coverage during the Benefits Continuation Period, under the applicable provisions of the Consolidated Omnibus Budget Reconciliation Act of 1985 (“COBRA”), provided that Executive elects to continue and remains eligible for these benefits under COBRA. To the extent that any of the benefits provided under this section 7.2(a)(iii) would result in unintended tax consequences under Internal Revenue Code Section 105(h) or its analog in the Patient Protection and Affordable Care Act of 2010, Company shall in lieu of providing such benefits, provide Executive with a lump sum payment equal to 24 months of COBRA continuation coverage on the 55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Executive’s termination of employment.</w:t>
      </w:r>
    </w:p>
    <w:p>
      <w:pPr>
        <w:spacing w:after="0" w:line="94" w:lineRule="exact"/>
        <w:rPr>
          <w:rFonts w:ascii="Arial" w:cs="Arial" w:eastAsia="Arial" w:hAnsi="Arial"/>
          <w:sz w:val="17"/>
          <w:szCs w:val="17"/>
          <w:color w:val="auto"/>
        </w:rPr>
      </w:pPr>
    </w:p>
    <w:p>
      <w:pPr>
        <w:ind w:right="440" w:firstLine="1953"/>
        <w:spacing w:after="0" w:line="277" w:lineRule="auto"/>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Conditions to Receive Severance Package</w:t>
      </w:r>
      <w:r>
        <w:rPr>
          <w:rFonts w:ascii="Arial" w:cs="Arial" w:eastAsia="Arial" w:hAnsi="Arial"/>
          <w:sz w:val="18"/>
          <w:szCs w:val="18"/>
          <w:color w:val="auto"/>
        </w:rPr>
        <w:t>. Executive will receive the Severance Package described above only if he meets all of the following conditions:</w:t>
      </w:r>
    </w:p>
    <w:p>
      <w:pPr>
        <w:spacing w:after="0" w:line="170" w:lineRule="exact"/>
        <w:rPr>
          <w:rFonts w:ascii="Arial" w:cs="Arial" w:eastAsia="Arial" w:hAnsi="Arial"/>
          <w:sz w:val="18"/>
          <w:szCs w:val="18"/>
          <w:color w:val="auto"/>
        </w:rPr>
      </w:pPr>
    </w:p>
    <w:p>
      <w:pPr>
        <w:ind w:left="3280" w:hanging="679"/>
        <w:spacing w:after="0"/>
        <w:tabs>
          <w:tab w:leader="none" w:pos="32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complies with all surviving provisions of this Agreement as specified in subsection 13.8 below; and</w:t>
      </w:r>
    </w:p>
    <w:p>
      <w:pPr>
        <w:spacing w:after="0" w:line="225" w:lineRule="exact"/>
        <w:rPr>
          <w:rFonts w:ascii="Arial" w:cs="Arial" w:eastAsia="Arial" w:hAnsi="Arial"/>
          <w:sz w:val="18"/>
          <w:szCs w:val="18"/>
          <w:color w:val="auto"/>
        </w:rPr>
      </w:pPr>
    </w:p>
    <w:p>
      <w:pPr>
        <w:jc w:val="both"/>
        <w:ind w:right="160" w:firstLine="2601"/>
        <w:spacing w:after="0" w:line="259" w:lineRule="auto"/>
        <w:tabs>
          <w:tab w:leader="none" w:pos="3272" w:val="left"/>
        </w:tabs>
        <w:numPr>
          <w:ilvl w:val="2"/>
          <w:numId w:val="31"/>
        </w:numPr>
        <w:rPr>
          <w:rFonts w:ascii="Arial" w:cs="Arial" w:eastAsia="Arial" w:hAnsi="Arial"/>
          <w:sz w:val="18"/>
          <w:szCs w:val="18"/>
          <w:color w:val="auto"/>
        </w:rPr>
      </w:pPr>
      <w:r>
        <w:rPr>
          <w:rFonts w:ascii="Arial" w:cs="Arial" w:eastAsia="Arial" w:hAnsi="Arial"/>
          <w:sz w:val="18"/>
          <w:szCs w:val="18"/>
          <w:color w:val="auto"/>
        </w:rPr>
        <w:t>executes a full general release, in a form acceptable to Company, releasing all claims, known or unknown, that Executive may have against Company, and any parent, subsidiary or related entity, their officers, directors, employees and agents, arising out of or any way related to Employee’s employment or termination of employment with Company (the “Release”). The Release must become effective within forty-five (45) days of Executive’s termination of employment and must not thereafter be revoked.</w:t>
      </w:r>
    </w:p>
    <w:p>
      <w:pPr>
        <w:spacing w:after="0" w:line="186" w:lineRule="exact"/>
        <w:rPr>
          <w:rFonts w:ascii="Arial" w:cs="Arial" w:eastAsia="Arial" w:hAnsi="Arial"/>
          <w:sz w:val="18"/>
          <w:szCs w:val="18"/>
          <w:color w:val="auto"/>
        </w:rPr>
      </w:pPr>
    </w:p>
    <w:p>
      <w:pPr>
        <w:ind w:firstLine="1305"/>
        <w:spacing w:after="0" w:line="289" w:lineRule="auto"/>
        <w:tabs>
          <w:tab w:leader="none" w:pos="19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sake of clarity, no severance benefit that is paid on account of Executive’s termination of employment will be paid unless and until Executive incurs a “separation from service” under the default rules of Section 409A of the Internal Revenue Code of 1986, as amended (the “Code”). Notwithstanding any other provision of this Agreement to the contrary, if Executive is a “specified employee” within the meaning of Section 409A of the Internal Revenue Code of 1986, as amended (the “Code”) and the related guidance (“Section 409A”) at the time of Executive’s separation from service, then only that portion of the Severance Package, together with any other severance payments or benefits, that may be considered deferred compensation under Section 409A, which (when considered together) do not exceed the Section 409A Limit (as defined below) and which qualify as separation pay under Treasury Regulation Section 1.409A-1(b)(9)(iii), may be paid within the first six (6) months following Executive’s separation from service in accordance with section 7.2(a) above or (for payments or benefits not provided under this Agreement) with the payment schedule applicable to each such other payment or benefit. Otherwise, the portion of the Severance Package, together with any other severance payments or benefits that may be considered deferred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2"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8"/>
          <w:szCs w:val="18"/>
          <w:color w:val="auto"/>
        </w:rPr>
        <w:t>compensation under Section 409A, that would otherwise be payable within the six (6) month period following Executive’s separation from service will be paid in a lump sum on the date six (6) months and one (1) day following the date of Executive’s separation from service (or the next business day if such date is not business day). For purposes of this Agreement, “Section 409A Limit” means the lesser of two (2) times: (i) the sum of Executive’s annualized compensation based upon the annual rate of pay for services provided to Company for the taxable year of Executive preceding the taxable year of Executive’s separation from service from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89"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Resignation by Executive Without Good Reason</w:t>
      </w:r>
      <w:r>
        <w:rPr>
          <w:rFonts w:ascii="Arial" w:cs="Arial" w:eastAsia="Arial" w:hAnsi="Arial"/>
          <w:sz w:val="17"/>
          <w:szCs w:val="17"/>
          <w:color w:val="auto"/>
        </w:rPr>
        <w:t>. Executive may resign Executive’s position with Company for any reason, at any time on thirty (30) days’ advance written notice. In the event of Executive’s resignation, Executive will be entitled to receive only the Standard Entitlements and no other amount. All other Company obligations to Executive pursuant to this Agreement will become automatically terminated and completely extinguished. In addition, Executive will not be entitled to receive the Severance Package described in subsection 7.2 above.</w:t>
      </w:r>
    </w:p>
    <w:p>
      <w:pPr>
        <w:spacing w:after="0" w:line="17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Termination Upon A Change Of Control</w:t>
      </w:r>
      <w:r>
        <w:rPr>
          <w:rFonts w:ascii="Arial" w:cs="Arial" w:eastAsia="Arial" w:hAnsi="Arial"/>
          <w:sz w:val="16"/>
          <w:szCs w:val="16"/>
          <w:color w:val="auto"/>
        </w:rPr>
        <w:t>.</w:t>
      </w:r>
    </w:p>
    <w:p>
      <w:pPr>
        <w:spacing w:after="0" w:line="225" w:lineRule="exact"/>
        <w:rPr>
          <w:sz w:val="20"/>
          <w:szCs w:val="20"/>
          <w:color w:val="auto"/>
        </w:rPr>
      </w:pPr>
    </w:p>
    <w:p>
      <w:pPr>
        <w:ind w:right="220" w:firstLine="1953"/>
        <w:spacing w:after="0" w:line="342" w:lineRule="auto"/>
        <w:tabs>
          <w:tab w:leader="none" w:pos="260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Accelerated Vesting Upon A Change Of Control</w:t>
      </w:r>
      <w:r>
        <w:rPr>
          <w:rFonts w:ascii="Arial" w:cs="Arial" w:eastAsia="Arial" w:hAnsi="Arial"/>
          <w:sz w:val="16"/>
          <w:szCs w:val="16"/>
          <w:color w:val="auto"/>
        </w:rPr>
        <w:t>. Upon the occurrence of a Change of Control, Company shall immediately accelerate vesting of 100% of any portion of the Option and 100% of the portion of any other outstanding equity awards that remain unvested.</w:t>
      </w:r>
    </w:p>
    <w:p>
      <w:pPr>
        <w:spacing w:after="0" w:line="123" w:lineRule="exact"/>
        <w:rPr>
          <w:rFonts w:ascii="Arial" w:cs="Arial" w:eastAsia="Arial" w:hAnsi="Arial"/>
          <w:sz w:val="16"/>
          <w:szCs w:val="16"/>
          <w:color w:val="auto"/>
        </w:rPr>
      </w:pPr>
    </w:p>
    <w:p>
      <w:pPr>
        <w:ind w:right="220" w:firstLine="1953"/>
        <w:spacing w:after="0" w:line="312" w:lineRule="auto"/>
        <w:tabs>
          <w:tab w:leader="none" w:pos="26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Continued Validity of Severance Package After A Change Of Control</w:t>
      </w:r>
      <w:r>
        <w:rPr>
          <w:rFonts w:ascii="Arial" w:cs="Arial" w:eastAsia="Arial" w:hAnsi="Arial"/>
          <w:sz w:val="16"/>
          <w:szCs w:val="16"/>
          <w:color w:val="auto"/>
        </w:rPr>
        <w:t>. In the event of a Change of Control, the termination provisions described in section 7 above shall remain in full force and effect and Executive shall continue to be entitled to receive the Severance Package described in subsection 7.2(a) above, provided Executive complies with all of the conditions described in subsection 7.2(b) above.</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 means the occurrence of one of the following after the date of this Agreement:</w:t>
      </w:r>
    </w:p>
    <w:p>
      <w:pPr>
        <w:spacing w:after="0" w:line="248" w:lineRule="exact"/>
        <w:rPr>
          <w:rFonts w:ascii="Arial" w:cs="Arial" w:eastAsia="Arial" w:hAnsi="Arial"/>
          <w:sz w:val="16"/>
          <w:szCs w:val="16"/>
          <w:color w:val="auto"/>
        </w:rPr>
      </w:pPr>
    </w:p>
    <w:p>
      <w:pPr>
        <w:ind w:right="180" w:firstLine="2601"/>
        <w:spacing w:after="0" w:line="257" w:lineRule="auto"/>
        <w:tabs>
          <w:tab w:leader="none" w:pos="326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Acquisition of Controlling 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(other than persons who are employed by the Company or its affiliates at any time more than one year before a transaction) (“Buyer”) becomes the “beneficial owner” within the meaning of Rule 13d-3 of the Securities Exchange Act of 1934, as amended, directly or indirectly, of Company securities representing 50% or more of the combined voting power of Company’s then-outstanding securities, but only to the extent that such ownership constitutes a “change in the ownership” of Company within the meaning of U.S. Treasury Regulation Section 1.409A-3(i)(5)(v).</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2601"/>
        <w:spacing w:after="0" w:line="272" w:lineRule="auto"/>
        <w:tabs>
          <w:tab w:leader="none" w:pos="3272" w:val="left"/>
        </w:tabs>
        <w:numPr>
          <w:ilvl w:val="2"/>
          <w:numId w:val="34"/>
        </w:numPr>
        <w:rPr>
          <w:rFonts w:ascii="Arial" w:cs="Arial" w:eastAsia="Arial" w:hAnsi="Arial"/>
          <w:sz w:val="17"/>
          <w:szCs w:val="17"/>
          <w:color w:val="auto"/>
        </w:rPr>
      </w:pPr>
      <w:r>
        <w:rPr>
          <w:rFonts w:ascii="Arial" w:cs="Arial" w:eastAsia="Arial" w:hAnsi="Arial"/>
          <w:sz w:val="17"/>
          <w:szCs w:val="17"/>
          <w:u w:val="single" w:color="auto"/>
          <w:color w:val="auto"/>
        </w:rPr>
        <w:t>Change in Board Control</w:t>
      </w:r>
      <w:r>
        <w:rPr>
          <w:rFonts w:ascii="Arial" w:cs="Arial" w:eastAsia="Arial" w:hAnsi="Arial"/>
          <w:sz w:val="17"/>
          <w:szCs w:val="17"/>
          <w:color w:val="auto"/>
        </w:rPr>
        <w:t>. During any consecutive one-year period commencing after the date of this Agreement, individuals who constituted Company’s Board of Directors (Board) at the beginning of such period or their approved replacements, as defined in the next sentence (Beginning Board)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 behalf of any person other than the Board, but only to the extent that such acquisition constitutes a “change in the effective control” of Company within the meaning of Treasury Regulation Section 1.409A-3(i)(5)(vi).</w:t>
      </w:r>
    </w:p>
    <w:p>
      <w:pPr>
        <w:spacing w:after="0" w:line="177" w:lineRule="exact"/>
        <w:rPr>
          <w:rFonts w:ascii="Arial" w:cs="Arial" w:eastAsia="Arial" w:hAnsi="Arial"/>
          <w:sz w:val="17"/>
          <w:szCs w:val="17"/>
          <w:color w:val="auto"/>
        </w:rPr>
      </w:pPr>
    </w:p>
    <w:p>
      <w:pPr>
        <w:ind w:left="3280" w:hanging="679"/>
        <w:spacing w:after="0"/>
        <w:tabs>
          <w:tab w:leader="none" w:pos="3280" w:val="left"/>
        </w:tabs>
        <w:numPr>
          <w:ilvl w:val="2"/>
          <w:numId w:val="34"/>
        </w:numPr>
        <w:rPr>
          <w:rFonts w:ascii="Arial" w:cs="Arial" w:eastAsia="Arial" w:hAnsi="Arial"/>
          <w:sz w:val="17"/>
          <w:szCs w:val="17"/>
          <w:color w:val="auto"/>
        </w:rPr>
      </w:pPr>
      <w:r>
        <w:rPr>
          <w:rFonts w:ascii="Arial" w:cs="Arial" w:eastAsia="Arial" w:hAnsi="Arial"/>
          <w:sz w:val="17"/>
          <w:szCs w:val="17"/>
          <w:u w:val="single" w:color="auto"/>
          <w:color w:val="auto"/>
        </w:rPr>
        <w:t>Merger</w:t>
      </w:r>
      <w:r>
        <w:rPr>
          <w:rFonts w:ascii="Arial" w:cs="Arial" w:eastAsia="Arial" w:hAnsi="Arial"/>
          <w:sz w:val="17"/>
          <w:szCs w:val="17"/>
          <w:i w:val="1"/>
          <w:iCs w:val="1"/>
          <w:color w:val="auto"/>
        </w:rPr>
        <w:t>.</w:t>
      </w:r>
      <w:r>
        <w:rPr>
          <w:rFonts w:ascii="Arial" w:cs="Arial" w:eastAsia="Arial" w:hAnsi="Arial"/>
          <w:sz w:val="17"/>
          <w:szCs w:val="17"/>
          <w:color w:val="auto"/>
        </w:rPr>
        <w:t xml:space="preserve"> Company consummates a merger or consolidation of Company with any other corporation unless:</w:t>
      </w:r>
    </w:p>
    <w:p>
      <w:pPr>
        <w:spacing w:after="0" w:line="34" w:lineRule="exact"/>
        <w:rPr>
          <w:rFonts w:ascii="Arial" w:cs="Arial" w:eastAsia="Arial" w:hAnsi="Arial"/>
          <w:sz w:val="17"/>
          <w:szCs w:val="17"/>
          <w:color w:val="auto"/>
        </w:rPr>
      </w:pPr>
    </w:p>
    <w:p>
      <w:pPr>
        <w:ind w:right="120" w:firstLine="8"/>
        <w:spacing w:after="0" w:line="292" w:lineRule="auto"/>
        <w:tabs>
          <w:tab w:leader="none" w:pos="2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voting securities of Company outstanding immediately before the merger or consolidation would continue to represent (either by remaining outstanding or by being converted into voting securities of the surviving entity) at least 50% of the combined voting power of the voting securities of Company or such surviving entity outstanding immediately after such merger or consolidation; and (b) no Buyer becomes the “beneficial owner,” directly or indirectly, of Company securities representing 50% or more of the combined voting power of Company’s then outstanding securities, but only to the extent that such ownership constitutes a “change in the ownership” of Company within the meaning of U.S. Treasury Regulation Section 1.409A-3(i)(5)(v).</w:t>
      </w:r>
    </w:p>
    <w:p>
      <w:pPr>
        <w:spacing w:after="0" w:line="162" w:lineRule="exact"/>
        <w:rPr>
          <w:rFonts w:ascii="Arial" w:cs="Arial" w:eastAsia="Arial" w:hAnsi="Arial"/>
          <w:sz w:val="16"/>
          <w:szCs w:val="16"/>
          <w:color w:val="auto"/>
        </w:rPr>
      </w:pPr>
    </w:p>
    <w:p>
      <w:pPr>
        <w:ind w:right="40" w:firstLine="2601"/>
        <w:spacing w:after="0" w:line="274" w:lineRule="auto"/>
        <w:tabs>
          <w:tab w:leader="none" w:pos="3258" w:val="left"/>
        </w:tabs>
        <w:numPr>
          <w:ilvl w:val="2"/>
          <w:numId w:val="35"/>
        </w:numPr>
        <w:rPr>
          <w:rFonts w:ascii="Arial" w:cs="Arial" w:eastAsia="Arial" w:hAnsi="Arial"/>
          <w:sz w:val="17"/>
          <w:szCs w:val="17"/>
          <w:color w:val="auto"/>
        </w:rPr>
      </w:pPr>
      <w:r>
        <w:rPr>
          <w:rFonts w:ascii="Arial" w:cs="Arial" w:eastAsia="Arial" w:hAnsi="Arial"/>
          <w:sz w:val="17"/>
          <w:szCs w:val="17"/>
          <w:u w:val="single" w:color="auto"/>
          <w:color w:val="auto"/>
        </w:rPr>
        <w:t>Sale of Assets</w:t>
      </w:r>
      <w:r>
        <w:rPr>
          <w:rFonts w:ascii="Arial" w:cs="Arial" w:eastAsia="Arial" w:hAnsi="Arial"/>
          <w:sz w:val="17"/>
          <w:szCs w:val="17"/>
          <w:color w:val="auto"/>
        </w:rPr>
        <w:t>. Any Buyer acquires all, or substantially all, of Company’s assets, but only to the extent that such acquisition results in a “change in the ownership of a substantial portion” of Company’s assets within the meaning of U.S. Treasury Regulation</w:t>
      </w:r>
    </w:p>
    <w:p>
      <w:pPr>
        <w:spacing w:after="0"/>
        <w:rPr>
          <w:rFonts w:ascii="Arial" w:cs="Arial" w:eastAsia="Arial" w:hAnsi="Arial"/>
          <w:sz w:val="17"/>
          <w:szCs w:val="17"/>
          <w:color w:val="auto"/>
        </w:rPr>
      </w:pPr>
      <w:r>
        <w:rPr>
          <w:rFonts w:ascii="Arial" w:cs="Arial" w:eastAsia="Arial" w:hAnsi="Arial"/>
          <w:sz w:val="18"/>
          <w:szCs w:val="18"/>
          <w:color w:val="auto"/>
        </w:rPr>
        <w:t>Section 1.409A-3(i)(5)(vii).</w:t>
      </w:r>
    </w:p>
    <w:p>
      <w:pPr>
        <w:spacing w:after="0" w:line="206" w:lineRule="exact"/>
        <w:rPr>
          <w:rFonts w:ascii="Arial" w:cs="Arial" w:eastAsia="Arial" w:hAnsi="Arial"/>
          <w:sz w:val="17"/>
          <w:szCs w:val="17"/>
          <w:color w:val="auto"/>
        </w:rPr>
      </w:pPr>
    </w:p>
    <w:p>
      <w:pPr>
        <w:ind w:right="80" w:firstLine="1953"/>
        <w:spacing w:after="0" w:line="269" w:lineRule="auto"/>
        <w:tabs>
          <w:tab w:leader="none" w:pos="260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Additional Election Upon Certain Changes of Control</w:t>
      </w:r>
      <w:r>
        <w:rPr>
          <w:rFonts w:ascii="Arial" w:cs="Arial" w:eastAsia="Arial" w:hAnsi="Arial"/>
          <w:sz w:val="17"/>
          <w:szCs w:val="17"/>
          <w:color w:val="auto"/>
        </w:rPr>
        <w:t>. If Kratos enters into a definitive agreement (“</w:t>
      </w:r>
      <w:r>
        <w:rPr>
          <w:rFonts w:ascii="Arial" w:cs="Arial" w:eastAsia="Arial" w:hAnsi="Arial"/>
          <w:sz w:val="17"/>
          <w:szCs w:val="17"/>
          <w:b w:val="1"/>
          <w:bCs w:val="1"/>
          <w:color w:val="auto"/>
        </w:rPr>
        <w:t>Definitive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that would result in a Change of Control as defined herein, Executive shall have the following options in connection with the consummation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Change of Control, but only to the extent that the Definitive Agreement so provides: (a) to the extent that Kratos is the surviving entity in the Change of Control, Executive may elect to retain, immediately after the consummation of the Change of Control, ownership of Kratos equity with a fair market value immediately after the consummation of the Change of Control that is equal to no less than 50% of the fair market value of his equity interests in Kratos (including stock options and restricted stock) immediately prior to the consummation of the Change of Control, or (b) in the event that Kratos is not the surviving entity in a Change of Control, Executive may elect to require that no less than 50% of his equity interests in Kratos (including stock options and restricted stock) be converted into the same form of equity interest (i.e., common stock, stock options, restricted stock, etc.) of the surviving entity or its parent such that the fair market value of his ownership in the surviving entity immediately following the Change of Control is no less than the fair market value of his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ensuring any particular tax treatment. Kratos’ compliance with the foregoing shall be determined without regard to the tax effect of the transaction resulting in a Change of Control.</w:t>
      </w:r>
    </w:p>
    <w:p>
      <w:pPr>
        <w:sectPr>
          <w:pgSz w:w="11900" w:h="16838" w:orient="portrait"/>
          <w:cols w:equalWidth="0" w:num="1">
            <w:col w:w="11420"/>
          </w:cols>
          <w:pgMar w:left="240" w:top="584" w:right="239" w:bottom="0" w:gutter="0" w:footer="0" w:header="0"/>
        </w:sectPr>
      </w:pPr>
    </w:p>
    <w:bookmarkStart w:id="38" w:name="page39"/>
    <w:bookmarkEnd w:id="38"/>
    <w:p>
      <w:pPr>
        <w:spacing w:after="0" w:line="103"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This Agreement will immediately terminate upon Executive’s death or Disability (as defined below). In the event of Executive’s death or Disability, Executive, or Executive’s heirs, personal representatives or estate, as the case may be, will be entitled to receive only the Standard Entitlements and those benefits available under any applicable Company plan or insurance policy, subject to such plan or policy requirements. All other Company obligations to Executive pursuant to this Agreement will become automatically terminated and completely extinguished. In addition, neither Executive nor Executive’s heirs, personal representatives or estate will be entitled to receive the Severance Package described in subsection 7.2. For purposes of this Agreement, “Disability” shall be defined as Executive’s inability to engage in any substantial gainful activity by reason of any medically determinable physical or mental impairment that can be expected to result in death or can be expected to last for a continuous period of not less than twelve (12) months; (ii) he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Company; or (iii) Executive is determined to be totally disabled by the Social Security Administration or state equivalent. For purposes of this Section 7.5, whether Executive’s condition satisfies the definition of Disability shall be determined in good faith by the Board of Directors of Company.</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u w:val="single" w:color="auto"/>
          <w:color w:val="auto"/>
        </w:rPr>
        <w:t>Parachute Payment Excise Tax</w:t>
      </w:r>
      <w:r>
        <w:rPr>
          <w:rFonts w:ascii="Arial" w:cs="Arial" w:eastAsia="Arial" w:hAnsi="Arial"/>
          <w:sz w:val="15"/>
          <w:szCs w:val="15"/>
          <w:color w:val="auto"/>
        </w:rPr>
        <w:t>.</w:t>
      </w:r>
    </w:p>
    <w:p>
      <w:pPr>
        <w:spacing w:after="0" w:line="225" w:lineRule="exact"/>
        <w:rPr>
          <w:sz w:val="20"/>
          <w:szCs w:val="20"/>
          <w:color w:val="auto"/>
        </w:rPr>
      </w:pPr>
    </w:p>
    <w:p>
      <w:pPr>
        <w:ind w:right="40" w:firstLine="1953"/>
        <w:spacing w:after="0" w:line="253" w:lineRule="auto"/>
        <w:tabs>
          <w:tab w:leader="none" w:pos="26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any payment or benefit (within the meaning of Section 280G(b)(2) of the Code) to Executive for Executive’s benefit, paid or payable or distributed or distributable pursuant to the terms of this Agreement or otherwise in connection with, or arising out of, the Executive’s employment with Company or a Change of Control (a “Payment” or “Payments”), would be subject to the excise tax imposed by Code Section 4999, or any interest or penalties are incurred by Executive with respect to such excise tax (such excise tax, together with any such interest and penalties, are hereinafter collectively referred to as the “Excise Tax”), then Executive will be entitled to receive an additional payment (a “Gross-Up Payment”) in an amount such that after payment by Executive of all taxes (including any interest or penalties (other than interest and penalties imposed by reason of Executive’s failure to file timely a tax return or pay taxes shown due on Executive’s return) imposed with respect to such taxes and the Excise Tax), including any Excise Tax imposed upon the Gross-Up Payment, Executive retains an amount of the Gross-Up Payment equal to the Excise Tax imposed upon the Payments.</w:t>
      </w:r>
    </w:p>
    <w:p>
      <w:pPr>
        <w:spacing w:after="0" w:line="197" w:lineRule="exact"/>
        <w:rPr>
          <w:rFonts w:ascii="Arial" w:cs="Arial" w:eastAsia="Arial" w:hAnsi="Arial"/>
          <w:sz w:val="18"/>
          <w:szCs w:val="18"/>
          <w:color w:val="auto"/>
        </w:rPr>
      </w:pPr>
    </w:p>
    <w:p>
      <w:pPr>
        <w:ind w:firstLine="1953"/>
        <w:spacing w:after="0" w:line="257" w:lineRule="auto"/>
        <w:tabs>
          <w:tab w:leader="none" w:pos="26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initial determination as to whether a Gross-Up Payment is required pursuant to this Agreement and the amount of such Gross-Up Payment shall be made by Company. Company shall provide its determination (the “Determination”), together with detailed supporting calculations and documentation, to Executive within fifteen (15) days of the date of Executive’s termination, if applicable, or such other time as requested by Executive (provided Executive reasonably believes that any of the Payments may be subject to the Excise Tax). If requested by the Executive, Company shall furnish Executive, at Company’s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 an opinion reasonably acceptable to Executive from Company’s accounting firm (or an accounting firm of equivalent stature reasonably acceptable to Executive) that there is a reasonable basis for the Determination. Any Gross-Up Payment determined pursuant to this section 6 shall be paid by Company to Executive within five (5) days of receipt of the Determination.</w:t>
      </w:r>
    </w:p>
    <w:p>
      <w:pPr>
        <w:spacing w:after="0" w:line="181" w:lineRule="exact"/>
        <w:rPr>
          <w:sz w:val="20"/>
          <w:szCs w:val="20"/>
          <w:color w:val="auto"/>
        </w:rPr>
      </w:pPr>
    </w:p>
    <w:p>
      <w:pPr>
        <w:jc w:val="both"/>
        <w:ind w:right="360" w:firstLine="1953"/>
        <w:spacing w:after="0" w:line="264" w:lineRule="auto"/>
        <w:tabs>
          <w:tab w:leader="none" w:pos="2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w:t>
      </w:r>
    </w:p>
    <w:p>
      <w:pPr>
        <w:spacing w:after="0" w:line="181" w:lineRule="exact"/>
        <w:rPr>
          <w:rFonts w:ascii="Arial" w:cs="Arial" w:eastAsia="Arial" w:hAnsi="Arial"/>
          <w:sz w:val="18"/>
          <w:szCs w:val="18"/>
          <w:color w:val="auto"/>
        </w:rPr>
      </w:pPr>
    </w:p>
    <w:p>
      <w:pPr>
        <w:ind w:right="20" w:firstLine="1953"/>
        <w:spacing w:after="0" w:line="290" w:lineRule="auto"/>
        <w:tabs>
          <w:tab w:leader="none" w:pos="2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Underpayment shall be deemed to have occurred (A) upon notice (formal or informal) to Executive from any governmental taxing authority that Executive’s tax liability (whether in respect of Executive’s current taxable year or in respect of any prior taxable year) may be increased by reason of the imposition of the Excise Tax on a Payment or Payments with respect to which Company has failed to make a sufficient Gross-Up Payment, (B) upon a determination by a court, or (C) by reason of determination by Company (which shall include the position taken by Company, together with its consolidated group, on its federal income tax return). If an Underpayment occurs, Executive shall promptly notify Company and Company shall promptly, but in any event at least five (5) days prior to the date on which the applicable government taxing authority has requested payment, pay to Executive an additional Gross-Up Payment equal to the amount of the Underpayment plus any interest and penalties (other than interest and penalties imposed by reason of Executive’s failure to file timely a tax return or pay taxes shown due on Executive’s return) imposed on the Underpayment.</w:t>
      </w:r>
    </w:p>
    <w:p>
      <w:pPr>
        <w:spacing w:after="0" w:line="166" w:lineRule="exact"/>
        <w:rPr>
          <w:rFonts w:ascii="Arial" w:cs="Arial" w:eastAsia="Arial" w:hAnsi="Arial"/>
          <w:sz w:val="16"/>
          <w:szCs w:val="16"/>
          <w:color w:val="auto"/>
        </w:rPr>
      </w:pPr>
    </w:p>
    <w:p>
      <w:pPr>
        <w:ind w:right="60" w:firstLine="1953"/>
        <w:spacing w:after="0" w:line="270" w:lineRule="auto"/>
        <w:tabs>
          <w:tab w:leader="none" w:pos="26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Excess Payment shall be deemed to have occurred upon a Final Determination (as hereinafter defined) that the Excise Tax shall not be imposed upon a Payment or Payments (or portion thereof) with respect to which Executive had previously received a Gross-Up Payment. A “Final Determination” shall be deemed to have occurred when Executive has received from the applicable government taxing authority a refund of taxes or other reduction in Executive’s tax liability by reason of the Excise Payment and upon either (A) the date a determination is made by, or an agreement is entered into with, the applicable governmental taxing authority which finally and conclusively binds Executive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to Executive’s applicable tax return has expired. If an Excess Payment is determined to have been made, the amount of the Excess Payment shall be repaid by Executive to Company unless, and only to the extent that, the repayment would either reduce the amount on which Executive is subject to tax under Code Section 4999 or generate a refund of tax imposed under Code Section 4999.</w:t>
      </w:r>
    </w:p>
    <w:p>
      <w:pPr>
        <w:spacing w:after="0" w:line="177" w:lineRule="exact"/>
        <w:rPr>
          <w:rFonts w:ascii="Arial" w:cs="Arial" w:eastAsia="Arial" w:hAnsi="Arial"/>
          <w:sz w:val="17"/>
          <w:szCs w:val="17"/>
          <w:color w:val="auto"/>
        </w:rPr>
      </w:pPr>
    </w:p>
    <w:p>
      <w:pPr>
        <w:jc w:val="both"/>
        <w:ind w:right="100" w:firstLine="1953"/>
        <w:spacing w:after="0" w:line="264" w:lineRule="auto"/>
        <w:tabs>
          <w:tab w:leader="none" w:pos="26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in the event that, according to the Determination, an Excise Tax will be imposed on any Payment or Payments, Company shall pay to the applicable government taxing authorities, as Excise Tax withholding, the amount of the Excise Tax that Company has actually withheld from the Payment or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97" w:lineRule="auto"/>
        <w:tabs>
          <w:tab w:leader="none" w:pos="131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Conflict of Interest</w:t>
      </w:r>
      <w:r>
        <w:rPr>
          <w:rFonts w:ascii="Arial" w:cs="Arial" w:eastAsia="Arial" w:hAnsi="Arial"/>
          <w:sz w:val="16"/>
          <w:szCs w:val="16"/>
          <w:color w:val="auto"/>
        </w:rPr>
        <w:t>. During Executive’s employment with Company and during any period Executive is receiving payments from Company pursuant to this Agreement, Executive must not engage in any work, paid or unpaid, that creates an actual conflict of interest with Company. Such work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Executive’s employment with Company, as may be determined by the Board of</w:t>
      </w:r>
    </w:p>
    <w:p>
      <w:pPr>
        <w:sectPr>
          <w:pgSz w:w="11900" w:h="16941" w:orient="portrait"/>
          <w:cols w:equalWidth="0" w:num="1">
            <w:col w:w="11420"/>
          </w:cols>
          <w:pgMar w:left="240" w:top="125" w:right="239" w:bottom="0" w:gutter="0" w:footer="0" w:header="0"/>
        </w:sectPr>
      </w:pPr>
    </w:p>
    <w:bookmarkStart w:id="39" w:name="page40"/>
    <w:bookmarkEnd w:id="39"/>
    <w:p>
      <w:pPr>
        <w:spacing w:after="0" w:line="7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Directors in its sole discretion. If the Board of Directors believes such a conflict exists during Executive’s employment, the Board of Directors may ask Executive to choose to discontinue the other work or resign employment with Company. If the Board of Directors believes such a conflict exists during any period in which Executive is receiving payments pursuant to this Agreement, the Board of Directors may ask Executive to choose to discontinue the other work or forfeit the remaining severance payments. In addition, Executive agrees not to refer any client or potential client of Company to competitors of Company, without obtaining Company’s prior written consent, during Executive’s employment and during any period in which Executive is receiving payments from Company pursuant to this Agreement.</w:t>
      </w:r>
    </w:p>
    <w:p>
      <w:pPr>
        <w:spacing w:after="0" w:line="193" w:lineRule="exact"/>
        <w:rPr>
          <w:sz w:val="20"/>
          <w:szCs w:val="20"/>
          <w:color w:val="auto"/>
        </w:rPr>
      </w:pPr>
    </w:p>
    <w:p>
      <w:pPr>
        <w:ind w:right="60" w:firstLine="656"/>
        <w:spacing w:after="0" w:line="277"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read, sign and abide by Company’s standard form of confidentiality agreement, which is provided with this Agreement and incorporated herein by reference.</w:t>
      </w:r>
    </w:p>
    <w:p>
      <w:pPr>
        <w:spacing w:after="0" w:line="170" w:lineRule="exact"/>
        <w:rPr>
          <w:rFonts w:ascii="Arial" w:cs="Arial" w:eastAsia="Arial" w:hAnsi="Arial"/>
          <w:sz w:val="18"/>
          <w:szCs w:val="18"/>
          <w:color w:val="auto"/>
        </w:rPr>
      </w:pPr>
    </w:p>
    <w:p>
      <w:pPr>
        <w:ind w:right="40" w:firstLine="656"/>
        <w:spacing w:after="0" w:line="271" w:lineRule="auto"/>
        <w:tabs>
          <w:tab w:leader="none" w:pos="131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Executive understands and agrees that Company’s employees and customers and any information regarding Company employees and/or customers is confidential and constitutes trade secrets. Accordingly, Executive agrees that during his employment and thereafter, Executive will not, either directly or indirectly, separately or in association with others: (a) use Company trade secret or confidential information to interfere with, impair, disrupt or damage Company’s relationship with any of its customers or customer prospects by soliciting or encouraging others to solicit any of them for the purpose of diverting or taking away business from Company; or (b) directly or indirectly, separately or in association with others, interfere with, impair, disrupt or damage Company’s business by soliciting, encouraging or attempting to hire any of Company’s employees or causing others to solicit or encourage any of Company’s employees to discontinue their employment with Company. Executive’s obligations under clause (b), however, shall lapse on the one-year anniversary of his termination of employment.</w:t>
      </w:r>
    </w:p>
    <w:p>
      <w:pPr>
        <w:spacing w:after="0" w:line="178" w:lineRule="exact"/>
        <w:rPr>
          <w:rFonts w:ascii="Arial" w:cs="Arial" w:eastAsia="Arial" w:hAnsi="Arial"/>
          <w:sz w:val="17"/>
          <w:szCs w:val="17"/>
          <w:color w:val="auto"/>
        </w:rPr>
      </w:pPr>
    </w:p>
    <w:p>
      <w:pPr>
        <w:jc w:val="both"/>
        <w:ind w:right="260" w:firstLine="656"/>
        <w:spacing w:after="0" w:line="312" w:lineRule="auto"/>
        <w:tabs>
          <w:tab w:leader="none" w:pos="131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his breach of the covenants contained in sections 8-10 would cause irreparable injury to Company and agrees that in the event of any such breach, Company shall be entitled to seek temporary, preliminary and permanent injunctive relief, to the extent allowed under the California Arbitration Act, without the necessity of proving actual damages or posting any bond or other security.</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Agreement to Arbitrate</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Scope</w:t>
      </w:r>
      <w:r>
        <w:rPr>
          <w:rFonts w:ascii="Arial" w:cs="Arial" w:eastAsia="Arial" w:hAnsi="Arial"/>
          <w:sz w:val="18"/>
          <w:szCs w:val="18"/>
          <w:color w:val="auto"/>
        </w:rPr>
        <w:t>. To the fullest extent permitted by law, Executive and Company agree to arbitrate any controversy, claim or dispute between them arising out of or in any way related to this Agreement, the employment relationship between Company and Executive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any disputes upon termination of employment, including but not limited to breach of contract, tort, discrimination, harassment, wrongful termination, demotion, discipline, failure to accommodate, family and medical leave, compensation or benefits claims, constitutional claims; and any claims for violation of any local, state or federal law, statute, regulation or ordinance or common law. For the purpose of this agreement to arbitrate, references to “Company” include all parent, subsidiary or related entities and their employees, supervisors, officers, directors, agents, pension or benefit plans, pension or benefit plan sponsors, fiduciaries, administrators, affiliates and all successors and assigns of any of them, and this agreement to arbitrate shall apply to them to the extent Executive’s claims arise out of or relate to their actions on behalf of Company.</w:t>
      </w:r>
    </w:p>
    <w:p>
      <w:pPr>
        <w:spacing w:after="0" w:line="178"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Arbitration Procedure</w:t>
      </w:r>
      <w:r>
        <w:rPr>
          <w:rFonts w:ascii="Arial" w:cs="Arial" w:eastAsia="Arial" w:hAnsi="Arial"/>
          <w:sz w:val="16"/>
          <w:szCs w:val="16"/>
          <w:color w:val="auto"/>
        </w:rPr>
        <w:t>. Either party may exercise the right to arbitrate by providing the other party with written notice of any and all claims forming the basis of such right in sufficient detail to inform the other party of the substance of such claims. In no event shall the request for arbitration be made after the date when institution of legal or equitable proceedings based on such claims would be barred by the applicable statute of limitations. The arbitration will be conducted in San Diego, California by a single neutral arbitrator and in accordance with the then current rules for resolution of employment disputes of the American Arbitration Association (“AAA”). The parties are entitled to representation by an attorney or other representative of their choosing. The arbitrator shall have the power to enter any award that could be entered by a judge of the trial court of the State of California, and only such power, and shall follow the law. The parties agree to abide by and perform any award rendered by the arbitrator. The arbitrator shall issue the award in writing and therein state the essential findings and conclusions on which the award is based. Judgment on the award may be entered in any court having jurisdiction thereof. Company shall bear the costs of the arbitration filing and hearing fees and the cost of the arbitrator.</w:t>
      </w:r>
    </w:p>
    <w:p>
      <w:pPr>
        <w:spacing w:after="0" w:line="167" w:lineRule="exact"/>
        <w:rPr>
          <w:sz w:val="20"/>
          <w:szCs w:val="20"/>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Company under this Agreement shall inure to the benefit of and shall be binding upon the successors and assigns of Company. Executive shall not be entitled to assign any of Executive’s rights or obligations under this Agreement.</w:t>
      </w:r>
    </w:p>
    <w:p>
      <w:pPr>
        <w:spacing w:after="0" w:line="1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Attorneys’ Fees</w:t>
      </w:r>
      <w:r>
        <w:rPr>
          <w:rFonts w:ascii="Arial" w:cs="Arial" w:eastAsia="Arial" w:hAnsi="Arial"/>
          <w:sz w:val="18"/>
          <w:szCs w:val="18"/>
          <w:color w:val="auto"/>
        </w:rPr>
        <w:t>. Each side will bear its own attorneys’ fees in any dispute unless a statutory section at issue, if any, authorizes the award of attorneys’ fees to the prevailing party.</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or court, the unenforceable provision shall be deemed deleted, and the validity and enforceability of the remaining provisions shall not be affected thereby.</w:t>
      </w:r>
    </w:p>
    <w:p>
      <w:pPr>
        <w:spacing w:after="0" w:line="248"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ectPr>
          <w:pgSz w:w="11900" w:h="16911" w:orient="portrait"/>
          <w:cols w:equalWidth="0" w:num="1">
            <w:col w:w="11400"/>
          </w:cols>
          <w:pgMar w:left="240" w:top="125" w:right="259" w:bottom="0" w:gutter="0" w:footer="0" w:header="0"/>
        </w:sectPr>
      </w:pPr>
    </w:p>
    <w:bookmarkStart w:id="40" w:name="page41"/>
    <w:bookmarkEnd w:id="40"/>
    <w:p>
      <w:pPr>
        <w:ind w:right="60" w:firstLine="1297"/>
        <w:spacing w:after="0" w:line="264"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United States and the State of California. Each party consents to the jurisdiction and venue of the state or federal courts in San Diego, California, if applicable, in any action, suit, or proceeding arising out of or relating to this Agreement.</w:t>
      </w:r>
    </w:p>
    <w:p>
      <w:pPr>
        <w:spacing w:after="0" w:line="181"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below, or such other address as either party may specify in writing.</w:t>
      </w:r>
    </w:p>
    <w:p>
      <w:pPr>
        <w:spacing w:after="0" w:line="154"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Survival</w:t>
      </w:r>
      <w:r>
        <w:rPr>
          <w:rFonts w:ascii="Arial" w:cs="Arial" w:eastAsia="Arial" w:hAnsi="Arial"/>
          <w:sz w:val="18"/>
          <w:szCs w:val="18"/>
          <w:color w:val="auto"/>
        </w:rPr>
        <w:t>. Sections 8 (“No Conflict of Interest”), 9 (“Confidentiality and Proprietary Rights”), 10 (“Nonsolicitation”), 11 (“Injunctive Relief”), 12 (“Agreement to Arbitrate”), 13 (“General Provisions”) and 14 (“Entire Agreement”) of this Agreement shall survive Executive’s employment by Company.</w:t>
      </w:r>
    </w:p>
    <w:p>
      <w:pPr>
        <w:spacing w:after="0" w:line="181"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Code Section 409A</w:t>
      </w:r>
      <w:r>
        <w:rPr>
          <w:rFonts w:ascii="Arial" w:cs="Arial" w:eastAsia="Arial" w:hAnsi="Arial"/>
          <w:sz w:val="18"/>
          <w:szCs w:val="18"/>
          <w:color w:val="auto"/>
        </w:rPr>
        <w:t>. This Agreement is intended to comply with Code Section 409A (as amplified by any Internal Revenue Service or U.S. Treasury Department guidance), and shall be construed and interpreted in accordance with such intent. Executive and Company acknowledge that Executive and Company intend that the compensation arrangements set forth in this Agreement are in compliance with Section 409A, and Executive and Company agree to cooperate with one another, to the extent reasonably requested by the other party, to restructure any compensation set forth in this Agreement in a manner, if possible and without any increase in cost to Company, such that no earlier and/or additional taxes to Executive or Company will arise under Section 409A.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w:t>
      </w:r>
    </w:p>
    <w:p>
      <w:pPr>
        <w:spacing w:after="0" w:line="192" w:lineRule="exact"/>
        <w:rPr>
          <w:sz w:val="20"/>
          <w:szCs w:val="20"/>
          <w:color w:val="auto"/>
        </w:rPr>
      </w:pPr>
    </w:p>
    <w:p>
      <w:pPr>
        <w:jc w:val="both"/>
        <w:ind w:right="100" w:firstLine="656"/>
        <w:spacing w:after="0" w:line="312" w:lineRule="auto"/>
        <w:tabs>
          <w:tab w:leader="none" w:pos="131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Company’s standard form of confidentiality agreement incorporated herein by reference and Company’s 1999 Equity Incentive Plan and related option documents described in subsection 4.3 of this Agreement, constitutes the entire agreement between the parties relating to this subject matter and supersedes all prior or simultaneous representations, discussions, negotiations, and agreements, whether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written or oral. This Agreement may be amended or modified only with the written consent of Executive and the Board of Directors of Company. No oral waiver, amendment or modification will be effective under any circumstances whatsoever.</w:t>
      </w:r>
    </w:p>
    <w:p>
      <w:pPr>
        <w:spacing w:after="0" w:line="166"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THE PARTIES TO THIS AGREEMENT HAVE READ THE FOREGOING AGREEMENT AND FULLY UNDERSTAND EACH AND EVERY PROVISION CONTAINED HEREIN. WHEREFORE, THE PARTIES HAVE EXECUTED THIS AGREEMENT ON THE DATES SHOWN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Eric DeMarco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August 4, 2011</w:t>
            </w:r>
          </w:p>
        </w:tc>
        <w:tc>
          <w:tcPr>
            <w:tcW w:w="2360" w:type="dxa"/>
            <w:vAlign w:val="bottom"/>
          </w:tcPr>
          <w:p>
            <w:pPr>
              <w:spacing w:after="0"/>
              <w:rPr>
                <w:sz w:val="20"/>
                <w:szCs w:val="20"/>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DeMarco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Eric DeMarco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Kratos Defense &amp; Security Solutions,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  /s/ Deanna H. Lund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August 4, 2011</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Deanna H. Lund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Executive Vice President &amp; 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2760" w:type="dxa"/>
            <w:vAlign w:val="bottom"/>
            <w:gridSpan w:val="2"/>
          </w:tcPr>
          <w:p>
            <w:pPr>
              <w:jc w:val="right"/>
              <w:ind w:right="230"/>
              <w:spacing w:after="0"/>
              <w:rPr>
                <w:sz w:val="20"/>
                <w:szCs w:val="20"/>
                <w:color w:val="auto"/>
              </w:rPr>
            </w:pPr>
            <w:r>
              <w:rPr>
                <w:rFonts w:ascii="Arial" w:cs="Arial" w:eastAsia="Arial" w:hAnsi="Arial"/>
                <w:sz w:val="18"/>
                <w:szCs w:val="18"/>
                <w:color w:val="auto"/>
              </w:rPr>
              <w:t>12</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60" w:type="dxa"/>
            <w:vAlign w:val="bottom"/>
            <w:tcBorders>
              <w:bottom w:val="single" w:sz="8" w:color="010101"/>
            </w:tcBorders>
          </w:tcPr>
          <w:p>
            <w:pPr>
              <w:spacing w:after="0"/>
              <w:rPr>
                <w:sz w:val="11"/>
                <w:szCs w:val="11"/>
                <w:color w:val="auto"/>
              </w:rPr>
            </w:pPr>
          </w:p>
        </w:tc>
        <w:tc>
          <w:tcPr>
            <w:tcW w:w="23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SECOND AMENDED AND RESTATED SEVERANCE</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CHANGE OF CONTROL AGREEMENT</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This Second Amended and Restated Severance and Change of Control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August 4, 2011 between Kratos Defense &amp; Security Solutions,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Kratos</w:t>
      </w:r>
      <w:r>
        <w:rPr>
          <w:rFonts w:ascii="Arial" w:cs="Arial" w:eastAsia="Arial" w:hAnsi="Arial"/>
          <w:sz w:val="18"/>
          <w:szCs w:val="18"/>
          <w:color w:val="auto"/>
        </w:rPr>
        <w:t>”) and Deanna Lund (“</w:t>
      </w:r>
      <w:r>
        <w:rPr>
          <w:rFonts w:ascii="Arial" w:cs="Arial" w:eastAsia="Arial" w:hAnsi="Arial"/>
          <w:sz w:val="18"/>
          <w:szCs w:val="18"/>
          <w:u w:val="single" w:color="auto"/>
          <w:color w:val="auto"/>
        </w:rPr>
        <w:t>Lund</w:t>
      </w:r>
      <w:r>
        <w:rPr>
          <w:rFonts w:ascii="Arial" w:cs="Arial" w:eastAsia="Arial" w:hAnsi="Arial"/>
          <w:sz w:val="18"/>
          <w:szCs w:val="18"/>
          <w:color w:val="auto"/>
        </w:rPr>
        <w:t>” or “</w:t>
      </w:r>
      <w:r>
        <w:rPr>
          <w:rFonts w:ascii="Arial" w:cs="Arial" w:eastAsia="Arial" w:hAnsi="Arial"/>
          <w:sz w:val="18"/>
          <w:szCs w:val="18"/>
          <w:u w:val="single" w:color="auto"/>
          <w:color w:val="auto"/>
        </w:rPr>
        <w:t>Executive</w:t>
      </w:r>
      <w:r>
        <w:rPr>
          <w:rFonts w:ascii="Arial" w:cs="Arial" w:eastAsia="Arial" w:hAnsi="Arial"/>
          <w:sz w:val="18"/>
          <w:szCs w:val="18"/>
          <w:color w:val="auto"/>
        </w:rPr>
        <w:t>”), as approved by the Company’s Board Compensation Committee.</w:t>
      </w:r>
    </w:p>
    <w:p>
      <w:pPr>
        <w:spacing w:after="0" w:line="18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Lund is presently employed as Chief Financial Officer pursuant to an offer letter dated March 15, 2004 (the “</w:t>
      </w:r>
      <w:r>
        <w:rPr>
          <w:rFonts w:ascii="Arial" w:cs="Arial" w:eastAsia="Arial" w:hAnsi="Arial"/>
          <w:sz w:val="18"/>
          <w:szCs w:val="18"/>
          <w:u w:val="single" w:color="auto"/>
          <w:color w:val="auto"/>
        </w:rPr>
        <w:t>Offer Letter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57" w:lineRule="auto"/>
        <w:tabs>
          <w:tab w:leader="none" w:pos="13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March 28, 2005, the Company and Lund entered into a Change of Control Agreement, which memorialized in writing their understanding regarding the vesting of stock options and stock appreciation rights granted to Lund under the Company’s equity incentive plans in the event of a Change of Control, which was amended and restated on March 28, 2006 and again on August 4, 2008 (the original agreement together with any and all prior amendments is hereinafter referred to as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to enhance severance and address compliance with Section 409A of the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80" w:firstLine="656"/>
        <w:spacing w:after="0" w:line="342" w:lineRule="auto"/>
        <w:tabs>
          <w:tab w:leader="none" w:pos="131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consideration for Lund’s agreement to undertake and continue her duties and responsibilities in her role as Chief Financial Officer, the Company and Lund desire to enter into this Agreement to make certain corrective and conforming changes to comply with Section 409A of the Code.</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70" w:lineRule="exact"/>
        <w:rPr>
          <w:sz w:val="20"/>
          <w:szCs w:val="20"/>
          <w:color w:val="auto"/>
        </w:rPr>
      </w:pPr>
    </w:p>
    <w:p>
      <w:pPr>
        <w:ind w:right="140" w:firstLine="656"/>
        <w:spacing w:after="0" w:line="312" w:lineRule="auto"/>
        <w:tabs>
          <w:tab w:leader="none" w:pos="131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Position. </w:t>
      </w:r>
      <w:r>
        <w:rPr>
          <w:rFonts w:ascii="Arial" w:cs="Arial" w:eastAsia="Arial" w:hAnsi="Arial"/>
          <w:sz w:val="16"/>
          <w:szCs w:val="16"/>
          <w:color w:val="auto"/>
        </w:rPr>
        <w:t>Lund is presently employed as Chief Financial Officer. The Company shall not change Lund’s job duties and responsibilities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Change of Control (as that term is defined in section 4(a) below), if, when considered in their totality as a whole, such a change results in the nature of Lund’s job duties being substantially different than the nature of the job duties Lund performed immediately prior to the Change of Control</w:t>
      </w:r>
    </w:p>
    <w:p>
      <w:pPr>
        <w:spacing w:after="0" w:line="146" w:lineRule="exact"/>
        <w:rPr>
          <w:rFonts w:ascii="Arial" w:cs="Arial" w:eastAsia="Arial" w:hAnsi="Arial"/>
          <w:sz w:val="16"/>
          <w:szCs w:val="16"/>
          <w:color w:val="auto"/>
        </w:rPr>
      </w:pPr>
    </w:p>
    <w:p>
      <w:pPr>
        <w:ind w:right="100" w:firstLine="656"/>
        <w:spacing w:after="0" w:line="259" w:lineRule="auto"/>
        <w:tabs>
          <w:tab w:leader="none" w:pos="131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occurrence of a Change of Control, the vesting of 100% of all stock options,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restricted stock units and any other equity awards granted to Lund under the Company’s equity incentive plans that as of the date of such Change of Control remain unvested shall accelerate, to the extent permissible by law, notwithstanding and in addition to any existing vesting provisions set forth in the applicable equity award agreement and/or the Company equity incentive plan.</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Severance Payments.</w:t>
      </w:r>
    </w:p>
    <w:p>
      <w:pPr>
        <w:spacing w:after="0" w:line="225" w:lineRule="exact"/>
        <w:rPr>
          <w:rFonts w:ascii="Arial" w:cs="Arial" w:eastAsia="Arial" w:hAnsi="Arial"/>
          <w:sz w:val="18"/>
          <w:szCs w:val="18"/>
          <w:color w:val="auto"/>
        </w:rPr>
      </w:pPr>
    </w:p>
    <w:p>
      <w:pPr>
        <w:ind w:right="20" w:firstLine="1305"/>
        <w:spacing w:after="0" w:line="259" w:lineRule="auto"/>
        <w:tabs>
          <w:tab w:leader="none" w:pos="19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Lund is (x) terminated without Cause (as defined in section 4(c) below) or (y) terminates as a result of a Triggering Event (as defined in section 4(b) below) after a Change of Control (as defined in section 4(a) below), then Lund will be entitled to receive in satisfaction of all obligations (other than as provided in section 2 above) that the Company may have to Lund: (i) in the case of clause (x) hereof, severance compensation equal to one year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her base salary then in effect; or in the case of clause (y) hereof, severance compensation equal to two years of her base salary plus her maximum potential bonus amount for two years; in either case, less applicable taxes and withholding paid in a lump sum on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Lund’s termination of employment; and, if needed by Lund, (ii) her then-current health insurance coverage, at the then current employee cost, during the twelve (12) month period following a termination in the case of clause (x); or during the twenty-four (24) month period following a resignation in the case of clause (y). Such benefits will be provided for the twelve (12) month or twenty-four (24) month period, as applicable, following the date of Lund’s termination. In addition, in the event that Lund is terminated without Cause, the vesting of 100% of all stock options, stock appreciation rights, restricted stock units and any other equity awards granted to Lund under the Company’s equity incentive plans that as of the date of such termination remain unvested shall accelerate, to the extent permissible by law, notwithstanding and in addition to any existing vesting provisions set forth in the applicable equity award agreement and/or the Company equity incentive plan. The receipt of the foregoing severance compensation, health insurance coverage and acceleration of vesting pursuant to this section 3 will be subject to Lund signing and not revoking a release of claims agreement in a form reasonably acceptable to the Company, and such release becoming effective within forty-five (45) days of Lund’s termination and not thereafter being revoked. To the extent that any of the health insurance benefits provided under this section 3(a) would result in unintended tax consequences under Code Section 105(h) or its analog in the Patient Protection and Affordable Care Act of 2010, Company shall in lieu of providing such benefits provide Lund with a lump sum payment equal to twelve (12) or twenty-four (24) months of COBRA continuation coverage on the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Lund’s termination of employment.</w:t>
      </w:r>
    </w:p>
    <w:p>
      <w:pPr>
        <w:spacing w:after="0" w:line="84" w:lineRule="exact"/>
        <w:rPr>
          <w:sz w:val="20"/>
          <w:szCs w:val="20"/>
          <w:color w:val="auto"/>
        </w:rPr>
      </w:pPr>
    </w:p>
    <w:p>
      <w:pPr>
        <w:ind w:right="80" w:firstLine="1305"/>
        <w:spacing w:after="0" w:line="284" w:lineRule="auto"/>
        <w:tabs>
          <w:tab w:leader="none" w:pos="19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sake of clarity, no severance benefit that is paid on account of Lund’s termination of employment will be paid unless and until Lund incurs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under the default rules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any other provision of this Agreement to the contrary, if Lund is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within the meaning of Section 409A of the Code and the related guidance (“</w:t>
      </w:r>
      <w:r>
        <w:rPr>
          <w:rFonts w:ascii="Arial" w:cs="Arial" w:eastAsia="Arial" w:hAnsi="Arial"/>
          <w:sz w:val="16"/>
          <w:szCs w:val="16"/>
          <w:u w:val="single" w:color="auto"/>
          <w:color w:val="auto"/>
        </w:rPr>
        <w:t>Section 409A</w:t>
      </w:r>
      <w:r>
        <w:rPr>
          <w:rFonts w:ascii="Arial" w:cs="Arial" w:eastAsia="Arial" w:hAnsi="Arial"/>
          <w:sz w:val="16"/>
          <w:szCs w:val="16"/>
          <w:color w:val="auto"/>
        </w:rPr>
        <w:t>”) at the time of Lund’s separation from service, then only that portion of the severance and benefits set forth in section 3(a) above, together with any other severance payments or benefits, that may be considered deferred compensation under Section 409A, which (when considered together) do not exceed the Section 409A Limit (as defined below) and which qualify as separation pay under Treasury Regulation Section</w:t>
      </w:r>
    </w:p>
    <w:p>
      <w:pPr>
        <w:spacing w:after="0" w:line="4"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1.409A-1(b)(9)(iii), may be paid within the first six (6) months following Lund’s separation from service in accordance with section 3(a) above or (for payments or benefits not provided under this Agreement) with the payment schedule applicable to each such other payment or benefit. Otherwise, the portion of the severance and benefits provided under this Agreement, together with any other severance payments or benefits that may be considered deferred compensation under Section 409A, that would otherwise be payable within the six (6) month period following Lund’s separation from service will accrue during such six (6) month period and will be paid in a lump sum on the date six (6) months and one (1) day following the date of Lund’s separation from service (or the next business day if such date is not business day). All remaining severance payments and benefits will be payable in accordance with the payment schedule applicable to such payments or benefits. For purposes of this Agreement, “</w:t>
      </w:r>
      <w:r>
        <w:rPr>
          <w:rFonts w:ascii="Arial" w:cs="Arial" w:eastAsia="Arial" w:hAnsi="Arial"/>
          <w:sz w:val="16"/>
          <w:szCs w:val="16"/>
          <w:u w:val="single" w:color="auto"/>
          <w:color w:val="auto"/>
        </w:rPr>
        <w:t>Section 409A Limit</w:t>
      </w:r>
      <w:r>
        <w:rPr>
          <w:rFonts w:ascii="Arial" w:cs="Arial" w:eastAsia="Arial" w:hAnsi="Arial"/>
          <w:sz w:val="16"/>
          <w:szCs w:val="16"/>
          <w:color w:val="auto"/>
        </w:rPr>
        <w:t>” means the lesser of two (2) times: (i) the sum of Lund’s annualized compensation based upon the annual rate of pay for services provided to the Company for the taxable year of Lund preceding the</w:t>
      </w:r>
    </w:p>
    <w:p>
      <w:pPr>
        <w:sectPr>
          <w:pgSz w:w="11900" w:h="16838" w:orient="portrait"/>
          <w:cols w:equalWidth="0" w:num="1">
            <w:col w:w="11420"/>
          </w:cols>
          <w:pgMar w:left="240" w:top="121" w:right="239" w:bottom="111"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42" w:name="page43"/>
    <w:bookmarkEnd w:id="42"/>
    <w:p>
      <w:pPr>
        <w:ind w:right="20"/>
        <w:spacing w:after="0" w:line="264" w:lineRule="auto"/>
        <w:rPr>
          <w:sz w:val="20"/>
          <w:szCs w:val="20"/>
          <w:color w:val="auto"/>
        </w:rPr>
      </w:pPr>
      <w:r>
        <w:rPr>
          <w:rFonts w:ascii="Arial" w:cs="Arial" w:eastAsia="Arial" w:hAnsi="Arial"/>
          <w:sz w:val="18"/>
          <w:szCs w:val="18"/>
          <w:color w:val="auto"/>
        </w:rPr>
        <w:t>taxable year of Lund’s separation from service from the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81" w:lineRule="exact"/>
        <w:rPr>
          <w:sz w:val="20"/>
          <w:szCs w:val="20"/>
          <w:color w:val="auto"/>
        </w:rPr>
      </w:pPr>
    </w:p>
    <w:p>
      <w:pPr>
        <w:ind w:right="100" w:firstLine="1305"/>
        <w:spacing w:after="0" w:line="268" w:lineRule="auto"/>
        <w:tabs>
          <w:tab w:leader="none" w:pos="195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Additional Election Upon Certain Changes of Control</w:t>
      </w:r>
      <w:r>
        <w:rPr>
          <w:rFonts w:ascii="Arial" w:cs="Arial" w:eastAsia="Arial" w:hAnsi="Arial"/>
          <w:sz w:val="17"/>
          <w:szCs w:val="17"/>
          <w:color w:val="auto"/>
        </w:rPr>
        <w:t>. If Kratos enters into a definitive agreement (“</w:t>
      </w:r>
      <w:r>
        <w:rPr>
          <w:rFonts w:ascii="Arial" w:cs="Arial" w:eastAsia="Arial" w:hAnsi="Arial"/>
          <w:sz w:val="17"/>
          <w:szCs w:val="17"/>
          <w:u w:val="single" w:color="auto"/>
          <w:color w:val="auto"/>
        </w:rPr>
        <w:t>Definitive Agreement</w:t>
      </w:r>
      <w:r>
        <w:rPr>
          <w:rFonts w:ascii="Arial" w:cs="Arial" w:eastAsia="Arial" w:hAnsi="Arial"/>
          <w:sz w:val="17"/>
          <w:szCs w:val="17"/>
          <w:color w:val="auto"/>
        </w:rPr>
        <w:t>”) that would result in a Change of Control as defined herein, Executive shall have the following options in connection with the consummation of the Change of Control, but only to the extent that the Definitive Agreement so provides: (a) to the extent that Kratos is the surviving entity in the Change of Control, Executive may elect to retain, immediately after the consummation of the Change of Control, ownership of Kratos equity with a fair market value immediately after the consummation of the Change of Control that is equal to no less than 50% of the fair market value of her equity interests in Kratos (including stock options and restricted stock) immediately prior to the consummation of the Change of Control, or (b) in the event that Kratos is not the surviving entity in a Change of Control, Executive may elect to require that no less than 50% of her equity interests in Kratos (including stock options and restricted stock) be converted into the same form of equity interest (i.e., common stock, stock options, restricted stock, etc.) of the surviving entity or its parent such that the fair market value of her ownership in the surviving entity immediately following the Change of Control is no less than the fair market value of her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87" w:lineRule="exact"/>
        <w:rPr>
          <w:rFonts w:ascii="Arial" w:cs="Arial" w:eastAsia="Arial" w:hAnsi="Arial"/>
          <w:sz w:val="17"/>
          <w:szCs w:val="17"/>
          <w:color w:val="auto"/>
        </w:rPr>
      </w:pPr>
    </w:p>
    <w:p>
      <w:pPr>
        <w:ind w:left="1320" w:hanging="664"/>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Definition of Change of Control and Triggering Event.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Change of Control means the occurrence of one of the following after the date of this Agreement:</w:t>
      </w:r>
    </w:p>
    <w:p>
      <w:pPr>
        <w:spacing w:after="0" w:line="225" w:lineRule="exact"/>
        <w:rPr>
          <w:rFonts w:ascii="Arial" w:cs="Arial" w:eastAsia="Arial" w:hAnsi="Arial"/>
          <w:sz w:val="18"/>
          <w:szCs w:val="18"/>
          <w:color w:val="auto"/>
        </w:rPr>
      </w:pPr>
    </w:p>
    <w:p>
      <w:pPr>
        <w:ind w:right="20" w:firstLine="1953"/>
        <w:spacing w:after="0" w:line="257" w:lineRule="auto"/>
        <w:tabs>
          <w:tab w:leader="none" w:pos="2614"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Acquisition of Controlling 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(other than persons who are employed by Kratos or its affiliates at any time more than one year before a transaction) (“</w:t>
      </w:r>
      <w:r>
        <w:rPr>
          <w:rFonts w:ascii="Arial" w:cs="Arial" w:eastAsia="Arial" w:hAnsi="Arial"/>
          <w:sz w:val="18"/>
          <w:szCs w:val="18"/>
          <w:u w:val="single" w:color="auto"/>
          <w:color w:val="auto"/>
        </w:rPr>
        <w:t>Buyer</w:t>
      </w:r>
      <w:r>
        <w:rPr>
          <w:rFonts w:ascii="Arial" w:cs="Arial" w:eastAsia="Arial" w:hAnsi="Arial"/>
          <w:sz w:val="18"/>
          <w:szCs w:val="18"/>
          <w:color w:val="auto"/>
        </w:rPr>
        <w:t>”) becomes the “beneficial owner” within the meaning of Rule 13d-3 of the Securities Exchange Act of 1934, as amended, directly or indirectly, of Kratos 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88" w:lineRule="exact"/>
        <w:rPr>
          <w:rFonts w:ascii="Arial" w:cs="Arial" w:eastAsia="Arial" w:hAnsi="Arial"/>
          <w:sz w:val="18"/>
          <w:szCs w:val="18"/>
          <w:color w:val="auto"/>
        </w:rPr>
      </w:pPr>
    </w:p>
    <w:p>
      <w:pPr>
        <w:ind w:right="200" w:firstLine="1953"/>
        <w:spacing w:after="0" w:line="255" w:lineRule="auto"/>
        <w:tabs>
          <w:tab w:leader="none" w:pos="2624"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Change in Board Control</w:t>
      </w:r>
      <w:r>
        <w:rPr>
          <w:rFonts w:ascii="Arial" w:cs="Arial" w:eastAsia="Arial" w:hAnsi="Arial"/>
          <w:sz w:val="18"/>
          <w:szCs w:val="18"/>
          <w:color w:val="auto"/>
        </w:rPr>
        <w:t>. During any consecutive one-year period commencing after the date of this Agreement, individuals who constituted Kratos’ Board of Directors (“</w:t>
      </w:r>
      <w:r>
        <w:rPr>
          <w:rFonts w:ascii="Arial" w:cs="Arial" w:eastAsia="Arial" w:hAnsi="Arial"/>
          <w:sz w:val="18"/>
          <w:szCs w:val="18"/>
          <w:u w:val="single" w:color="auto"/>
          <w:color w:val="auto"/>
        </w:rPr>
        <w:t>Board</w:t>
      </w:r>
      <w:r>
        <w:rPr>
          <w:rFonts w:ascii="Arial" w:cs="Arial" w:eastAsia="Arial" w:hAnsi="Arial"/>
          <w:sz w:val="18"/>
          <w:szCs w:val="18"/>
          <w:b w:val="1"/>
          <w:bCs w:val="1"/>
          <w:color w:val="auto"/>
        </w:rPr>
        <w:t>”</w:t>
      </w:r>
      <w:r>
        <w:rPr>
          <w:rFonts w:ascii="Arial" w:cs="Arial" w:eastAsia="Arial" w:hAnsi="Arial"/>
          <w:sz w:val="18"/>
          <w:szCs w:val="18"/>
          <w:color w:val="auto"/>
        </w:rPr>
        <w:t>) at the beginning of such period or their approved replacements, as defined in the next sentence (“</w:t>
      </w:r>
      <w:r>
        <w:rPr>
          <w:rFonts w:ascii="Arial" w:cs="Arial" w:eastAsia="Arial" w:hAnsi="Arial"/>
          <w:sz w:val="18"/>
          <w:szCs w:val="18"/>
          <w:u w:val="single" w:color="auto"/>
          <w:color w:val="auto"/>
        </w:rPr>
        <w:t>Beginning Board</w:t>
      </w:r>
      <w:r>
        <w:rPr>
          <w:rFonts w:ascii="Arial" w:cs="Arial" w:eastAsia="Arial" w:hAnsi="Arial"/>
          <w:sz w:val="18"/>
          <w:szCs w:val="18"/>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behalf of any person other than the Board, but only to the extent that such acquisition constitutes a “change in the effective control” of Kratos within the meaning of Treasury Regulation Section 1.409A-3(i)(5)(vi).</w:t>
      </w:r>
    </w:p>
    <w:p>
      <w:pPr>
        <w:spacing w:after="0" w:line="170" w:lineRule="exact"/>
        <w:rPr>
          <w:sz w:val="20"/>
          <w:szCs w:val="20"/>
          <w:color w:val="auto"/>
        </w:rPr>
      </w:pPr>
    </w:p>
    <w:p>
      <w:pPr>
        <w:ind w:right="120" w:firstLine="1953"/>
        <w:spacing w:after="0" w:line="273" w:lineRule="auto"/>
        <w:tabs>
          <w:tab w:leader="none" w:pos="2633"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Merger</w:t>
      </w:r>
      <w:r>
        <w:rPr>
          <w:rFonts w:ascii="Arial" w:cs="Arial" w:eastAsia="Arial" w:hAnsi="Arial"/>
          <w:sz w:val="17"/>
          <w:szCs w:val="17"/>
          <w:i w:val="1"/>
          <w:iCs w:val="1"/>
          <w:color w:val="auto"/>
        </w:rPr>
        <w:t>.</w:t>
      </w:r>
      <w:r>
        <w:rPr>
          <w:rFonts w:ascii="Arial" w:cs="Arial" w:eastAsia="Arial" w:hAnsi="Arial"/>
          <w:sz w:val="17"/>
          <w:szCs w:val="17"/>
          <w:color w:val="auto"/>
        </w:rPr>
        <w:t xml:space="preserve">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 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78" w:lineRule="exact"/>
        <w:rPr>
          <w:rFonts w:ascii="Arial" w:cs="Arial" w:eastAsia="Arial" w:hAnsi="Arial"/>
          <w:sz w:val="17"/>
          <w:szCs w:val="17"/>
          <w:color w:val="auto"/>
        </w:rPr>
      </w:pPr>
    </w:p>
    <w:p>
      <w:pPr>
        <w:jc w:val="both"/>
        <w:ind w:right="100" w:firstLine="1953"/>
        <w:spacing w:after="0" w:line="342" w:lineRule="auto"/>
        <w:tabs>
          <w:tab w:leader="none" w:pos="261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Sale of Assets</w:t>
      </w:r>
      <w:r>
        <w:rPr>
          <w:rFonts w:ascii="Arial" w:cs="Arial" w:eastAsia="Arial" w:hAnsi="Arial"/>
          <w:sz w:val="16"/>
          <w:szCs w:val="16"/>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23" w:lineRule="exact"/>
        <w:rPr>
          <w:rFonts w:ascii="Arial" w:cs="Arial" w:eastAsia="Arial" w:hAnsi="Arial"/>
          <w:sz w:val="16"/>
          <w:szCs w:val="16"/>
          <w:color w:val="auto"/>
        </w:rPr>
      </w:pPr>
    </w:p>
    <w:p>
      <w:pPr>
        <w:ind w:firstLine="1305"/>
        <w:spacing w:after="0" w:line="253"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Triggering Event</w:t>
      </w:r>
      <w:r>
        <w:rPr>
          <w:rFonts w:ascii="Arial" w:cs="Arial" w:eastAsia="Arial" w:hAnsi="Arial"/>
          <w:sz w:val="18"/>
          <w:szCs w:val="18"/>
          <w:color w:val="auto"/>
        </w:rPr>
        <w:t xml:space="preserve">” means (i) Lund’s termination from employment by the Company without Cause; (ii) a material change in the nature of Lund’s role or job responsibilities so that Lund’s job duties and responsibilities after the Change of Control, when considered in their totality as a whole, are substantially diminished in nature from the job duties Lund performed immediately prior to the Change of Control; (ii) the relocation of Lund’s principal place of work to a location of more that thirty (30) miles from the location Lund was assigned to immediately prior to the Change of Control and such relocation results in Lund’s one-way commute to work increasing by more than thirty (30) miles based on Lund’s principal place of residence immediately before such relocation was announced; or (iii) the Company materially breaches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 Triggering Event described in clause (i), (ii) or (iii) hereof, such condition shall not exist unless Lund provides written notice to the Company within ninety (90) days of its initial existence and the Company does not cure such condition within thirty (30) days from the date it receives such notice from Lund. In addition, no Triggering Event will be deemed to have occurred unless Lund separates from service within twelve (12) months from the date such Triggering Event initially occurs.</w:t>
      </w:r>
    </w:p>
    <w:p>
      <w:pPr>
        <w:spacing w:after="0" w:line="194" w:lineRule="exact"/>
        <w:rPr>
          <w:rFonts w:ascii="Arial" w:cs="Arial" w:eastAsia="Arial" w:hAnsi="Arial"/>
          <w:sz w:val="18"/>
          <w:szCs w:val="18"/>
          <w:color w:val="auto"/>
        </w:rPr>
      </w:pPr>
    </w:p>
    <w:p>
      <w:pPr>
        <w:ind w:right="40" w:firstLine="1305"/>
        <w:spacing w:after="0" w:line="272" w:lineRule="auto"/>
        <w:tabs>
          <w:tab w:leader="none" w:pos="1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(i) acts or omissions constituting gross negligence, recklessness or willful misconduct on the part of Lund with respect to Lund’s obligations or otherwise relating to the business of the Company; (ii) Lund’s material breach of this Agreement or the Company’s standard form of confidentiality agreement; (iii) Lund’s conviction or entry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for fraud, misappropriation or embezzlement, or any felony or crime of moral turpitude; (iv) Lund’s failure to perform her duties and responsibilities as Chief Financial Officer to the reasonable satisfaction of the Board after being provided with notice thereof and thirty (30) days opportunity to remedy such failure; and (v) Lund’s willful neglect of duties or poor performance. Notwithstanding the foregoing, a termination under subsection (v) shall not constitute a termination for “Cause” unless the Company has first given Lund written notice of the offending conduct (such notice shall include a description of remedial actions that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8"/>
          <w:szCs w:val="18"/>
          <w:color w:val="auto"/>
        </w:rPr>
        <w:t>Company reasonably deems appropriate to cure such offending conduct) and a thirty (30) day opportunity to cure such offending conduct. In the event the Company terminates Lund’s employment under subsection (v), the Company agrees to participate in binding arbitration, if requested by Lund, to determine whether the cause for termination was willful neglect of duties or poor performance as opposed to some other reason that does not constitute Cause under this Agreement.</w:t>
      </w:r>
    </w:p>
    <w:p>
      <w:pPr>
        <w:spacing w:after="0" w:line="187" w:lineRule="exact"/>
        <w:rPr>
          <w:sz w:val="20"/>
          <w:szCs w:val="20"/>
          <w:color w:val="auto"/>
        </w:rPr>
      </w:pPr>
    </w:p>
    <w:p>
      <w:pPr>
        <w:ind w:right="200" w:firstLine="656"/>
        <w:spacing w:after="0" w:line="297" w:lineRule="auto"/>
        <w:tabs>
          <w:tab w:leader="none" w:pos="131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Except as set forth in this Agreement, the terms of the Offer Letter remain unchanged. Nothing in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change the at-will nature of Lund’s employment with the Company. This Agreement and the Offer Letter, including the Additional Terms and Conditions attached thereto and the Proprietary Information and Innovations Agreement signed by Lund, constitute the entire agreement between Lund and the Company with respect to Lund’s employment with the Company, and supersedes and replaces the Original Agreement in its entirety. No amendment or modification of the terms or conditions of this Agreement shall be valid unless in writing and signed by the parties.</w:t>
      </w:r>
    </w:p>
    <w:p>
      <w:pPr>
        <w:spacing w:after="0" w:line="158" w:lineRule="exact"/>
        <w:rPr>
          <w:rFonts w:ascii="Arial" w:cs="Arial" w:eastAsia="Arial" w:hAnsi="Arial"/>
          <w:sz w:val="16"/>
          <w:szCs w:val="16"/>
          <w:color w:val="auto"/>
        </w:rPr>
      </w:pPr>
    </w:p>
    <w:p>
      <w:pPr>
        <w:ind w:right="200" w:firstLine="656"/>
        <w:spacing w:after="0" w:line="272" w:lineRule="auto"/>
        <w:tabs>
          <w:tab w:leader="none" w:pos="131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This Agreement is intended to comply with Section 409A of the Code (or any regulations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rulings thereunder), and shall be construed and interpreted in accordance with such intent. Notwithstanding anything to the contrary in this Agreement, the Company, in the exercise of its sole discretion and without the consent of Lund, may amend or modify this Agreement in any manner in order to meet the requirements of Section 409A of the Code as amplified by any Internal Revenue Service or U.S. Treasury Department guidance.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 Lund is encouraged to consult a tax adviser regarding the potential impact of Section 409A of the Code.</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Parachute Payment Excise Tax.</w:t>
      </w:r>
    </w:p>
    <w:p>
      <w:pPr>
        <w:spacing w:after="0" w:line="225" w:lineRule="exact"/>
        <w:rPr>
          <w:rFonts w:ascii="Arial" w:cs="Arial" w:eastAsia="Arial" w:hAnsi="Arial"/>
          <w:sz w:val="18"/>
          <w:szCs w:val="18"/>
          <w:color w:val="auto"/>
        </w:rPr>
      </w:pPr>
    </w:p>
    <w:p>
      <w:pPr>
        <w:ind w:right="20" w:firstLine="1305"/>
        <w:spacing w:after="0" w:line="271" w:lineRule="auto"/>
        <w:tabs>
          <w:tab w:leader="none" w:pos="1955"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 the event that any payment or benefit (within the meaning of Section 280G(b)(2) of the Code) to Lund for Lund’s benefit, paid or payable or distributed or distributable pursuant to the terms of this Agreement or otherwise in connection with, or arising out of, the Lund’s employment with the Company or a Change of Control (a “</w:t>
      </w:r>
      <w:r>
        <w:rPr>
          <w:rFonts w:ascii="Arial" w:cs="Arial" w:eastAsia="Arial" w:hAnsi="Arial"/>
          <w:sz w:val="17"/>
          <w:szCs w:val="17"/>
          <w:u w:val="single" w:color="auto"/>
          <w:color w:val="auto"/>
        </w:rPr>
        <w:t>Payment</w:t>
      </w:r>
      <w:r>
        <w:rPr>
          <w:rFonts w:ascii="Arial" w:cs="Arial" w:eastAsia="Arial" w:hAnsi="Arial"/>
          <w:sz w:val="17"/>
          <w:szCs w:val="17"/>
          <w:color w:val="auto"/>
        </w:rPr>
        <w:t>” or “</w:t>
      </w:r>
      <w:r>
        <w:rPr>
          <w:rFonts w:ascii="Arial" w:cs="Arial" w:eastAsia="Arial" w:hAnsi="Arial"/>
          <w:sz w:val="17"/>
          <w:szCs w:val="17"/>
          <w:u w:val="single" w:color="auto"/>
          <w:color w:val="auto"/>
        </w:rPr>
        <w:t>Payments</w:t>
      </w:r>
      <w:r>
        <w:rPr>
          <w:rFonts w:ascii="Arial" w:cs="Arial" w:eastAsia="Arial" w:hAnsi="Arial"/>
          <w:sz w:val="17"/>
          <w:szCs w:val="17"/>
          <w:color w:val="auto"/>
        </w:rPr>
        <w:t>”), would be subject to the excise tax imposed by Code Section 4999, or any interest or penalties are incurred by Lund with respect to such excise tax (such excise tax, together with any such interest and penalties, are hereinafter collectively referred to as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Lund will be entitled to receive an additional payment (a “</w:t>
      </w:r>
      <w:r>
        <w:rPr>
          <w:rFonts w:ascii="Arial" w:cs="Arial" w:eastAsia="Arial" w:hAnsi="Arial"/>
          <w:sz w:val="17"/>
          <w:szCs w:val="17"/>
          <w:u w:val="single" w:color="auto"/>
          <w:color w:val="auto"/>
        </w:rPr>
        <w:t>Gross-Up Payment</w:t>
      </w:r>
      <w:r>
        <w:rPr>
          <w:rFonts w:ascii="Arial" w:cs="Arial" w:eastAsia="Arial" w:hAnsi="Arial"/>
          <w:sz w:val="17"/>
          <w:szCs w:val="17"/>
          <w:color w:val="auto"/>
        </w:rPr>
        <w:t>”) in an amount such that after payment by Lund of all taxes (including any interest or penalties (other than interest and penalties imposed by reason of Lund’s failure to file timely a tax return or pay taxes shown due on Lund’s return) imposed with respect to such taxes and the Excise Tax), including any Excise Tax imposed upon the Gross-Up Payment, Lund retains an amount of the Gross-Up Payment equal to the Excise Tax imposed upon the Payments.</w:t>
      </w:r>
    </w:p>
    <w:p>
      <w:pPr>
        <w:spacing w:after="0" w:line="178" w:lineRule="exact"/>
        <w:rPr>
          <w:rFonts w:ascii="Arial" w:cs="Arial" w:eastAsia="Arial" w:hAnsi="Arial"/>
          <w:sz w:val="17"/>
          <w:szCs w:val="17"/>
          <w:color w:val="auto"/>
        </w:rPr>
      </w:pPr>
    </w:p>
    <w:p>
      <w:pPr>
        <w:ind w:right="100" w:firstLine="1305"/>
        <w:spacing w:after="0" w:line="277" w:lineRule="auto"/>
        <w:tabs>
          <w:tab w:leader="none" w:pos="19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initial determination as to whether a Gross-Up Payment is required pursuant to this Agreement and the amount of such Gross-Up Payment shall be made by the Company. the Company shall provide its determination (the “</w:t>
      </w:r>
      <w:r>
        <w:rPr>
          <w:rFonts w:ascii="Arial" w:cs="Arial" w:eastAsia="Arial" w:hAnsi="Arial"/>
          <w:sz w:val="18"/>
          <w:szCs w:val="18"/>
          <w:u w:val="single" w:color="auto"/>
          <w:color w:val="auto"/>
        </w:rPr>
        <w:t>Determination</w:t>
      </w:r>
      <w:r>
        <w:rPr>
          <w:rFonts w:ascii="Arial" w:cs="Arial" w:eastAsia="Arial" w:hAnsi="Arial"/>
          <w:sz w:val="18"/>
          <w:szCs w:val="18"/>
          <w:color w:val="auto"/>
        </w:rPr>
        <w:t>”), together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detailed supporting calculations and documentation, to Lund within fifteen (15) days of the date of Lund’s termination, if applicable, or such other time as requested by Lund (provided Lund reasonably believes that any of the Payments may be subject to the Excise Tax). If requested by the Lund, the Company shall furnish Lund, at the Company’s expense, with an opinion reasonably acceptable to Lund from the Company’s accounting firm (or an accounting firm of equivalent stature reasonably acceptable to Lund) that there is a reasonable basis for the Determination. Any Gross-Up Payment determined pursuant to this section 7 shall be paid by the Company to Lund within five (5) days of receipt of the Determination.</w:t>
      </w:r>
    </w:p>
    <w:p>
      <w:pPr>
        <w:spacing w:after="0" w:line="173" w:lineRule="exact"/>
        <w:rPr>
          <w:sz w:val="20"/>
          <w:szCs w:val="20"/>
          <w:color w:val="auto"/>
        </w:rPr>
      </w:pPr>
    </w:p>
    <w:p>
      <w:pPr>
        <w:jc w:val="both"/>
        <w:ind w:right="40" w:firstLine="1305"/>
        <w:spacing w:after="0" w:line="264" w:lineRule="auto"/>
        <w:tabs>
          <w:tab w:leader="none" w:pos="1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w:t>
      </w:r>
      <w:r>
        <w:rPr>
          <w:rFonts w:ascii="Arial" w:cs="Arial" w:eastAsia="Arial" w:hAnsi="Arial"/>
          <w:sz w:val="18"/>
          <w:szCs w:val="18"/>
          <w:u w:val="single" w:color="auto"/>
          <w:color w:val="auto"/>
        </w:rPr>
        <w:t>Excess Payment</w:t>
      </w:r>
      <w:r>
        <w:rPr>
          <w:rFonts w:ascii="Arial" w:cs="Arial" w:eastAsia="Arial" w:hAnsi="Arial"/>
          <w:sz w:val="18"/>
          <w:szCs w:val="18"/>
          <w:color w:val="auto"/>
        </w:rPr>
        <w:t>”) or a Gross-Up Payment (or a portion thereof) which should have been paid will not have been paid (an “</w:t>
      </w:r>
      <w:r>
        <w:rPr>
          <w:rFonts w:ascii="Arial" w:cs="Arial" w:eastAsia="Arial" w:hAnsi="Arial"/>
          <w:sz w:val="18"/>
          <w:szCs w:val="18"/>
          <w:u w:val="single" w:color="auto"/>
          <w:color w:val="auto"/>
        </w:rPr>
        <w:t>Underpayment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1305"/>
        <w:spacing w:after="0" w:line="290" w:lineRule="auto"/>
        <w:tabs>
          <w:tab w:leader="none" w:pos="19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Underpayment shall be deemed to have occurred (A) upon notice (formal or informal) to Lund from any governmental taxing authority that Lund’s tax liability (whether in respect of Lund’s current taxable year or in respect of any prior taxable year) may be increased by reason of the imposition of the Excise Tax on a Payment or Payments with respect to which the Company has failed to make a sufficient Gross-Up Payment, (B) upon a determination by a court, or (C) by reason of determination by the Company (which shall include the position taken by the Company, together with its consolidated group, on its federal income tax return). If an Underpayment occurs, Lund shall promptly notify the Company and the Company shall promptly, but in any event at least five (5) days prior to the date on which the applicable government taxing authority has requested payment, pay to Lund an additional Gross-Up Payment equal to the amount of the Underpayment plus any interest and penalties (other than interest and penalties imposed by reason of Lund’s failure to file timely a tax return or pay taxes shown due on Lund’s return) imposed on the Underpayment.</w:t>
      </w:r>
    </w:p>
    <w:p>
      <w:pPr>
        <w:spacing w:after="0" w:line="166" w:lineRule="exact"/>
        <w:rPr>
          <w:rFonts w:ascii="Arial" w:cs="Arial" w:eastAsia="Arial" w:hAnsi="Arial"/>
          <w:sz w:val="16"/>
          <w:szCs w:val="16"/>
          <w:color w:val="auto"/>
        </w:rPr>
      </w:pPr>
    </w:p>
    <w:p>
      <w:pPr>
        <w:ind w:firstLine="1305"/>
        <w:spacing w:after="0" w:line="270" w:lineRule="auto"/>
        <w:tabs>
          <w:tab w:leader="none" w:pos="19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Excess Payment shall be deemed to have occurred upon a Final Determination (as hereinafter defined) that the Excise Tax shall not be imposed upon a Payment or Payments (or portion thereof) with respect to which Lund had previously received a Gross-Up Payment. A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w:t>
      </w:r>
      <w:r>
        <w:rPr>
          <w:rFonts w:ascii="Arial" w:cs="Arial" w:eastAsia="Arial" w:hAnsi="Arial"/>
          <w:sz w:val="17"/>
          <w:szCs w:val="17"/>
          <w:color w:val="auto"/>
        </w:rPr>
        <w:t>” shall be deemed to have occurred when Lund has received from the applicable government taxing authority a refund of taxes or other reduction in Lund’s tax liability by reason of the Excise Payment and upon either (A) the date a determination is made by, or an agreement is entered into with, the applicable governmental taxing authority which finally and conclusively binds Lund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to Lund’s applicable tax return has expired. If an Excess Payment is determined to have been made, the amount of the Excess Payment shall be repaid by Lund to the Company unless, and only to the extent that, the repayment would either reduce the amount on which Lund is subject to tax under Code Section 4999 or generate a refund of tax imposed under Code Section 4999.</w:t>
      </w:r>
    </w:p>
    <w:p>
      <w:pPr>
        <w:spacing w:after="0" w:line="177" w:lineRule="exact"/>
        <w:rPr>
          <w:rFonts w:ascii="Arial" w:cs="Arial" w:eastAsia="Arial" w:hAnsi="Arial"/>
          <w:sz w:val="17"/>
          <w:szCs w:val="17"/>
          <w:color w:val="auto"/>
        </w:rPr>
      </w:pPr>
    </w:p>
    <w:p>
      <w:pPr>
        <w:ind w:right="20" w:firstLine="1305"/>
        <w:spacing w:after="0" w:line="308" w:lineRule="auto"/>
        <w:tabs>
          <w:tab w:leader="none" w:pos="1963"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in the event that, according to the Determination, an Excise Tax will be imposed on any Payment or Payments, the Company shall pay to the applicable government taxing authorities, as Excise Tax</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withholding, the amount of the Excise Tax that the Company has actually withheld from the Payment or Payments.</w:t>
      </w:r>
    </w:p>
    <w:p>
      <w:pPr>
        <w:sectPr>
          <w:pgSz w:w="11900" w:h="16838" w:orient="portrait"/>
          <w:cols w:equalWidth="0" w:num="1">
            <w:col w:w="11400"/>
          </w:cols>
          <w:pgMar w:left="240" w:top="125" w:right="25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Deanna H. Lund</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August 4, 20111</w:t>
            </w:r>
          </w:p>
        </w:tc>
        <w:tc>
          <w:tcPr>
            <w:tcW w:w="200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Deanna H. Lund</w:t>
            </w:r>
          </w:p>
        </w:tc>
        <w:tc>
          <w:tcPr>
            <w:tcW w:w="40" w:type="dxa"/>
            <w:vAlign w:val="bottom"/>
          </w:tcPr>
          <w:p>
            <w:pPr>
              <w:spacing w:after="0"/>
              <w:rPr>
                <w:sz w:val="24"/>
                <w:szCs w:val="24"/>
                <w:color w:val="auto"/>
              </w:rPr>
            </w:pPr>
          </w:p>
        </w:tc>
      </w:tr>
      <w:tr>
        <w:trPr>
          <w:trHeight w:val="224"/>
        </w:trPr>
        <w:tc>
          <w:tcPr>
            <w:tcW w:w="3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Deanna H. Lund</w:t>
            </w:r>
          </w:p>
        </w:tc>
        <w:tc>
          <w:tcPr>
            <w:tcW w:w="40" w:type="dxa"/>
            <w:vAlign w:val="bottom"/>
          </w:tcPr>
          <w:p>
            <w:pPr>
              <w:spacing w:after="0"/>
              <w:rPr>
                <w:sz w:val="19"/>
                <w:szCs w:val="19"/>
                <w:color w:val="auto"/>
              </w:rPr>
            </w:pPr>
          </w:p>
        </w:tc>
      </w:tr>
      <w:tr>
        <w:trPr>
          <w:trHeight w:val="634"/>
        </w:trPr>
        <w:tc>
          <w:tcPr>
            <w:tcW w:w="3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Kratos Defense &amp; Security Solutions, Inc.</w:t>
            </w:r>
          </w:p>
        </w:tc>
        <w:tc>
          <w:tcPr>
            <w:tcW w:w="40" w:type="dxa"/>
            <w:vAlign w:val="bottom"/>
          </w:tcPr>
          <w:p>
            <w:pPr>
              <w:spacing w:after="0"/>
              <w:rPr>
                <w:sz w:val="24"/>
                <w:szCs w:val="24"/>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August 4, 2011</w:t>
            </w:r>
          </w:p>
        </w:tc>
        <w:tc>
          <w:tcPr>
            <w:tcW w:w="200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   /s/ Eric DeMarco</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DeMarco</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80" w:type="dxa"/>
            <w:vAlign w:val="bottom"/>
            <w:gridSpan w:val="2"/>
          </w:tcPr>
          <w:p>
            <w:pPr>
              <w:jc w:val="right"/>
              <w:ind w:right="350"/>
              <w:spacing w:after="0"/>
              <w:rPr>
                <w:sz w:val="20"/>
                <w:szCs w:val="20"/>
                <w:color w:val="auto"/>
              </w:rPr>
            </w:pPr>
            <w:r>
              <w:rPr>
                <w:rFonts w:ascii="Arial" w:cs="Arial" w:eastAsia="Arial" w:hAnsi="Arial"/>
                <w:sz w:val="18"/>
                <w:szCs w:val="18"/>
                <w:color w:val="auto"/>
              </w:rPr>
              <w:t>7</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SEVERANCE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Second Amended and Restated Severance and Change of Control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August 4, 2011, between Kratos Defense &amp; Security Solutions,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Kratos</w:t>
      </w:r>
      <w:r>
        <w:rPr>
          <w:rFonts w:ascii="Arial" w:cs="Arial" w:eastAsia="Arial" w:hAnsi="Arial"/>
          <w:sz w:val="18"/>
          <w:szCs w:val="18"/>
          <w:color w:val="auto"/>
        </w:rPr>
        <w:t>”) and Laura Siegal (“</w:t>
      </w:r>
      <w:r>
        <w:rPr>
          <w:rFonts w:ascii="Arial" w:cs="Arial" w:eastAsia="Arial" w:hAnsi="Arial"/>
          <w:sz w:val="18"/>
          <w:szCs w:val="18"/>
          <w:u w:val="single" w:color="auto"/>
          <w:color w:val="auto"/>
        </w:rPr>
        <w:t>Siegal</w:t>
      </w:r>
      <w:r>
        <w:rPr>
          <w:rFonts w:ascii="Arial" w:cs="Arial" w:eastAsia="Arial" w:hAnsi="Arial"/>
          <w:sz w:val="18"/>
          <w:szCs w:val="18"/>
          <w:color w:val="auto"/>
        </w:rPr>
        <w:t>”), as approved by the Company’s Board Compensation Committee.</w:t>
      </w:r>
    </w:p>
    <w:p>
      <w:pPr>
        <w:spacing w:after="0" w:line="181" w:lineRule="exact"/>
        <w:rPr>
          <w:sz w:val="20"/>
          <w:szCs w:val="20"/>
          <w:color w:val="auto"/>
        </w:rPr>
      </w:pPr>
    </w:p>
    <w:p>
      <w:pPr>
        <w:ind w:right="60" w:firstLine="656"/>
        <w:spacing w:after="0" w:line="259"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and Siegal entered into the original Severance and Change of Control Agreement, dated as of July 12, 2007 to (i) provide for the payment of severance compensation to Siegal upon a termination without Cause, or (ii) in the event of a Change of Control, as defined herein, which original agreement was amended and restated on August 4, 2008 (the original agreement together with any and all prior amendments is hereinafter referred to as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656"/>
        <w:spacing w:after="0" w:line="342" w:lineRule="auto"/>
        <w:tabs>
          <w:tab w:leader="none" w:pos="1313"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consideration for Siegal’s agreement to continue her duties and responsibilities in her role as Vice President &amp; Controller, the Company and Siegal desire to amend the Original Agreement to make certain corrective and conforming changes to comply with Section 409A of the Code.</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70" w:lineRule="exact"/>
        <w:rPr>
          <w:sz w:val="20"/>
          <w:szCs w:val="20"/>
          <w:color w:val="auto"/>
        </w:rPr>
      </w:pPr>
    </w:p>
    <w:p>
      <w:pPr>
        <w:ind w:right="140" w:firstLine="656"/>
        <w:spacing w:after="0" w:line="259" w:lineRule="auto"/>
        <w:tabs>
          <w:tab w:leader="none" w:pos="131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Position. </w:t>
      </w:r>
      <w:r>
        <w:rPr>
          <w:rFonts w:ascii="Arial" w:cs="Arial" w:eastAsia="Arial" w:hAnsi="Arial"/>
          <w:sz w:val="18"/>
          <w:szCs w:val="18"/>
          <w:color w:val="auto"/>
        </w:rPr>
        <w:t>Siegal presently is employed as Vice President, Corporate Controller, and Treasurer of the Company. The Company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change Siegal’s job duties and responsibilities after the Change of Control (as that term is defined in section 4(a) below), if, when considered in their totality as a whole, such a change results in the nature of Siegal’s job duties being substantially different than the nature of the job duties Siegal performed immediately prior to the Change of Control.</w:t>
      </w:r>
    </w:p>
    <w:p>
      <w:pPr>
        <w:spacing w:after="0" w:line="186" w:lineRule="exact"/>
        <w:rPr>
          <w:rFonts w:ascii="Arial" w:cs="Arial" w:eastAsia="Arial" w:hAnsi="Arial"/>
          <w:sz w:val="18"/>
          <w:szCs w:val="18"/>
          <w:color w:val="auto"/>
        </w:rPr>
      </w:pPr>
    </w:p>
    <w:p>
      <w:pPr>
        <w:ind w:right="60" w:firstLine="656"/>
        <w:spacing w:after="0" w:line="259" w:lineRule="auto"/>
        <w:tabs>
          <w:tab w:leader="none" w:pos="131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occurrence of a Change of Control, the vesting of 100% of all stock options,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restricted stock units and any other equity awards granted to Siegal under the Company’s equity incentive plans that as of the date of such Change of Control remain unvested shall accelerate, to the extent permissible by law, notwithstanding and in addition to any existing vesting provisions set forth in the applicable equity award agreement and/or the Company equity incentive plan.</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Severance Payments.</w:t>
      </w:r>
    </w:p>
    <w:p>
      <w:pPr>
        <w:spacing w:after="0" w:line="225" w:lineRule="exact"/>
        <w:rPr>
          <w:rFonts w:ascii="Arial" w:cs="Arial" w:eastAsia="Arial" w:hAnsi="Arial"/>
          <w:sz w:val="18"/>
          <w:szCs w:val="18"/>
          <w:color w:val="auto"/>
        </w:rPr>
      </w:pPr>
    </w:p>
    <w:p>
      <w:pPr>
        <w:ind w:right="100" w:firstLine="1305"/>
        <w:spacing w:after="0" w:line="279" w:lineRule="auto"/>
        <w:tabs>
          <w:tab w:leader="none" w:pos="1955"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Siegal is (x) terminated without Cause (as defined in section 4(c) below) or (y) terminates as a result of a Change in Control (as defined by section 4(a) below) followed by a Triggering Event (as defined in section 4(b) below), then Siegal will be entitled to receive in satisfaction of all obligations (other than as provided in section 2 above) that the Company may have to Siegal: (i) in the case of clause (x) hereof, severance compensation equal to nine (9) months of her base salary then in effect; or in the case of clause (y) hereof, severance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compensation equal to nine (9) months of her base salary plus her maximum potential bonus amount for nine (9) months; in either case, less applicable taxes and withholding paid in a lump sum on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Siegal’s termination of employment; and, in the case of either clause (x) or (y), if needed by Siegal, (ii) her then-current health insurance coverage, at the then current employee cost, during the nine (9) month period following a termination in the case of clause (x) or during the nine (9) month period following a resignation in the case of clause (y). Such benefits will be provided for the nine (9) month period following the date of Siegal’s termination. In addition, in the event that Siegal is terminated without Cause, the vesting of 100% of all stock options, stock appreciation rights, restricted stock units and any other equity awards granted to Siegal under the Company’s equity incentive plans that as of the date of such termination remain unvested shall accelerate, to the extent permissible by law, notwithstanding and in addition to any existing vesting provisions set forth in the applicable equity award agreement and/or the Company equity incentive plan. The receipt of the foregoing severance compensation, health insurance coverage and acceleration of vesting pursuant to this Section 3 will be subject to Siegal signing and not revoking a release of claims agreement in a form reasonably acceptable to the Company, and such release becoming effective within forty-five (45) days of Siegal’s termination and not thereafter being revoked. To the extent that any of the health insurance coverage benefits provided in this section 3(a) would result in unintended tax consequences under Code Section 105(h) or its analog in the Patient Protection and Affordable Care Act of 2010, Company shall in lieu of providing such benefits provide Siegal with a lump sum payment equal to nine (9) months of COBRA continuation coverage on the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Siegal’s termination of employment.</w:t>
      </w:r>
    </w:p>
    <w:p>
      <w:pPr>
        <w:spacing w:after="0" w:line="86" w:lineRule="exact"/>
        <w:rPr>
          <w:sz w:val="20"/>
          <w:szCs w:val="20"/>
          <w:color w:val="auto"/>
        </w:rPr>
      </w:pPr>
    </w:p>
    <w:p>
      <w:pPr>
        <w:ind w:right="80" w:firstLine="1305"/>
        <w:spacing w:after="0" w:line="284" w:lineRule="auto"/>
        <w:tabs>
          <w:tab w:leader="none" w:pos="19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the sake of clarity, no severance benefit that is paid on account of Siegal’s termination of employment will be paid unless and until Siegal incurs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under the default rules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any other provision of this Agreement to the contrary, if Siegal is a “specified employee” within the meaning of Section 409A of the Code and the related guidance (“</w:t>
      </w:r>
      <w:r>
        <w:rPr>
          <w:rFonts w:ascii="Arial" w:cs="Arial" w:eastAsia="Arial" w:hAnsi="Arial"/>
          <w:sz w:val="16"/>
          <w:szCs w:val="16"/>
          <w:u w:val="single" w:color="auto"/>
          <w:color w:val="auto"/>
        </w:rPr>
        <w:t>Section 409A</w:t>
      </w:r>
      <w:r>
        <w:rPr>
          <w:rFonts w:ascii="Arial" w:cs="Arial" w:eastAsia="Arial" w:hAnsi="Arial"/>
          <w:sz w:val="16"/>
          <w:szCs w:val="16"/>
          <w:color w:val="auto"/>
        </w:rPr>
        <w:t>”) at the time of Siegal’s separation from service, then only that portion of the severance and benefits set forth in section 3(a) above, together with any other severance payments or benefits, that may be considered deferred compensation under Section 409A, which (when considered together) do not exceed the Section 409A Limit (as defined below) and which qualify as separation pay under Treasury Regulation Section</w:t>
      </w:r>
    </w:p>
    <w:p>
      <w:pPr>
        <w:spacing w:after="0" w:line="4"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1.409A-1(b)(9)(iii), may be paid within the first six (6) months following Siegal’s separation from service in accordance with section 3(a) above or (for payments or benefits not provided under this Agreement) with the payment schedule applicable to each such other payment or benefit. Otherwise, the portion of the severance and benefits provided under this Agreement, together with any other severance payments or benefits that may be considered deferred compensation under Section 409A, that would otherwise be payable within the six (6) month period following Siegal’s separation from service will accrue during such six (6) month period and will be paid in a lump sum on the date six (6) months and one (1) day following the date of Siegal’s separation from service (or the next business day if such date is not business day). All remaining severance payments and benefits will be payable in accordance with the payment schedule applicable to such payments or benefits. For purposes of this Agreement, “</w:t>
      </w:r>
      <w:r>
        <w:rPr>
          <w:rFonts w:ascii="Arial" w:cs="Arial" w:eastAsia="Arial" w:hAnsi="Arial"/>
          <w:sz w:val="17"/>
          <w:szCs w:val="17"/>
          <w:u w:val="single" w:color="auto"/>
          <w:color w:val="auto"/>
        </w:rPr>
        <w:t>Section 409A Limit</w:t>
      </w:r>
      <w:r>
        <w:rPr>
          <w:rFonts w:ascii="Arial" w:cs="Arial" w:eastAsia="Arial" w:hAnsi="Arial"/>
          <w:sz w:val="17"/>
          <w:szCs w:val="17"/>
          <w:color w:val="auto"/>
        </w:rPr>
        <w:t>” means the lesser of two (2) times: (i) the sum of Siegal’s annualized compensation based upon the annual rate of pay for services provided to the Company for the taxable year of Siegal preceding the taxable year of Siegal’s separation from service from the Company as determined 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46" w:name="page47"/>
    <w:bookmarkEnd w:id="46"/>
    <w:p>
      <w:pPr>
        <w:ind w:right="320"/>
        <w:spacing w:after="0" w:line="308" w:lineRule="auto"/>
        <w:rPr>
          <w:sz w:val="20"/>
          <w:szCs w:val="20"/>
          <w:color w:val="auto"/>
        </w:rPr>
      </w:pPr>
      <w:r>
        <w:rPr>
          <w:rFonts w:ascii="Arial" w:cs="Arial" w:eastAsia="Arial" w:hAnsi="Arial"/>
          <w:sz w:val="17"/>
          <w:szCs w:val="17"/>
          <w:color w:val="auto"/>
        </w:rPr>
        <w:t>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47" w:lineRule="exact"/>
        <w:rPr>
          <w:sz w:val="20"/>
          <w:szCs w:val="20"/>
          <w:color w:val="auto"/>
        </w:rPr>
      </w:pPr>
    </w:p>
    <w:p>
      <w:pPr>
        <w:ind w:firstLine="1305"/>
        <w:spacing w:after="0" w:line="287" w:lineRule="auto"/>
        <w:tabs>
          <w:tab w:leader="none" w:pos="1955"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Additional Election Upon Certain Changes of Control</w:t>
      </w:r>
      <w:r>
        <w:rPr>
          <w:rFonts w:ascii="Arial" w:cs="Arial" w:eastAsia="Arial" w:hAnsi="Arial"/>
          <w:sz w:val="16"/>
          <w:szCs w:val="16"/>
          <w:color w:val="auto"/>
        </w:rPr>
        <w:t>. If Kratos enters into a definitive agreement (“</w:t>
      </w:r>
      <w:r>
        <w:rPr>
          <w:rFonts w:ascii="Arial" w:cs="Arial" w:eastAsia="Arial" w:hAnsi="Arial"/>
          <w:sz w:val="16"/>
          <w:szCs w:val="16"/>
          <w:u w:val="single" w:color="auto"/>
          <w:color w:val="auto"/>
        </w:rPr>
        <w:t>Definitive Agreement</w:t>
      </w:r>
      <w:r>
        <w:rPr>
          <w:rFonts w:ascii="Arial" w:cs="Arial" w:eastAsia="Arial" w:hAnsi="Arial"/>
          <w:sz w:val="16"/>
          <w:szCs w:val="16"/>
          <w:color w:val="auto"/>
        </w:rPr>
        <w:t>”) that would result in a Change of Control as defined herein, Siegal shall have the following options in connection with the consummation of the Change of Control, but only to the extent that the Definitive Agreement so provides: (a) to the extent that Kratos is the surviving entity in the Change of Control, Siegal may elect to retain, immediately after the consummation of the Change of Control, ownership of Kratos equity with a fair market value immediately after the consummation of the Change of Control that is equal to no less than 50% of the fair market value of her equity interests in Kratos (including stock options and restricted stock) immediately prior to the consummation of the Change of Control, or (b) in the event that Kratos is not the surviving entity in a Change of Control, Siegal may elect to require that no less than 50% of her equity interests in Kratos (including stock options and restricted stock) be converted into the same form of equity interest (i.e., common stock, stock options, restricted stock, etc.) of the surviving entity or its parent such that the fair market value of her ownership in the surviving entity immediately following the Change of Control is no less than the fair market value of her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68" w:lineRule="exact"/>
        <w:rPr>
          <w:rFonts w:ascii="Arial" w:cs="Arial" w:eastAsia="Arial" w:hAnsi="Arial"/>
          <w:sz w:val="16"/>
          <w:szCs w:val="16"/>
          <w:color w:val="auto"/>
        </w:rPr>
      </w:pPr>
    </w:p>
    <w:p>
      <w:pPr>
        <w:ind w:left="1320" w:hanging="664"/>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Change of Control means the occurrence of one of the following after the date of this Agreement:</w:t>
      </w:r>
    </w:p>
    <w:p>
      <w:pPr>
        <w:spacing w:after="0" w:line="225" w:lineRule="exact"/>
        <w:rPr>
          <w:rFonts w:ascii="Arial" w:cs="Arial" w:eastAsia="Arial" w:hAnsi="Arial"/>
          <w:sz w:val="18"/>
          <w:szCs w:val="18"/>
          <w:color w:val="auto"/>
        </w:rPr>
      </w:pPr>
    </w:p>
    <w:p>
      <w:pPr>
        <w:ind w:right="40" w:firstLine="1953"/>
        <w:spacing w:after="0" w:line="257" w:lineRule="auto"/>
        <w:tabs>
          <w:tab w:leader="none" w:pos="2614"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Acquisition of Controlling 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(other than persons who are employed by Kratos or its affiliates at any time more than one year before a transaction) (“</w:t>
      </w:r>
      <w:r>
        <w:rPr>
          <w:rFonts w:ascii="Arial" w:cs="Arial" w:eastAsia="Arial" w:hAnsi="Arial"/>
          <w:sz w:val="18"/>
          <w:szCs w:val="18"/>
          <w:u w:val="single" w:color="auto"/>
          <w:color w:val="auto"/>
        </w:rPr>
        <w:t>Buyer</w:t>
      </w:r>
      <w:r>
        <w:rPr>
          <w:rFonts w:ascii="Arial" w:cs="Arial" w:eastAsia="Arial" w:hAnsi="Arial"/>
          <w:sz w:val="18"/>
          <w:szCs w:val="18"/>
          <w:color w:val="auto"/>
        </w:rPr>
        <w:t>”) becomes the “beneficial owner” within the meaning of Rule 13d-3 of the Securities Exchange Act of 1934, as amended, directly or indirectly, of Kratos 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88" w:lineRule="exact"/>
        <w:rPr>
          <w:rFonts w:ascii="Arial" w:cs="Arial" w:eastAsia="Arial" w:hAnsi="Arial"/>
          <w:sz w:val="18"/>
          <w:szCs w:val="18"/>
          <w:color w:val="auto"/>
        </w:rPr>
      </w:pPr>
    </w:p>
    <w:p>
      <w:pPr>
        <w:ind w:right="220" w:firstLine="1953"/>
        <w:spacing w:after="0" w:line="255" w:lineRule="auto"/>
        <w:tabs>
          <w:tab w:leader="none" w:pos="2624"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Change in Board Control</w:t>
      </w:r>
      <w:r>
        <w:rPr>
          <w:rFonts w:ascii="Arial" w:cs="Arial" w:eastAsia="Arial" w:hAnsi="Arial"/>
          <w:sz w:val="18"/>
          <w:szCs w:val="18"/>
          <w:color w:val="auto"/>
        </w:rPr>
        <w:t>. During any consecutive one-year period commencing after the date of this Agreement, individuals who constituted Kratos’ Board of Directors (“</w:t>
      </w:r>
      <w:r>
        <w:rPr>
          <w:rFonts w:ascii="Arial" w:cs="Arial" w:eastAsia="Arial" w:hAnsi="Arial"/>
          <w:sz w:val="18"/>
          <w:szCs w:val="18"/>
          <w:u w:val="single" w:color="auto"/>
          <w:color w:val="auto"/>
        </w:rPr>
        <w:t>Board</w:t>
      </w:r>
      <w:r>
        <w:rPr>
          <w:rFonts w:ascii="Arial" w:cs="Arial" w:eastAsia="Arial" w:hAnsi="Arial"/>
          <w:sz w:val="18"/>
          <w:szCs w:val="18"/>
          <w:b w:val="1"/>
          <w:bCs w:val="1"/>
          <w:color w:val="auto"/>
        </w:rPr>
        <w:t>”</w:t>
      </w:r>
      <w:r>
        <w:rPr>
          <w:rFonts w:ascii="Arial" w:cs="Arial" w:eastAsia="Arial" w:hAnsi="Arial"/>
          <w:sz w:val="18"/>
          <w:szCs w:val="18"/>
          <w:color w:val="auto"/>
        </w:rPr>
        <w:t>) at the beginning of such period or their approved replacements, as defined in the next sentence (“</w:t>
      </w:r>
      <w:r>
        <w:rPr>
          <w:rFonts w:ascii="Arial" w:cs="Arial" w:eastAsia="Arial" w:hAnsi="Arial"/>
          <w:sz w:val="18"/>
          <w:szCs w:val="18"/>
          <w:u w:val="single" w:color="auto"/>
          <w:color w:val="auto"/>
        </w:rPr>
        <w:t>Beginning Board</w:t>
      </w:r>
      <w:r>
        <w:rPr>
          <w:rFonts w:ascii="Arial" w:cs="Arial" w:eastAsia="Arial" w:hAnsi="Arial"/>
          <w:sz w:val="18"/>
          <w:szCs w:val="18"/>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behalf of any person other than the Board, but only to the extent that such acquisition constitutes a “change in the effective control” of Kratos within the meaning of Treasury Regulation Section 1.409A-3(i)(5)(vi).</w:t>
      </w:r>
    </w:p>
    <w:p>
      <w:pPr>
        <w:spacing w:after="0" w:line="170" w:lineRule="exact"/>
        <w:rPr>
          <w:sz w:val="20"/>
          <w:szCs w:val="20"/>
          <w:color w:val="auto"/>
        </w:rPr>
      </w:pPr>
    </w:p>
    <w:p>
      <w:pPr>
        <w:ind w:right="140" w:firstLine="1953"/>
        <w:spacing w:after="0" w:line="273" w:lineRule="auto"/>
        <w:tabs>
          <w:tab w:leader="none" w:pos="2633" w:val="left"/>
        </w:tabs>
        <w:numPr>
          <w:ilvl w:val="2"/>
          <w:numId w:val="56"/>
        </w:numPr>
        <w:rPr>
          <w:rFonts w:ascii="Arial" w:cs="Arial" w:eastAsia="Arial" w:hAnsi="Arial"/>
          <w:sz w:val="17"/>
          <w:szCs w:val="17"/>
          <w:color w:val="auto"/>
        </w:rPr>
      </w:pPr>
      <w:r>
        <w:rPr>
          <w:rFonts w:ascii="Arial" w:cs="Arial" w:eastAsia="Arial" w:hAnsi="Arial"/>
          <w:sz w:val="17"/>
          <w:szCs w:val="17"/>
          <w:u w:val="single" w:color="auto"/>
          <w:color w:val="auto"/>
        </w:rPr>
        <w:t>Merger</w:t>
      </w:r>
      <w:r>
        <w:rPr>
          <w:rFonts w:ascii="Arial" w:cs="Arial" w:eastAsia="Arial" w:hAnsi="Arial"/>
          <w:sz w:val="17"/>
          <w:szCs w:val="17"/>
          <w:i w:val="1"/>
          <w:iCs w:val="1"/>
          <w:color w:val="auto"/>
        </w:rPr>
        <w:t>.</w:t>
      </w:r>
      <w:r>
        <w:rPr>
          <w:rFonts w:ascii="Arial" w:cs="Arial" w:eastAsia="Arial" w:hAnsi="Arial"/>
          <w:sz w:val="17"/>
          <w:szCs w:val="17"/>
          <w:color w:val="auto"/>
        </w:rPr>
        <w:t xml:space="preserve">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 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78" w:lineRule="exact"/>
        <w:rPr>
          <w:rFonts w:ascii="Arial" w:cs="Arial" w:eastAsia="Arial" w:hAnsi="Arial"/>
          <w:sz w:val="17"/>
          <w:szCs w:val="17"/>
          <w:color w:val="auto"/>
        </w:rPr>
      </w:pPr>
    </w:p>
    <w:p>
      <w:pPr>
        <w:jc w:val="both"/>
        <w:ind w:right="120" w:firstLine="1953"/>
        <w:spacing w:after="0" w:line="342" w:lineRule="auto"/>
        <w:tabs>
          <w:tab w:leader="none" w:pos="2610"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Sale of Assets</w:t>
      </w:r>
      <w:r>
        <w:rPr>
          <w:rFonts w:ascii="Arial" w:cs="Arial" w:eastAsia="Arial" w:hAnsi="Arial"/>
          <w:sz w:val="16"/>
          <w:szCs w:val="16"/>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23" w:lineRule="exact"/>
        <w:rPr>
          <w:rFonts w:ascii="Arial" w:cs="Arial" w:eastAsia="Arial" w:hAnsi="Arial"/>
          <w:sz w:val="16"/>
          <w:szCs w:val="16"/>
          <w:color w:val="auto"/>
        </w:rPr>
      </w:pPr>
    </w:p>
    <w:p>
      <w:pPr>
        <w:ind w:right="20" w:firstLine="656"/>
        <w:spacing w:after="0" w:line="253"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 Triggering Event means (i) Siegal’s termination from employment by the Company without Cause; (ii) a material change in the nature of Siegal’s role or job responsibilities so that Siegal’s job duties and responsibilities after the Change of Control, when considered in their totality as a whole, are substantially diminished in nature from the job duties Siegal performed immediately prior to the Change of Control; (ii) the relocation of Siegal’s principal place of work to a location of more than thirty (30) miles from the location Siegal was assigned to immediately prior to the Change of Control and such relocation results in Siegal’s one-way commute to work increasing by more than thirty (30) miles based on Siegal’s principal place of residence immediately before such relocation was announced ; or (iii) the Company materially breaches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 Triggering Event described in clause (i), (ii) or (iii) hereof, such condition shall not exist unless Siegal provides written notice to the Company within ninety (90) days of its initial existence and the Company does not cure such condition within thirty (30) days from the date it receives such notice from Siegal. In addition, no Triggering Event will be deemed to have occurred unless Siegal separates from service within twelve (12) months from the date such Triggering Event initially occurs.</w:t>
      </w:r>
    </w:p>
    <w:p>
      <w:pPr>
        <w:spacing w:after="0" w:line="194" w:lineRule="exact"/>
        <w:rPr>
          <w:rFonts w:ascii="Arial" w:cs="Arial" w:eastAsia="Arial" w:hAnsi="Arial"/>
          <w:sz w:val="18"/>
          <w:szCs w:val="18"/>
          <w:color w:val="auto"/>
        </w:rPr>
      </w:pPr>
    </w:p>
    <w:p>
      <w:pPr>
        <w:ind w:firstLine="1305"/>
        <w:spacing w:after="0" w:line="272" w:lineRule="auto"/>
        <w:tabs>
          <w:tab w:leader="none" w:pos="1955" w:val="left"/>
        </w:tabs>
        <w:numPr>
          <w:ilvl w:val="1"/>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(i) acts or omissions constituting gross negligence, recklessness or willful misconduct on the part of Siegal with respect to Siegal’s obligations or otherwise relating to the business of the Company; (ii) Siegal’s material breach of this Agreement or the Company’s standard form of confidentiality agreement; (iii) Siegal’s conviction or entry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for fraud, misappropriation or embezzlement, or any felony or crime of moral turpitude; (iv) Siegal’s failure to perform her duties and responsibilities as Vice President and Corporate Controller to the reasonable satisfaction of the Board after being provided with notice thereof and thirty (30) days opportunity to remedy such failure; and (v) Siegal’s willful neglect of duties or poor performance. Notwithstanding the foregoing, a termination under subsection (v) shall not constitute a termination for “Cause” unless the Company has first given Siegal written notice of the offending conduct (such notice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shall include a description of remedial actions that the Company reasonably deems appropriate to cure such offending conduct) and a thirty (30) day opportunity to cure such offending conduct. In the event the Company terminates Siegal’s employment under subsection (v), the Company agrees to</w:t>
      </w:r>
    </w:p>
    <w:p>
      <w:pPr>
        <w:sectPr>
          <w:pgSz w:w="11900" w:h="16838" w:orient="portrait"/>
          <w:cols w:equalWidth="0" w:num="1">
            <w:col w:w="11420"/>
          </w:cols>
          <w:pgMar w:left="240" w:top="125" w:right="239" w:bottom="0" w:gutter="0" w:footer="0" w:header="0"/>
        </w:sectPr>
      </w:pPr>
    </w:p>
    <w:bookmarkStart w:id="47" w:name="page48"/>
    <w:bookmarkEnd w:id="47"/>
    <w:p>
      <w:pPr>
        <w:spacing w:after="0" w:line="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participate in binding arbitration, if requested by Siegal, to determine whether the cause for termination was willful neglect of duties or poor performance as opposed to some other reason that does not constitute Cause under this Agreement.</w:t>
      </w:r>
    </w:p>
    <w:p>
      <w:pPr>
        <w:spacing w:after="0" w:line="170" w:lineRule="exact"/>
        <w:rPr>
          <w:sz w:val="20"/>
          <w:szCs w:val="20"/>
          <w:color w:val="auto"/>
        </w:rPr>
      </w:pPr>
    </w:p>
    <w:p>
      <w:pPr>
        <w:jc w:val="both"/>
        <w:ind w:right="80" w:firstLine="656"/>
        <w:spacing w:after="0" w:line="276" w:lineRule="auto"/>
        <w:tabs>
          <w:tab w:leader="none" w:pos="131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General Provisions. </w:t>
      </w:r>
      <w:r>
        <w:rPr>
          <w:rFonts w:ascii="Arial" w:cs="Arial" w:eastAsia="Arial" w:hAnsi="Arial"/>
          <w:sz w:val="17"/>
          <w:szCs w:val="17"/>
          <w:color w:val="auto"/>
        </w:rPr>
        <w:t>Except as set forth in this Agreement, the terms of the Offer Letter remain unchanged. Nothing in this Agreement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change the at-will nature of Siegal’s employment with the Company. This Agreement and the Offer Letter, including the Additional Terms and Conditions attached thereto and the Proprietary Information and Innovations Agreement signed by Siegal, constitute the entire agreement between Siegal and the Company with respect to Siegal’s employment with the Company, and supersedes and replaces the Original Agreement in its entirety. No amendment or modification of the terms or conditions of this Agreement shall be valid unless in writing and signed by the parties.</w:t>
      </w:r>
    </w:p>
    <w:p>
      <w:pPr>
        <w:spacing w:after="0" w:line="172" w:lineRule="exact"/>
        <w:rPr>
          <w:rFonts w:ascii="Arial" w:cs="Arial" w:eastAsia="Arial" w:hAnsi="Arial"/>
          <w:sz w:val="17"/>
          <w:szCs w:val="17"/>
          <w:color w:val="auto"/>
        </w:rPr>
      </w:pPr>
    </w:p>
    <w:p>
      <w:pPr>
        <w:ind w:right="220" w:firstLine="656"/>
        <w:spacing w:after="0" w:line="272" w:lineRule="auto"/>
        <w:tabs>
          <w:tab w:leader="none" w:pos="131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This Agreement is intended to comply with Section 409A of the Code (or any regulations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rulings thereunder), and shall be construed and interpreted in accordance with such intent. Notwithstanding anything to the contrary in this Agreement, the Company, in the exercise of its sole discretion and without the consent of Siegal, may amend or modify this Agreement in any manner in order to meet the requirements of Section 409A of the Code as amplified by any Internal Revenue Service or U.S. Treasury Department guidance.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 Siegal is encouraged to consult a tax adviser regarding the potential impact of Section 409A of the Code.</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Parachute Payment Excise Tax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90" w:lineRule="auto"/>
        <w:tabs>
          <w:tab w:leader="none" w:pos="19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to Siegal for Siegal’s benefit, paid or payable or distributed or distributable pursuant to the terms of this Agreement or otherwise in connection with, or arising out of, the Siegal’s employment with the Company or a Change of Control (a “</w:t>
      </w:r>
      <w:r>
        <w:rPr>
          <w:rFonts w:ascii="Arial" w:cs="Arial" w:eastAsia="Arial" w:hAnsi="Arial"/>
          <w:sz w:val="16"/>
          <w:szCs w:val="16"/>
          <w:u w:val="single" w:color="auto"/>
          <w:color w:val="auto"/>
        </w:rPr>
        <w:t>Payment</w:t>
      </w:r>
      <w:r>
        <w:rPr>
          <w:rFonts w:ascii="Arial" w:cs="Arial" w:eastAsia="Arial" w:hAnsi="Arial"/>
          <w:sz w:val="16"/>
          <w:szCs w:val="16"/>
          <w:color w:val="auto"/>
        </w:rPr>
        <w:t>” or “</w:t>
      </w:r>
      <w:r>
        <w:rPr>
          <w:rFonts w:ascii="Arial" w:cs="Arial" w:eastAsia="Arial" w:hAnsi="Arial"/>
          <w:sz w:val="16"/>
          <w:szCs w:val="16"/>
          <w:u w:val="single" w:color="auto"/>
          <w:color w:val="auto"/>
        </w:rPr>
        <w:t>Payments</w:t>
      </w:r>
      <w:r>
        <w:rPr>
          <w:rFonts w:ascii="Arial" w:cs="Arial" w:eastAsia="Arial" w:hAnsi="Arial"/>
          <w:sz w:val="16"/>
          <w:szCs w:val="16"/>
          <w:color w:val="auto"/>
        </w:rPr>
        <w:t>”), would be subject to the excise tax imposed by Code Section 4999, or any interest or penalties are incurred by Siegal with respect to such excise tax (such excise tax, together with any such interest and penalties, are hereinafter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Siegal will be entitled to receive an additional payment (a “</w:t>
      </w:r>
      <w:r>
        <w:rPr>
          <w:rFonts w:ascii="Arial" w:cs="Arial" w:eastAsia="Arial" w:hAnsi="Arial"/>
          <w:sz w:val="16"/>
          <w:szCs w:val="16"/>
          <w:u w:val="single" w:color="auto"/>
          <w:color w:val="auto"/>
        </w:rPr>
        <w:t>Gross-Up Payment</w:t>
      </w:r>
      <w:r>
        <w:rPr>
          <w:rFonts w:ascii="Arial" w:cs="Arial" w:eastAsia="Arial" w:hAnsi="Arial"/>
          <w:sz w:val="16"/>
          <w:szCs w:val="16"/>
          <w:color w:val="auto"/>
        </w:rPr>
        <w:t>”) in an amount such that after payment by Siegal of all taxes (including any interest or penalties (other than interest and penalties imposed by reason of Siegal’s failure to file timely a tax return or pay taxes shown due on Siegal’s return) imposed with respect to such taxes and the Excise Tax), including any Excise Tax imposed upon the Gross-Up Payment, Siegal retains an amount of the Gross-Up Payment equal to the Excise Tax imposed upon the Payments.</w:t>
      </w:r>
    </w:p>
    <w:p>
      <w:pPr>
        <w:spacing w:after="0" w:line="166" w:lineRule="exact"/>
        <w:rPr>
          <w:rFonts w:ascii="Arial" w:cs="Arial" w:eastAsia="Arial" w:hAnsi="Arial"/>
          <w:sz w:val="16"/>
          <w:szCs w:val="16"/>
          <w:color w:val="auto"/>
        </w:rPr>
      </w:pPr>
    </w:p>
    <w:p>
      <w:pPr>
        <w:ind w:right="120" w:firstLine="1305"/>
        <w:spacing w:after="0" w:line="277" w:lineRule="auto"/>
        <w:tabs>
          <w:tab w:leader="none" w:pos="195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initial determination as to whether a Gross-Up Payment is required pursuant to this Agreement and the amount of such Gross-Up Payment shall be made by the Company. the Company shall provide its determination (the “</w:t>
      </w:r>
      <w:r>
        <w:rPr>
          <w:rFonts w:ascii="Arial" w:cs="Arial" w:eastAsia="Arial" w:hAnsi="Arial"/>
          <w:sz w:val="18"/>
          <w:szCs w:val="18"/>
          <w:u w:val="single" w:color="auto"/>
          <w:color w:val="auto"/>
        </w:rPr>
        <w:t>Determination</w:t>
      </w:r>
      <w:r>
        <w:rPr>
          <w:rFonts w:ascii="Arial" w:cs="Arial" w:eastAsia="Arial" w:hAnsi="Arial"/>
          <w:sz w:val="18"/>
          <w:szCs w:val="18"/>
          <w:color w:val="auto"/>
        </w:rPr>
        <w:t>”), together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detailed supporting calculations and documentation, to Siegal within fifteen (15) days of the date of Siegal’s termination, if applicable, or such other time as requested by Siegal (provided Siegal reasonably believes that any of the Payments may be subject to the Excise Tax). If requested by the Siegal, the Company shall furnish Siegal, at the Company’s expense, with an opinion reasonably acceptable to Siegal from the Company’s accounting firm (or an accounting firm of equivalent stature reasonably acceptable to Siegal) that there is a reasonable basis for the Determination. Any Gross-Up Payment determined pursuant to this section 7 shall be paid by the Company to Siegal within five (5) days of receipt of the Determination.</w:t>
      </w:r>
    </w:p>
    <w:p>
      <w:pPr>
        <w:spacing w:after="0" w:line="158" w:lineRule="exact"/>
        <w:rPr>
          <w:sz w:val="20"/>
          <w:szCs w:val="20"/>
          <w:color w:val="auto"/>
        </w:rPr>
      </w:pPr>
    </w:p>
    <w:p>
      <w:pPr>
        <w:jc w:val="both"/>
        <w:ind w:right="60" w:firstLine="1305"/>
        <w:spacing w:after="0" w:line="264" w:lineRule="auto"/>
        <w:tabs>
          <w:tab w:leader="none" w:pos="19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w:t>
      </w:r>
      <w:r>
        <w:rPr>
          <w:rFonts w:ascii="Arial" w:cs="Arial" w:eastAsia="Arial" w:hAnsi="Arial"/>
          <w:sz w:val="18"/>
          <w:szCs w:val="18"/>
          <w:u w:val="single" w:color="auto"/>
          <w:color w:val="auto"/>
        </w:rPr>
        <w:t>Excess Payment</w:t>
      </w:r>
      <w:r>
        <w:rPr>
          <w:rFonts w:ascii="Arial" w:cs="Arial" w:eastAsia="Arial" w:hAnsi="Arial"/>
          <w:sz w:val="18"/>
          <w:szCs w:val="18"/>
          <w:color w:val="auto"/>
        </w:rPr>
        <w:t>”) or a Gross-Up Payment (or a portion thereof) which should have been paid will not have been paid (an “</w:t>
      </w:r>
      <w:r>
        <w:rPr>
          <w:rFonts w:ascii="Arial" w:cs="Arial" w:eastAsia="Arial" w:hAnsi="Arial"/>
          <w:sz w:val="18"/>
          <w:szCs w:val="18"/>
          <w:u w:val="single" w:color="auto"/>
          <w:color w:val="auto"/>
        </w:rPr>
        <w:t>Underpayment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1305"/>
        <w:spacing w:after="0" w:line="290" w:lineRule="auto"/>
        <w:tabs>
          <w:tab w:leader="none" w:pos="19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Underpayment shall be deemed to have occurred (A) upon notice (formal or informal) to Siegal from any governmental taxing authority that Siegal’s tax liability (whether in respect of Siegal’s current taxable year or in respect of any prior taxable year) may be increased by reason of the imposition of the Excise Tax on a Payment or Payments with respect to which the Company has failed to make a sufficient Gross-Up Payment, (B) upon a determination by a court, or (C) by reason of determination by the Company (which shall include the position taken by the Company, together with its consolidated group, on its federal income tax return). If an Underpayment occurs, Siegal shall promptly notify the Company and the Company shall promptly, but in any event at least five (5) days prior to the date on which the applicable government taxing authority has requested payment, pay to Siegal an additional Gross-Up Payment equal to the amount of the Underpayment plus any interest and penalties (other than interest and penalties imposed by reason of Siegal’s failure to file timely a tax return or pay taxes shown due on Siegal’s return) imposed on the Underpayment.</w:t>
      </w:r>
    </w:p>
    <w:p>
      <w:pPr>
        <w:spacing w:after="0" w:line="166" w:lineRule="exact"/>
        <w:rPr>
          <w:rFonts w:ascii="Arial" w:cs="Arial" w:eastAsia="Arial" w:hAnsi="Arial"/>
          <w:sz w:val="16"/>
          <w:szCs w:val="16"/>
          <w:color w:val="auto"/>
        </w:rPr>
      </w:pPr>
    </w:p>
    <w:p>
      <w:pPr>
        <w:ind w:right="20" w:firstLine="1305"/>
        <w:spacing w:after="0" w:line="270" w:lineRule="auto"/>
        <w:tabs>
          <w:tab w:leader="none" w:pos="19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Excess Payment shall be deemed to have occurred upon a Final Determination (as hereinafter defined) that the Excise Tax shall not be imposed upon a Payment or Payments (or portion thereof) with respect to which Siegal had previously received a Gross-Up Payment. A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w:t>
      </w:r>
      <w:r>
        <w:rPr>
          <w:rFonts w:ascii="Arial" w:cs="Arial" w:eastAsia="Arial" w:hAnsi="Arial"/>
          <w:sz w:val="17"/>
          <w:szCs w:val="17"/>
          <w:color w:val="auto"/>
        </w:rPr>
        <w:t>” shall be deemed to have occurred when Siegal has received from the applicable government taxing authority a refund of taxes or other reduction in Siegal’s tax liability by reason of the Excise Payment and upon either (A) the date a determination is made by, or an agreement is entered into with, the applicable governmental taxing authority which finally and conclusively binds Siegal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to Siegal’s applicable tax return has expired. If an Excess Payment is determined to have been made, the amount of the Excess Payment shall be repaid by Siegal to the Company unless, and only to the extent that, the repayment would either reduce the amount on which Siegal is subject to tax under Code Section 4999 or generate a refund of tax imposed under Code Section 4999.</w:t>
      </w:r>
    </w:p>
    <w:p>
      <w:pPr>
        <w:spacing w:after="0" w:line="177" w:lineRule="exact"/>
        <w:rPr>
          <w:rFonts w:ascii="Arial" w:cs="Arial" w:eastAsia="Arial" w:hAnsi="Arial"/>
          <w:sz w:val="17"/>
          <w:szCs w:val="17"/>
          <w:color w:val="auto"/>
        </w:rPr>
      </w:pPr>
    </w:p>
    <w:p>
      <w:pPr>
        <w:ind w:right="40" w:firstLine="1305"/>
        <w:spacing w:after="0" w:line="308" w:lineRule="auto"/>
        <w:tabs>
          <w:tab w:leader="none" w:pos="1963"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in the event that, according to the Determination, an Excise Tax will be imposed on any Payment or Payments, the Company shall pay to the applicable government taxing authorities, as Excise Tax</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withholding, the amount of the Excise Tax that the Company has actually withheld from the Payment or Payments.</w:t>
      </w:r>
    </w:p>
    <w:p>
      <w:pPr>
        <w:sectPr>
          <w:pgSz w:w="11900" w:h="1684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Laura Siegal</w:t>
      </w:r>
    </w:p>
    <w:p>
      <w:pPr>
        <w:sectPr>
          <w:pgSz w:w="11900" w:h="16847" w:orient="portrait"/>
          <w:cols w:equalWidth="0" w:num="1">
            <w:col w:w="11420"/>
          </w:cols>
          <w:pgMar w:left="240" w:top="125" w:right="23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3660" w:type="dxa"/>
            <w:vAlign w:val="bottom"/>
            <w:vMerge w:val="restart"/>
          </w:tcPr>
          <w:p>
            <w:pPr>
              <w:spacing w:after="0"/>
              <w:rPr>
                <w:sz w:val="20"/>
                <w:szCs w:val="20"/>
                <w:color w:val="auto"/>
              </w:rPr>
            </w:pPr>
            <w:r>
              <w:rPr>
                <w:rFonts w:ascii="Arial" w:cs="Arial" w:eastAsia="Arial" w:hAnsi="Arial"/>
                <w:sz w:val="18"/>
                <w:szCs w:val="18"/>
                <w:color w:val="auto"/>
              </w:rPr>
              <w:t>Dated: August 4, 2011</w:t>
            </w:r>
          </w:p>
        </w:tc>
        <w:tc>
          <w:tcPr>
            <w:tcW w:w="2120" w:type="dxa"/>
            <w:vAlign w:val="bottom"/>
          </w:tcPr>
          <w:p>
            <w:pPr>
              <w:spacing w:after="0"/>
              <w:rPr>
                <w:sz w:val="20"/>
                <w:szCs w:val="20"/>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Siegal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Laura Siegal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Kratos Defense &amp; Security Solutions,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Dated:August 4, 2011</w:t>
            </w:r>
          </w:p>
        </w:tc>
        <w:tc>
          <w:tcPr>
            <w:tcW w:w="212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By:   /s/ Eric DeMarco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Eric DeMarco, Chief Executive Officer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6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AMENDED AND RESTATED EMPLOYMENT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 xml:space="preserve">THIS FIRST AMENDMENT TO AMENDED AND RESTATED EMPLOYMENT AGREEMENT </w:t>
      </w:r>
      <w:r>
        <w:rPr>
          <w:rFonts w:ascii="Arial" w:cs="Arial" w:eastAsia="Arial" w:hAnsi="Arial"/>
          <w:sz w:val="17"/>
          <w:szCs w:val="17"/>
          <w:color w:val="auto"/>
        </w:rPr>
        <w:t>(“</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by</w:t>
      </w:r>
      <w:r>
        <w:rPr>
          <w:rFonts w:ascii="Arial" w:cs="Arial" w:eastAsia="Arial" w:hAnsi="Arial"/>
          <w:sz w:val="17"/>
          <w:szCs w:val="17"/>
          <w:b w:val="1"/>
          <w:bCs w:val="1"/>
          <w:color w:val="auto"/>
        </w:rPr>
        <w:t xml:space="preserve"> </w:t>
      </w:r>
      <w:r>
        <w:rPr>
          <w:rFonts w:ascii="Arial" w:cs="Arial" w:eastAsia="Arial" w:hAnsi="Arial"/>
          <w:sz w:val="17"/>
          <w:szCs w:val="17"/>
          <w:color w:val="auto"/>
        </w:rPr>
        <w:t>and between Kratos Defense Engineering Solutions, Inc., a Delaware corporation formerly known as Kratos Government Solutions, Inc. (the “</w:t>
      </w:r>
      <w:r>
        <w:rPr>
          <w:rFonts w:ascii="Arial" w:cs="Arial" w:eastAsia="Arial" w:hAnsi="Arial"/>
          <w:sz w:val="17"/>
          <w:szCs w:val="17"/>
          <w:b w:val="1"/>
          <w:bCs w:val="1"/>
          <w:color w:val="auto"/>
        </w:rPr>
        <w:t>Company</w:t>
      </w:r>
      <w:r>
        <w:rPr>
          <w:rFonts w:ascii="Arial" w:cs="Arial" w:eastAsia="Arial" w:hAnsi="Arial"/>
          <w:sz w:val="17"/>
          <w:szCs w:val="17"/>
          <w:color w:val="auto"/>
        </w:rPr>
        <w:t>”) and Phil Carrai, an individual (“</w:t>
      </w:r>
      <w:r>
        <w:rPr>
          <w:rFonts w:ascii="Arial" w:cs="Arial" w:eastAsia="Arial" w:hAnsi="Arial"/>
          <w:sz w:val="17"/>
          <w:szCs w:val="17"/>
          <w:b w:val="1"/>
          <w:bCs w:val="1"/>
          <w:color w:val="auto"/>
        </w:rPr>
        <w:t>Executive</w:t>
      </w:r>
      <w:r>
        <w:rPr>
          <w:rFonts w:ascii="Arial" w:cs="Arial" w:eastAsia="Arial" w:hAnsi="Arial"/>
          <w:sz w:val="17"/>
          <w:szCs w:val="17"/>
          <w:color w:val="auto"/>
        </w:rPr>
        <w:t>”), effective as of August 4, 2011 (“</w:t>
      </w:r>
      <w:r>
        <w:rPr>
          <w:rFonts w:ascii="Arial" w:cs="Arial" w:eastAsia="Arial" w:hAnsi="Arial"/>
          <w:sz w:val="17"/>
          <w:szCs w:val="17"/>
          <w:b w:val="1"/>
          <w:bCs w:val="1"/>
          <w:color w:val="auto"/>
        </w:rPr>
        <w:t>Effective Date</w:t>
      </w:r>
      <w:r>
        <w:rPr>
          <w:rFonts w:ascii="Arial" w:cs="Arial" w:eastAsia="Arial" w:hAnsi="Arial"/>
          <w:sz w:val="17"/>
          <w:szCs w:val="17"/>
          <w:color w:val="auto"/>
        </w:rPr>
        <w:t>”). For purposes of this Agreement, the defined term “Company” is intended to include Kratos Technology &amp; Training Solutions, Inc., a California corporation formerly known as SYS, d/b/a SYS Technologies, Inc. (“</w:t>
      </w:r>
      <w:r>
        <w:rPr>
          <w:rFonts w:ascii="Arial" w:cs="Arial" w:eastAsia="Arial" w:hAnsi="Arial"/>
          <w:sz w:val="17"/>
          <w:szCs w:val="17"/>
          <w:b w:val="1"/>
          <w:bCs w:val="1"/>
          <w:color w:val="auto"/>
        </w:rPr>
        <w:t>KTTS</w:t>
      </w:r>
      <w:r>
        <w:rPr>
          <w:rFonts w:ascii="Arial" w:cs="Arial" w:eastAsia="Arial" w:hAnsi="Arial"/>
          <w:sz w:val="17"/>
          <w:szCs w:val="17"/>
          <w:color w:val="auto"/>
        </w:rPr>
        <w:t>”). Certain terms used in this Agreement denoted by initial capital letters are defined in Section 17.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40" w:firstLine="656"/>
        <w:spacing w:after="0" w:line="308" w:lineRule="auto"/>
        <w:tabs>
          <w:tab w:leader="none" w:pos="13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Executive is an officer of the Company and in such capacities has obtained extensive and valuable knowledge and confidential information concerning the Company and its Technology &amp; Training Solutions Division’s (“</w:t>
      </w:r>
      <w:r>
        <w:rPr>
          <w:rFonts w:ascii="Arial" w:cs="Arial" w:eastAsia="Arial" w:hAnsi="Arial"/>
          <w:sz w:val="17"/>
          <w:szCs w:val="17"/>
          <w:b w:val="1"/>
          <w:bCs w:val="1"/>
          <w:color w:val="auto"/>
        </w:rPr>
        <w:t>TTS</w:t>
      </w:r>
      <w:r>
        <w:rPr>
          <w:rFonts w:ascii="Arial" w:cs="Arial" w:eastAsia="Arial" w:hAnsi="Arial"/>
          <w:sz w:val="17"/>
          <w:szCs w:val="17"/>
          <w:color w:val="auto"/>
        </w:rPr>
        <w:t>”) business and confidential customer relationships.</w:t>
      </w:r>
    </w:p>
    <w:p>
      <w:pPr>
        <w:spacing w:after="0" w:line="146" w:lineRule="exact"/>
        <w:rPr>
          <w:rFonts w:ascii="Arial" w:cs="Arial" w:eastAsia="Arial" w:hAnsi="Arial"/>
          <w:sz w:val="17"/>
          <w:szCs w:val="17"/>
          <w:color w:val="auto"/>
        </w:rPr>
      </w:pPr>
    </w:p>
    <w:p>
      <w:pPr>
        <w:ind w:right="380" w:firstLine="656"/>
        <w:spacing w:after="0" w:line="277"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Executive and the Company entered into an Amended and Restated Employment Agreement made effective as of January 1, 2011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40" w:firstLine="656"/>
        <w:spacing w:after="0" w:line="264"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consideration for Executive’s agreement to continue his duties and responsibilities as described herein, Executive and the Company desire to amend the Original Agreement to afford Executive additional protection in the event of a change in control of the Company, as set forth more particularly herein.</w:t>
      </w:r>
    </w:p>
    <w:p>
      <w:pPr>
        <w:spacing w:after="0" w:line="17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the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5" w:lineRule="exact"/>
        <w:rPr>
          <w:sz w:val="20"/>
          <w:szCs w:val="20"/>
          <w:color w:val="auto"/>
        </w:rPr>
      </w:pPr>
    </w:p>
    <w:p>
      <w:pPr>
        <w:ind w:firstLine="656"/>
        <w:spacing w:after="0" w:line="266" w:lineRule="auto"/>
        <w:tabs>
          <w:tab w:leader="none" w:pos="1008"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First Amendment</w:t>
      </w:r>
      <w:r>
        <w:rPr>
          <w:rFonts w:ascii="Arial" w:cs="Arial" w:eastAsia="Arial" w:hAnsi="Arial"/>
          <w:sz w:val="18"/>
          <w:szCs w:val="18"/>
          <w:color w:val="auto"/>
        </w:rPr>
        <w:t>. This First Amendment supplements, but does not replace, the Original Agreement. The Original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except as modified specifically herein. Certain terms used in this First Amendment denoted by capital letters are defined in Section 17 of the Original Agreement, except as such defined terms are modified herein.</w:t>
      </w:r>
    </w:p>
    <w:p>
      <w:pPr>
        <w:spacing w:after="0" w:line="176" w:lineRule="exact"/>
        <w:rPr>
          <w:rFonts w:ascii="Arial" w:cs="Arial" w:eastAsia="Arial" w:hAnsi="Arial"/>
          <w:sz w:val="18"/>
          <w:szCs w:val="18"/>
          <w:color w:val="auto"/>
        </w:rPr>
      </w:pPr>
    </w:p>
    <w:p>
      <w:pPr>
        <w:ind w:left="1020" w:hanging="364"/>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5.6.2 of the Original Agreement is hereby amended by deleting Section 5.6.2 in its entirety and replacing it with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5.6.2</w:t>
      </w:r>
      <w:r>
        <w:rPr>
          <w:sz w:val="20"/>
          <w:szCs w:val="20"/>
          <w:color w:val="auto"/>
        </w:rPr>
        <w:tab/>
      </w: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one of the following after the date of this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with respect to the Company’s parent company, Kratos Defense &amp; Security Solutions, Inc. (“</w:t>
      </w:r>
      <w:r>
        <w:rPr>
          <w:rFonts w:ascii="Arial" w:cs="Arial" w:eastAsia="Arial" w:hAnsi="Arial"/>
          <w:sz w:val="18"/>
          <w:szCs w:val="18"/>
          <w:b w:val="1"/>
          <w:bCs w:val="1"/>
          <w:color w:val="auto"/>
        </w:rPr>
        <w:t>Kratos</w:t>
      </w:r>
      <w:r>
        <w:rPr>
          <w:rFonts w:ascii="Arial" w:cs="Arial" w:eastAsia="Arial" w:hAnsi="Arial"/>
          <w:sz w:val="18"/>
          <w:szCs w:val="18"/>
          <w:color w:val="auto"/>
        </w:rPr>
        <w:t>”):</w:t>
      </w:r>
    </w:p>
    <w:p>
      <w:pPr>
        <w:spacing w:after="0" w:line="211" w:lineRule="exact"/>
        <w:rPr>
          <w:sz w:val="20"/>
          <w:szCs w:val="20"/>
          <w:color w:val="auto"/>
        </w:rPr>
      </w:pPr>
    </w:p>
    <w:p>
      <w:pPr>
        <w:ind w:left="660" w:right="40" w:firstLine="1945"/>
        <w:spacing w:after="0" w:line="277" w:lineRule="auto"/>
        <w:rPr>
          <w:sz w:val="20"/>
          <w:szCs w:val="20"/>
          <w:color w:val="auto"/>
        </w:rPr>
      </w:pPr>
      <w:r>
        <w:rPr>
          <w:rFonts w:ascii="Arial" w:cs="Arial" w:eastAsia="Arial" w:hAnsi="Arial"/>
          <w:sz w:val="18"/>
          <w:szCs w:val="18"/>
          <w:color w:val="auto"/>
        </w:rPr>
        <w:t xml:space="preserve">5.6.2.1 </w:t>
      </w:r>
      <w:r>
        <w:rPr>
          <w:rFonts w:ascii="Arial" w:cs="Arial" w:eastAsia="Arial" w:hAnsi="Arial"/>
          <w:sz w:val="18"/>
          <w:szCs w:val="18"/>
          <w:u w:val="single" w:color="auto"/>
          <w:color w:val="auto"/>
        </w:rPr>
        <w:t>Acquisition of Controlling 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(other than persons who are employed by Kratos or its affiliates at any time more than one year before a transaction) (“</w:t>
      </w:r>
      <w:r>
        <w:rPr>
          <w:rFonts w:ascii="Arial" w:cs="Arial" w:eastAsia="Arial" w:hAnsi="Arial"/>
          <w:sz w:val="18"/>
          <w:szCs w:val="18"/>
          <w:b w:val="1"/>
          <w:bCs w:val="1"/>
          <w:color w:val="auto"/>
        </w:rPr>
        <w:t>Buyer</w:t>
      </w:r>
      <w:r>
        <w:rPr>
          <w:rFonts w:ascii="Arial" w:cs="Arial" w:eastAsia="Arial" w:hAnsi="Arial"/>
          <w:sz w:val="18"/>
          <w:szCs w:val="18"/>
          <w:color w:val="auto"/>
        </w:rPr>
        <w:t>”) becomes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“beneficial owner” within the meaning of Rule 13d-3 of the Securities Exchange Act of 1934, as amended, directly or indirectly, of Kratos 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66" w:lineRule="exact"/>
        <w:rPr>
          <w:sz w:val="20"/>
          <w:szCs w:val="20"/>
          <w:color w:val="auto"/>
        </w:rPr>
      </w:pPr>
    </w:p>
    <w:p>
      <w:pPr>
        <w:ind w:left="660" w:right="40" w:firstLine="1945"/>
        <w:spacing w:after="0" w:line="291" w:lineRule="auto"/>
        <w:rPr>
          <w:sz w:val="20"/>
          <w:szCs w:val="20"/>
          <w:color w:val="auto"/>
        </w:rPr>
      </w:pPr>
      <w:r>
        <w:rPr>
          <w:rFonts w:ascii="Arial" w:cs="Arial" w:eastAsia="Arial" w:hAnsi="Arial"/>
          <w:sz w:val="16"/>
          <w:szCs w:val="16"/>
          <w:color w:val="auto"/>
        </w:rPr>
        <w:t xml:space="preserve">5.6.2.2 </w:t>
      </w:r>
      <w:r>
        <w:rPr>
          <w:rFonts w:ascii="Arial" w:cs="Arial" w:eastAsia="Arial" w:hAnsi="Arial"/>
          <w:sz w:val="16"/>
          <w:szCs w:val="16"/>
          <w:u w:val="single" w:color="auto"/>
          <w:color w:val="auto"/>
        </w:rPr>
        <w:t>Change in Board Control</w:t>
      </w:r>
      <w:r>
        <w:rPr>
          <w:rFonts w:ascii="Arial" w:cs="Arial" w:eastAsia="Arial" w:hAnsi="Arial"/>
          <w:sz w:val="16"/>
          <w:szCs w:val="16"/>
          <w:color w:val="auto"/>
        </w:rPr>
        <w:t>. During any consecutive one-year period commencing after the date of this Agreement, individuals who constituted Kratos’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at the beginning of such period or their approved replacements, as defined in the next sentence (“</w:t>
      </w:r>
      <w:r>
        <w:rPr>
          <w:rFonts w:ascii="Arial" w:cs="Arial" w:eastAsia="Arial" w:hAnsi="Arial"/>
          <w:sz w:val="16"/>
          <w:szCs w:val="16"/>
          <w:b w:val="1"/>
          <w:bCs w:val="1"/>
          <w:color w:val="auto"/>
        </w:rPr>
        <w:t>Beginning Board</w:t>
      </w:r>
      <w:r>
        <w:rPr>
          <w:rFonts w:ascii="Arial" w:cs="Arial" w:eastAsia="Arial" w:hAnsi="Arial"/>
          <w:sz w:val="16"/>
          <w:szCs w:val="16"/>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 behalf of any person other than the Board, but only to the extent that such acquisition constitutes a “change in the effective control” of Kratos within the meaning of Treasury Regulation Section 1.409A-3(i)(5)(vi).</w:t>
      </w:r>
    </w:p>
    <w:p>
      <w:pPr>
        <w:spacing w:after="0" w:line="167" w:lineRule="exact"/>
        <w:rPr>
          <w:sz w:val="20"/>
          <w:szCs w:val="20"/>
          <w:color w:val="auto"/>
        </w:rPr>
      </w:pPr>
    </w:p>
    <w:p>
      <w:pPr>
        <w:ind w:left="660" w:right="40" w:firstLine="1945"/>
        <w:spacing w:after="0" w:line="293" w:lineRule="auto"/>
        <w:rPr>
          <w:sz w:val="20"/>
          <w:szCs w:val="20"/>
          <w:color w:val="auto"/>
        </w:rPr>
      </w:pPr>
      <w:r>
        <w:rPr>
          <w:rFonts w:ascii="Arial" w:cs="Arial" w:eastAsia="Arial" w:hAnsi="Arial"/>
          <w:sz w:val="16"/>
          <w:szCs w:val="16"/>
          <w:color w:val="auto"/>
        </w:rPr>
        <w:t xml:space="preserve">5.6.2.3 </w:t>
      </w:r>
      <w:r>
        <w:rPr>
          <w:rFonts w:ascii="Arial" w:cs="Arial" w:eastAsia="Arial" w:hAnsi="Arial"/>
          <w:sz w:val="16"/>
          <w:szCs w:val="16"/>
          <w:u w:val="single" w:color="auto"/>
          <w:color w:val="auto"/>
        </w:rPr>
        <w:t>Merger</w:t>
      </w:r>
      <w:r>
        <w:rPr>
          <w:rFonts w:ascii="Arial" w:cs="Arial" w:eastAsia="Arial" w:hAnsi="Arial"/>
          <w:sz w:val="16"/>
          <w:szCs w:val="16"/>
          <w:i w:val="1"/>
          <w:iCs w:val="1"/>
          <w:color w:val="auto"/>
        </w:rPr>
        <w:t>.</w:t>
      </w:r>
      <w:r>
        <w:rPr>
          <w:rFonts w:ascii="Arial" w:cs="Arial" w:eastAsia="Arial" w:hAnsi="Arial"/>
          <w:sz w:val="16"/>
          <w:szCs w:val="16"/>
          <w:color w:val="auto"/>
        </w:rPr>
        <w:t xml:space="preserve">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 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65" w:lineRule="exact"/>
        <w:rPr>
          <w:sz w:val="20"/>
          <w:szCs w:val="20"/>
          <w:color w:val="auto"/>
        </w:rPr>
      </w:pPr>
    </w:p>
    <w:p>
      <w:pPr>
        <w:ind w:left="660" w:right="300" w:firstLine="1945"/>
        <w:spacing w:after="0" w:line="264" w:lineRule="auto"/>
        <w:rPr>
          <w:sz w:val="20"/>
          <w:szCs w:val="20"/>
          <w:color w:val="auto"/>
        </w:rPr>
      </w:pPr>
      <w:r>
        <w:rPr>
          <w:rFonts w:ascii="Arial" w:cs="Arial" w:eastAsia="Arial" w:hAnsi="Arial"/>
          <w:sz w:val="18"/>
          <w:szCs w:val="18"/>
          <w:color w:val="auto"/>
        </w:rPr>
        <w:t xml:space="preserve">5.6.2.4 </w:t>
      </w:r>
      <w:r>
        <w:rPr>
          <w:rFonts w:ascii="Arial" w:cs="Arial" w:eastAsia="Arial" w:hAnsi="Arial"/>
          <w:sz w:val="18"/>
          <w:szCs w:val="18"/>
          <w:u w:val="single" w:color="auto"/>
          <w:color w:val="auto"/>
        </w:rPr>
        <w:t>Sale of Assets</w:t>
      </w:r>
      <w:r>
        <w:rPr>
          <w:rFonts w:ascii="Arial" w:cs="Arial" w:eastAsia="Arial" w:hAnsi="Arial"/>
          <w:sz w:val="18"/>
          <w:szCs w:val="18"/>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81" w:lineRule="exact"/>
        <w:rPr>
          <w:sz w:val="20"/>
          <w:szCs w:val="20"/>
          <w:color w:val="auto"/>
        </w:rPr>
      </w:pPr>
    </w:p>
    <w:p>
      <w:pPr>
        <w:ind w:left="1020" w:hanging="364"/>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Elections upon Certain Changes of Control. Section 5.8 is hereby added to the Original Agreement as follows:</w:t>
      </w:r>
    </w:p>
    <w:p>
      <w:pPr>
        <w:spacing w:after="0" w:line="221"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Additional Election Upon Certain Changes of Control</w:t>
      </w:r>
      <w:r>
        <w:rPr>
          <w:rFonts w:ascii="Arial" w:cs="Arial" w:eastAsia="Arial" w:hAnsi="Arial"/>
          <w:sz w:val="18"/>
          <w:szCs w:val="18"/>
          <w:color w:val="auto"/>
        </w:rPr>
        <w:t>. If Kratos enters into a definitive agreement (“</w:t>
      </w:r>
      <w:r>
        <w:rPr>
          <w:rFonts w:ascii="Arial" w:cs="Arial" w:eastAsia="Arial" w:hAnsi="Arial"/>
          <w:sz w:val="18"/>
          <w:szCs w:val="18"/>
          <w:b w:val="1"/>
          <w:bCs w:val="1"/>
          <w:color w:val="auto"/>
        </w:rPr>
        <w:t>Definitive Agreement</w:t>
      </w:r>
      <w:r>
        <w:rPr>
          <w:rFonts w:ascii="Arial" w:cs="Arial" w:eastAsia="Arial" w:hAnsi="Arial"/>
          <w:sz w:val="18"/>
          <w:szCs w:val="18"/>
          <w:color w:val="auto"/>
        </w:rPr>
        <w:t>”) that would result in a Change of Control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50" w:name="page51"/>
    <w:bookmarkEnd w:id="50"/>
    <w:p>
      <w:pPr>
        <w:ind w:left="660" w:right="40"/>
        <w:spacing w:after="0" w:line="269" w:lineRule="auto"/>
        <w:rPr>
          <w:sz w:val="20"/>
          <w:szCs w:val="20"/>
          <w:color w:val="auto"/>
        </w:rPr>
      </w:pPr>
      <w:r>
        <w:rPr>
          <w:rFonts w:ascii="Arial" w:cs="Arial" w:eastAsia="Arial" w:hAnsi="Arial"/>
          <w:sz w:val="17"/>
          <w:szCs w:val="17"/>
          <w:color w:val="auto"/>
        </w:rPr>
        <w:t>as defined herein, Executive shall have the following options in connection with the consummation of the Change of Control, but only to the extent that the Definitive Agreement so provides: (a) to the extent that Kratos is the surviving entity in the Change of Control, Executive may elect to retain, immediately after the consummation of the Change of Control, ownership of Kratos equity with a fair market value immediately after the consummation of the Change of Control that is equal to no less than 50% of the fair market value of his equity interests in Kratos (including stock options and restricted stock) immediately prior to the consummation of the Change of Control, or (b) in the event that Kratos is not the surviving entity in a Change of Control, Executive may elect to require that no less than 50% of his equity interests in Kratos (including stock options and restricted stock) be converted into the same form of equity interest (i.e., common stock, stock options, restricted stock, etc.) of the surviving entity or its parent such that the fair market value of his ownership in the surviving entity immediately following the Change of Control is no less than the fair market value of his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First Amendment to Employment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THE COMPANY:</w:t>
            </w: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r>
      <w:tr>
        <w:trPr>
          <w:trHeight w:val="234"/>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Kratos Defense Engineering Solutions, Inc.</w:t>
            </w:r>
          </w:p>
        </w:tc>
        <w:tc>
          <w:tcPr>
            <w:tcW w:w="5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gridSpan w:val="2"/>
          </w:tcPr>
          <w:p>
            <w:pPr>
              <w:spacing w:after="0"/>
              <w:rPr>
                <w:sz w:val="20"/>
                <w:szCs w:val="20"/>
                <w:color w:val="auto"/>
              </w:rPr>
            </w:pPr>
            <w:r>
              <w:rPr>
                <w:rFonts w:ascii="Arial" w:cs="Arial" w:eastAsia="Arial" w:hAnsi="Arial"/>
                <w:sz w:val="18"/>
                <w:szCs w:val="18"/>
                <w:color w:val="auto"/>
              </w:rPr>
              <w:t>/s/ Eric DeMarco</w:t>
            </w:r>
          </w:p>
        </w:tc>
        <w:tc>
          <w:tcPr>
            <w:tcW w:w="5260" w:type="dxa"/>
            <w:vAlign w:val="bottom"/>
            <w:gridSpan w:val="2"/>
          </w:tcPr>
          <w:p>
            <w:pPr>
              <w:spacing w:after="0"/>
              <w:rPr>
                <w:sz w:val="20"/>
                <w:szCs w:val="20"/>
                <w:color w:val="auto"/>
              </w:rPr>
            </w:pPr>
            <w:r>
              <w:rPr>
                <w:rFonts w:ascii="Arial" w:cs="Arial" w:eastAsia="Arial" w:hAnsi="Arial"/>
                <w:sz w:val="18"/>
                <w:szCs w:val="18"/>
                <w:color w:val="auto"/>
              </w:rPr>
              <w:t>/s/ Phil Carrai</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DeMarco</w:t>
            </w:r>
          </w:p>
        </w:tc>
        <w:tc>
          <w:tcPr>
            <w:tcW w:w="660" w:type="dxa"/>
            <w:vAlign w:val="bottom"/>
          </w:tcPr>
          <w:p>
            <w:pPr>
              <w:spacing w:after="0"/>
              <w:rPr>
                <w:sz w:val="16"/>
                <w:szCs w:val="16"/>
                <w:color w:val="auto"/>
              </w:rPr>
            </w:pPr>
          </w:p>
        </w:tc>
        <w:tc>
          <w:tcPr>
            <w:tcW w:w="52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Phil Carrai</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4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ind w:left="120"/>
              <w:spacing w:after="0"/>
              <w:rPr>
                <w:sz w:val="20"/>
                <w:szCs w:val="20"/>
                <w:color w:val="auto"/>
              </w:rPr>
            </w:pPr>
            <w:r>
              <w:rPr>
                <w:rFonts w:ascii="Arial" w:cs="Arial" w:eastAsia="Arial" w:hAnsi="Arial"/>
                <w:sz w:val="18"/>
                <w:szCs w:val="18"/>
                <w:color w:val="auto"/>
              </w:rPr>
              <w:t>Division President, TTS</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tcPr>
          <w:p>
            <w:pPr>
              <w:ind w:left="120"/>
              <w:spacing w:after="0"/>
              <w:rPr>
                <w:sz w:val="20"/>
                <w:szCs w:val="20"/>
                <w:color w:val="auto"/>
              </w:rPr>
            </w:pPr>
            <w:r>
              <w:rPr>
                <w:rFonts w:ascii="Arial" w:cs="Arial" w:eastAsia="Arial" w:hAnsi="Arial"/>
                <w:sz w:val="18"/>
                <w:szCs w:val="18"/>
                <w:color w:val="auto"/>
              </w:rPr>
              <w:t>August 4, 2011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4820 Eastgate Mall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President and CEO</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Law Department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225" w:lineRule="exact"/>
        <w:rPr>
          <w:sz w:val="20"/>
          <w:szCs w:val="20"/>
          <w:color w:val="auto"/>
        </w:rPr>
      </w:pPr>
    </w:p>
    <w:p>
      <w:pPr>
        <w:jc w:val="both"/>
        <w:ind w:right="340" w:firstLine="648"/>
        <w:spacing w:after="0" w:line="303" w:lineRule="auto"/>
        <w:rPr>
          <w:sz w:val="20"/>
          <w:szCs w:val="20"/>
          <w:color w:val="auto"/>
        </w:rPr>
      </w:pPr>
      <w:r>
        <w:rPr>
          <w:rFonts w:ascii="Arial" w:cs="Arial" w:eastAsia="Arial" w:hAnsi="Arial"/>
          <w:sz w:val="16"/>
          <w:szCs w:val="16"/>
          <w:b w:val="1"/>
          <w:bCs w:val="1"/>
          <w:color w:val="auto"/>
        </w:rPr>
        <w:t xml:space="preserve">THIS FIRST AMENDMENT TO EMPLOYMENT AGREEMENT </w:t>
      </w:r>
      <w:r>
        <w:rPr>
          <w:rFonts w:ascii="Arial" w:cs="Arial" w:eastAsia="Arial" w:hAnsi="Arial"/>
          <w:sz w:val="16"/>
          <w:szCs w:val="16"/>
          <w:color w:val="auto"/>
        </w:rPr>
        <w:t>(“</w:t>
      </w:r>
      <w:r>
        <w:rPr>
          <w:rFonts w:ascii="Arial" w:cs="Arial" w:eastAsia="Arial" w:hAnsi="Arial"/>
          <w:sz w:val="16"/>
          <w:szCs w:val="16"/>
          <w:b w:val="1"/>
          <w:bCs w:val="1"/>
          <w:color w:val="auto"/>
        </w:rPr>
        <w:t>First Amendment</w:t>
      </w:r>
      <w:r>
        <w:rPr>
          <w:rFonts w:ascii="Arial" w:cs="Arial" w:eastAsia="Arial" w:hAnsi="Arial"/>
          <w:sz w:val="16"/>
          <w:szCs w:val="16"/>
          <w:color w:val="auto"/>
        </w:rPr>
        <w:t>”) is entered into by and between Kratos Defense</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Solutions, Inc., a Delaware corporation formerly known as Kratos Government Solutions, Inc. (the “</w:t>
      </w:r>
      <w:r>
        <w:rPr>
          <w:rFonts w:ascii="Arial" w:cs="Arial" w:eastAsia="Arial" w:hAnsi="Arial"/>
          <w:sz w:val="16"/>
          <w:szCs w:val="16"/>
          <w:b w:val="1"/>
          <w:bCs w:val="1"/>
          <w:color w:val="auto"/>
        </w:rPr>
        <w:t>Company</w:t>
      </w:r>
      <w:r>
        <w:rPr>
          <w:rFonts w:ascii="Arial" w:cs="Arial" w:eastAsia="Arial" w:hAnsi="Arial"/>
          <w:sz w:val="16"/>
          <w:szCs w:val="16"/>
          <w:color w:val="auto"/>
        </w:rPr>
        <w:t>”) and Richard Selvaggio, an individual (“</w:t>
      </w:r>
      <w:r>
        <w:rPr>
          <w:rFonts w:ascii="Arial" w:cs="Arial" w:eastAsia="Arial" w:hAnsi="Arial"/>
          <w:sz w:val="16"/>
          <w:szCs w:val="16"/>
          <w:b w:val="1"/>
          <w:bCs w:val="1"/>
          <w:color w:val="auto"/>
        </w:rPr>
        <w:t>Executive</w:t>
      </w:r>
      <w:r>
        <w:rPr>
          <w:rFonts w:ascii="Arial" w:cs="Arial" w:eastAsia="Arial" w:hAnsi="Arial"/>
          <w:sz w:val="16"/>
          <w:szCs w:val="16"/>
          <w:color w:val="auto"/>
        </w:rPr>
        <w:t>”), effective as of August 4, 2011 (“</w:t>
      </w:r>
      <w:r>
        <w:rPr>
          <w:rFonts w:ascii="Arial" w:cs="Arial" w:eastAsia="Arial" w:hAnsi="Arial"/>
          <w:sz w:val="16"/>
          <w:szCs w:val="16"/>
          <w:b w:val="1"/>
          <w:bCs w:val="1"/>
          <w:color w:val="auto"/>
        </w:rPr>
        <w:t>Effective Date</w:t>
      </w:r>
      <w:r>
        <w:rPr>
          <w:rFonts w:ascii="Arial" w:cs="Arial" w:eastAsia="Arial" w:hAnsi="Arial"/>
          <w:sz w:val="16"/>
          <w:szCs w:val="16"/>
          <w:color w:val="auto"/>
        </w:rPr>
        <w:t>”). For purposes of this Agreement, the defined term “Company” is intended to include Madison Research Corporation (“</w:t>
      </w:r>
      <w:r>
        <w:rPr>
          <w:rFonts w:ascii="Arial" w:cs="Arial" w:eastAsia="Arial" w:hAnsi="Arial"/>
          <w:sz w:val="16"/>
          <w:szCs w:val="16"/>
          <w:b w:val="1"/>
          <w:bCs w:val="1"/>
          <w:color w:val="auto"/>
        </w:rPr>
        <w:t>MRC</w:t>
      </w:r>
      <w:r>
        <w:rPr>
          <w:rFonts w:ascii="Arial" w:cs="Arial" w:eastAsia="Arial" w:hAnsi="Arial"/>
          <w:sz w:val="16"/>
          <w:szCs w:val="16"/>
          <w:color w:val="auto"/>
        </w:rPr>
        <w:t>”). Certain terms used in this Agreement denoted by initial capital letters are defined in Section 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40" w:firstLine="656"/>
        <w:spacing w:after="0" w:line="308" w:lineRule="auto"/>
        <w:tabs>
          <w:tab w:leader="none" w:pos="1363"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Executive is an officer of the Company and in such capacities has obtained extensive and valuable knowledge and confidential information concerning the Company’s and its Weapons Systems Solutions Division’s (“</w:t>
      </w:r>
      <w:r>
        <w:rPr>
          <w:rFonts w:ascii="Arial" w:cs="Arial" w:eastAsia="Arial" w:hAnsi="Arial"/>
          <w:sz w:val="17"/>
          <w:szCs w:val="17"/>
          <w:b w:val="1"/>
          <w:bCs w:val="1"/>
          <w:color w:val="auto"/>
        </w:rPr>
        <w:t>WSS</w:t>
      </w:r>
      <w:r>
        <w:rPr>
          <w:rFonts w:ascii="Arial" w:cs="Arial" w:eastAsia="Arial" w:hAnsi="Arial"/>
          <w:sz w:val="17"/>
          <w:szCs w:val="17"/>
          <w:color w:val="auto"/>
        </w:rPr>
        <w:t>”) business and confidential customer relationships.</w:t>
      </w:r>
    </w:p>
    <w:p>
      <w:pPr>
        <w:spacing w:after="0" w:line="142" w:lineRule="exact"/>
        <w:rPr>
          <w:rFonts w:ascii="Arial" w:cs="Arial" w:eastAsia="Arial" w:hAnsi="Arial"/>
          <w:sz w:val="17"/>
          <w:szCs w:val="17"/>
          <w:color w:val="auto"/>
        </w:rPr>
      </w:pPr>
    </w:p>
    <w:p>
      <w:pPr>
        <w:ind w:left="1360" w:hanging="704"/>
        <w:spacing w:after="0"/>
        <w:tabs>
          <w:tab w:leader="none" w:pos="1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Executive and the Company entered into an Employment Agreement made effective as of August 4, 2010 (the </w:t>
      </w:r>
      <w:r>
        <w:rPr>
          <w:rFonts w:ascii="Arial" w:cs="Arial" w:eastAsia="Arial" w:hAnsi="Arial"/>
          <w:sz w:val="16"/>
          <w:szCs w:val="16"/>
          <w:b w:val="1"/>
          <w:bCs w:val="1"/>
          <w:color w:val="auto"/>
        </w:rPr>
        <w:t>“Original Agreement”</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right="340" w:firstLine="656"/>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consideration for Executive’s agreement to continue his duties and responsibilities as described herein, Executive and the Company desire to amend the Original Agreement to afford Executive additional protection in the event of a change in control of the Company, as set forth more particularly herein.</w:t>
      </w:r>
    </w:p>
    <w:p>
      <w:pPr>
        <w:spacing w:after="0" w:line="17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the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5" w:lineRule="exact"/>
        <w:rPr>
          <w:sz w:val="20"/>
          <w:szCs w:val="20"/>
          <w:color w:val="auto"/>
        </w:rPr>
      </w:pPr>
    </w:p>
    <w:p>
      <w:pPr>
        <w:ind w:firstLine="656"/>
        <w:spacing w:after="0" w:line="266" w:lineRule="auto"/>
        <w:tabs>
          <w:tab w:leader="none" w:pos="1008"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First Amendment</w:t>
      </w:r>
      <w:r>
        <w:rPr>
          <w:rFonts w:ascii="Arial" w:cs="Arial" w:eastAsia="Arial" w:hAnsi="Arial"/>
          <w:sz w:val="18"/>
          <w:szCs w:val="18"/>
          <w:color w:val="auto"/>
        </w:rPr>
        <w:t>. This First Amendment supplements, but does not replace, the Original Agreement. The Original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except as modified specifically herein. Certain terms used in this First Amendment denoted by capital letters are defined in Section 17 of the Original Agreement, except as such defined terms are modified herein.</w:t>
      </w:r>
    </w:p>
    <w:p>
      <w:pPr>
        <w:spacing w:after="0" w:line="176" w:lineRule="exact"/>
        <w:rPr>
          <w:rFonts w:ascii="Arial" w:cs="Arial" w:eastAsia="Arial" w:hAnsi="Arial"/>
          <w:sz w:val="18"/>
          <w:szCs w:val="18"/>
          <w:color w:val="auto"/>
        </w:rPr>
      </w:pPr>
    </w:p>
    <w:p>
      <w:pPr>
        <w:ind w:left="1020" w:hanging="364"/>
        <w:spacing w:after="0"/>
        <w:tabs>
          <w:tab w:leader="none" w:pos="1020"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Amended Term</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17.3 of the Original Agreement is hereby amended by deleting Section 17.3 in its entirety and replacing it with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one of the following after the date of this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with respect to the Company’s parent company, Kratos Defense &amp; Security Solutions, Inc. (“</w:t>
      </w:r>
      <w:r>
        <w:rPr>
          <w:rFonts w:ascii="Arial" w:cs="Arial" w:eastAsia="Arial" w:hAnsi="Arial"/>
          <w:sz w:val="18"/>
          <w:szCs w:val="18"/>
          <w:b w:val="1"/>
          <w:bCs w:val="1"/>
          <w:color w:val="auto"/>
        </w:rPr>
        <w:t>Kratos</w:t>
      </w:r>
      <w:r>
        <w:rPr>
          <w:rFonts w:ascii="Arial" w:cs="Arial" w:eastAsia="Arial" w:hAnsi="Arial"/>
          <w:sz w:val="18"/>
          <w:szCs w:val="18"/>
          <w:color w:val="auto"/>
        </w:rPr>
        <w:t>”):</w:t>
      </w:r>
    </w:p>
    <w:p>
      <w:pPr>
        <w:spacing w:after="0" w:line="211" w:lineRule="exact"/>
        <w:rPr>
          <w:sz w:val="20"/>
          <w:szCs w:val="20"/>
          <w:color w:val="auto"/>
        </w:rPr>
      </w:pPr>
    </w:p>
    <w:p>
      <w:pPr>
        <w:ind w:left="660" w:right="40" w:firstLine="1945"/>
        <w:spacing w:after="0" w:line="342" w:lineRule="auto"/>
        <w:rPr>
          <w:sz w:val="20"/>
          <w:szCs w:val="20"/>
          <w:color w:val="auto"/>
        </w:rPr>
      </w:pPr>
      <w:r>
        <w:rPr>
          <w:rFonts w:ascii="Arial" w:cs="Arial" w:eastAsia="Arial" w:hAnsi="Arial"/>
          <w:sz w:val="16"/>
          <w:szCs w:val="16"/>
          <w:color w:val="auto"/>
        </w:rPr>
        <w:t xml:space="preserve">17.3.1 </w:t>
      </w:r>
      <w:r>
        <w:rPr>
          <w:rFonts w:ascii="Arial" w:cs="Arial" w:eastAsia="Arial" w:hAnsi="Arial"/>
          <w:sz w:val="16"/>
          <w:szCs w:val="16"/>
          <w:u w:val="single" w:color="auto"/>
          <w:color w:val="auto"/>
        </w:rPr>
        <w:t>Acquisition of Controlling Interest</w:t>
      </w:r>
      <w:r>
        <w:rPr>
          <w:rFonts w:ascii="Arial" w:cs="Arial" w:eastAsia="Arial" w:hAnsi="Arial"/>
          <w:sz w:val="16"/>
          <w:szCs w:val="16"/>
          <w:i w:val="1"/>
          <w:iCs w:val="1"/>
          <w:color w:val="auto"/>
        </w:rPr>
        <w:t>.</w:t>
      </w:r>
      <w:r>
        <w:rPr>
          <w:rFonts w:ascii="Arial" w:cs="Arial" w:eastAsia="Arial" w:hAnsi="Arial"/>
          <w:sz w:val="16"/>
          <w:szCs w:val="16"/>
          <w:color w:val="auto"/>
        </w:rPr>
        <w:t xml:space="preserve"> Any person (other than persons who are employed by Kratos or its affiliates at any time more than one year before a transaction) (“</w:t>
      </w:r>
      <w:r>
        <w:rPr>
          <w:rFonts w:ascii="Arial" w:cs="Arial" w:eastAsia="Arial" w:hAnsi="Arial"/>
          <w:sz w:val="16"/>
          <w:szCs w:val="16"/>
          <w:b w:val="1"/>
          <w:bCs w:val="1"/>
          <w:color w:val="auto"/>
        </w:rPr>
        <w:t>Buyer</w:t>
      </w:r>
      <w:r>
        <w:rPr>
          <w:rFonts w:ascii="Arial" w:cs="Arial" w:eastAsia="Arial" w:hAnsi="Arial"/>
          <w:sz w:val="16"/>
          <w:szCs w:val="16"/>
          <w:color w:val="auto"/>
        </w:rPr>
        <w:t>”) becomes the “beneficial owner” within the meaning of Rule 13d-3 of the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Exchange Act of 1934, as amended, directly or indirectly, of Kratos securities representing 50% or more of the combined voting power of Kratos’ then-outstanding securities, but only to the extent that such ownership constitutes a “change in the ownership” of Kratos within the meaning of U.S. Treasury Regulation Section 1.409A-3(i)(5)(v).</w:t>
      </w:r>
    </w:p>
    <w:p>
      <w:pPr>
        <w:spacing w:after="0" w:line="181" w:lineRule="exact"/>
        <w:rPr>
          <w:sz w:val="20"/>
          <w:szCs w:val="20"/>
          <w:color w:val="auto"/>
        </w:rPr>
      </w:pPr>
    </w:p>
    <w:p>
      <w:pPr>
        <w:ind w:left="660" w:right="40" w:firstLine="1945"/>
        <w:spacing w:after="0" w:line="291" w:lineRule="auto"/>
        <w:rPr>
          <w:sz w:val="20"/>
          <w:szCs w:val="20"/>
          <w:color w:val="auto"/>
        </w:rPr>
      </w:pPr>
      <w:r>
        <w:rPr>
          <w:rFonts w:ascii="Arial" w:cs="Arial" w:eastAsia="Arial" w:hAnsi="Arial"/>
          <w:sz w:val="16"/>
          <w:szCs w:val="16"/>
          <w:color w:val="auto"/>
        </w:rPr>
        <w:t xml:space="preserve">17.3.2 </w:t>
      </w:r>
      <w:r>
        <w:rPr>
          <w:rFonts w:ascii="Arial" w:cs="Arial" w:eastAsia="Arial" w:hAnsi="Arial"/>
          <w:sz w:val="16"/>
          <w:szCs w:val="16"/>
          <w:u w:val="single" w:color="auto"/>
          <w:color w:val="auto"/>
        </w:rPr>
        <w:t>Change in Board Control</w:t>
      </w:r>
      <w:r>
        <w:rPr>
          <w:rFonts w:ascii="Arial" w:cs="Arial" w:eastAsia="Arial" w:hAnsi="Arial"/>
          <w:sz w:val="16"/>
          <w:szCs w:val="16"/>
          <w:color w:val="auto"/>
        </w:rPr>
        <w:t>. During any consecutive one-year period commencing after the date of this Agreement, individuals who constituted Kratos’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at the beginning of such period or their approved replacements, as defined in the next sentence (“</w:t>
      </w:r>
      <w:r>
        <w:rPr>
          <w:rFonts w:ascii="Arial" w:cs="Arial" w:eastAsia="Arial" w:hAnsi="Arial"/>
          <w:sz w:val="16"/>
          <w:szCs w:val="16"/>
          <w:b w:val="1"/>
          <w:bCs w:val="1"/>
          <w:color w:val="auto"/>
        </w:rPr>
        <w:t>Beginning Board”</w:t>
      </w:r>
      <w:r>
        <w:rPr>
          <w:rFonts w:ascii="Arial" w:cs="Arial" w:eastAsia="Arial" w:hAnsi="Arial"/>
          <w:sz w:val="16"/>
          <w:szCs w:val="16"/>
          <w:color w:val="auto"/>
        </w:rPr>
        <w:t>) cease for any reason to constitute a majority of the Board. An individual is an “approved replacement” Board member if the Board members then in office who are Beginning Board members approved his or her election (or nomination for election) by majority votes, but in either case excluding any Board member whose initial assumption of office occurred as a result of an actual or threatened solicitation of proxies or consents by or on behalf of any person other than the Board, but only to the extent that such acquisition constitutes a “change in the effective control” of Kratos within the meaning of Treasury Regulation Section 1.409A-3(i)(5)(vi).</w:t>
      </w:r>
    </w:p>
    <w:p>
      <w:pPr>
        <w:spacing w:after="0" w:line="167" w:lineRule="exact"/>
        <w:rPr>
          <w:sz w:val="20"/>
          <w:szCs w:val="20"/>
          <w:color w:val="auto"/>
        </w:rPr>
      </w:pPr>
    </w:p>
    <w:p>
      <w:pPr>
        <w:ind w:left="660" w:right="40" w:firstLine="1945"/>
        <w:spacing w:after="0" w:line="293" w:lineRule="auto"/>
        <w:rPr>
          <w:sz w:val="20"/>
          <w:szCs w:val="20"/>
          <w:color w:val="auto"/>
        </w:rPr>
      </w:pPr>
      <w:r>
        <w:rPr>
          <w:rFonts w:ascii="Arial" w:cs="Arial" w:eastAsia="Arial" w:hAnsi="Arial"/>
          <w:sz w:val="16"/>
          <w:szCs w:val="16"/>
          <w:color w:val="auto"/>
        </w:rPr>
        <w:t xml:space="preserve">17.3.3 </w:t>
      </w:r>
      <w:r>
        <w:rPr>
          <w:rFonts w:ascii="Arial" w:cs="Arial" w:eastAsia="Arial" w:hAnsi="Arial"/>
          <w:sz w:val="16"/>
          <w:szCs w:val="16"/>
          <w:u w:val="single" w:color="auto"/>
          <w:color w:val="auto"/>
        </w:rPr>
        <w:t>Merger</w:t>
      </w:r>
      <w:r>
        <w:rPr>
          <w:rFonts w:ascii="Arial" w:cs="Arial" w:eastAsia="Arial" w:hAnsi="Arial"/>
          <w:sz w:val="16"/>
          <w:szCs w:val="16"/>
          <w:i w:val="1"/>
          <w:iCs w:val="1"/>
          <w:color w:val="auto"/>
        </w:rPr>
        <w:t>.</w:t>
      </w:r>
      <w:r>
        <w:rPr>
          <w:rFonts w:ascii="Arial" w:cs="Arial" w:eastAsia="Arial" w:hAnsi="Arial"/>
          <w:sz w:val="16"/>
          <w:szCs w:val="16"/>
          <w:color w:val="auto"/>
        </w:rPr>
        <w:t xml:space="preserve"> Kratos consummates a merger or consolidation of Kratos with any other corporation unless: (a) the voting securities of Kratos outstanding immediately before the merger or consolidation would continue to represent (either by remaining outstanding or by being converted into voting securities of the surviving entity) at least 50% of the combined voting power of the voting securities of Kratos or such surviving entity outstanding immediately after such merger or consolidation; and (b) no Buyer becomes the “beneficial owner,” directly or indirectly, of Kratos securities representing 50% or more of the combined voting power of Kratos’ then outstanding securities, but only to the extent that such ownership constitutes a “change in the ownership” of Kratos within the meaning of U.S. Treasury Regulation Section 1.409A-3(i)(5)(v).</w:t>
      </w:r>
    </w:p>
    <w:p>
      <w:pPr>
        <w:spacing w:after="0" w:line="165" w:lineRule="exact"/>
        <w:rPr>
          <w:sz w:val="20"/>
          <w:szCs w:val="20"/>
          <w:color w:val="auto"/>
        </w:rPr>
      </w:pPr>
    </w:p>
    <w:p>
      <w:pPr>
        <w:ind w:left="660" w:right="300" w:firstLine="1945"/>
        <w:spacing w:after="0" w:line="264" w:lineRule="auto"/>
        <w:rPr>
          <w:sz w:val="20"/>
          <w:szCs w:val="20"/>
          <w:color w:val="auto"/>
        </w:rPr>
      </w:pPr>
      <w:r>
        <w:rPr>
          <w:rFonts w:ascii="Arial" w:cs="Arial" w:eastAsia="Arial" w:hAnsi="Arial"/>
          <w:sz w:val="18"/>
          <w:szCs w:val="18"/>
          <w:color w:val="auto"/>
        </w:rPr>
        <w:t xml:space="preserve">17.3.4 </w:t>
      </w:r>
      <w:r>
        <w:rPr>
          <w:rFonts w:ascii="Arial" w:cs="Arial" w:eastAsia="Arial" w:hAnsi="Arial"/>
          <w:sz w:val="18"/>
          <w:szCs w:val="18"/>
          <w:u w:val="single" w:color="auto"/>
          <w:color w:val="auto"/>
        </w:rPr>
        <w:t>Sale of Assets</w:t>
      </w:r>
      <w:r>
        <w:rPr>
          <w:rFonts w:ascii="Arial" w:cs="Arial" w:eastAsia="Arial" w:hAnsi="Arial"/>
          <w:sz w:val="18"/>
          <w:szCs w:val="18"/>
          <w:color w:val="auto"/>
        </w:rPr>
        <w:t>. Any Buyer acquires all, or substantially all, of Kratos’ assets, but only to the extent that such acquisition results in a “change in the ownership of a substantial portion” of Kratos’ assets within the meaning of U.S. Treasury Regulation Section 1.409A-3(i)(5)(vii).</w:t>
      </w:r>
    </w:p>
    <w:p>
      <w:pPr>
        <w:spacing w:after="0" w:line="177" w:lineRule="exact"/>
        <w:rPr>
          <w:sz w:val="20"/>
          <w:szCs w:val="20"/>
          <w:color w:val="auto"/>
        </w:rPr>
      </w:pPr>
    </w:p>
    <w:p>
      <w:pPr>
        <w:ind w:left="1020" w:hanging="36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Certain Elections upon Certain Changes of Control</w:t>
      </w:r>
      <w:r>
        <w:rPr>
          <w:rFonts w:ascii="Arial" w:cs="Arial" w:eastAsia="Arial" w:hAnsi="Arial"/>
          <w:sz w:val="18"/>
          <w:szCs w:val="18"/>
          <w:color w:val="auto"/>
        </w:rPr>
        <w:t>. Section 18 is hereby added to the Original Agreement as follows:</w:t>
      </w:r>
    </w:p>
    <w:p>
      <w:pPr>
        <w:spacing w:after="0" w:line="225" w:lineRule="exact"/>
        <w:rPr>
          <w:sz w:val="20"/>
          <w:szCs w:val="20"/>
          <w:color w:val="auto"/>
        </w:rPr>
      </w:pPr>
    </w:p>
    <w:p>
      <w:pPr>
        <w:ind w:left="660" w:right="100" w:hanging="4"/>
        <w:spacing w:after="0" w:line="282"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Additional Election Upon Certain Changes of Control</w:t>
      </w:r>
      <w:r>
        <w:rPr>
          <w:rFonts w:ascii="Arial" w:cs="Arial" w:eastAsia="Arial" w:hAnsi="Arial"/>
          <w:sz w:val="18"/>
          <w:szCs w:val="18"/>
          <w:color w:val="auto"/>
        </w:rPr>
        <w:t>. If Kratos enters into a definitive agreement (“</w:t>
      </w:r>
      <w:r>
        <w:rPr>
          <w:rFonts w:ascii="Arial" w:cs="Arial" w:eastAsia="Arial" w:hAnsi="Arial"/>
          <w:sz w:val="18"/>
          <w:szCs w:val="18"/>
          <w:b w:val="1"/>
          <w:bCs w:val="1"/>
          <w:color w:val="auto"/>
        </w:rPr>
        <w:t>Definitive Agreement</w:t>
      </w:r>
      <w:r>
        <w:rPr>
          <w:rFonts w:ascii="Arial" w:cs="Arial" w:eastAsia="Arial" w:hAnsi="Arial"/>
          <w:sz w:val="18"/>
          <w:szCs w:val="18"/>
          <w:color w:val="auto"/>
        </w:rPr>
        <w:t>”) that would result in a Change of Control as defined herein, Executive shall have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options in connection with the consummation of the Change of Control, but only to the extent that the Definitive Agreement so provides: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to the extent that Kratos is the surviving entity in the Change of Control, Executive may elect to retain, immediately after the consummation of</w:t>
      </w:r>
    </w:p>
    <w:p>
      <w:pPr>
        <w:sectPr>
          <w:pgSz w:w="11900" w:h="16865" w:orient="portrait"/>
          <w:cols w:equalWidth="0" w:num="1">
            <w:col w:w="11420"/>
          </w:cols>
          <w:pgMar w:left="240" w:top="121" w:right="239" w:bottom="0" w:gutter="0" w:footer="0" w:header="0"/>
        </w:sectPr>
      </w:pPr>
    </w:p>
    <w:bookmarkStart w:id="52" w:name="page53"/>
    <w:bookmarkEnd w:id="52"/>
    <w:p>
      <w:pPr>
        <w:ind w:left="660" w:right="20"/>
        <w:spacing w:after="0" w:line="270" w:lineRule="auto"/>
        <w:rPr>
          <w:sz w:val="20"/>
          <w:szCs w:val="20"/>
          <w:color w:val="auto"/>
        </w:rPr>
      </w:pPr>
      <w:r>
        <w:rPr>
          <w:rFonts w:ascii="Arial" w:cs="Arial" w:eastAsia="Arial" w:hAnsi="Arial"/>
          <w:sz w:val="17"/>
          <w:szCs w:val="17"/>
          <w:color w:val="auto"/>
        </w:rPr>
        <w:t>the Change of Control, ownership of Kratos equity with a fair market value immediately after the consummation of the Change of Control that is equal to no less than 50% of the fair market value of his equity interests in Kratos (including stock options and restricted stock) immediately prior to the consummation of the Change of Control, or (b) in the event that Kratos is not the surviving entity in a Change of Control, Executive may elect to require that no less than 50% of his equity interests in Kratos (including stock options and restricted stock) be converted into the same form of equity interest (i.e., common stock, stock options, restricted stock, etc.) of the surviving entity or its parent such that the fair market value of his ownership in the surviving entity immediately following the Change of Control is no less than the fair market value of his converted ownership interest in Kratos immediately prior to the consummation of the Change of Control. A Definitive Agreement may contain other or no options and Kratos shall have no obligation to ensure that a Definitive Agreement provides for any of the foregoing options and shall not be responsible for ensuring any particular tax treatment. Kratos’ compliance with the foregoing shall be determined without regard to the tax effect of the transaction resulting in a Change of Control.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First Amendment to Employment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THE COMPANY:</w:t>
            </w: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r>
      <w:tr>
        <w:trPr>
          <w:trHeight w:val="234"/>
        </w:trPr>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Kratos Defense Engineering Solutions, Inc.</w:t>
            </w:r>
          </w:p>
        </w:tc>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gridSpan w:val="3"/>
          </w:tcPr>
          <w:p>
            <w:pPr>
              <w:ind w:left="140"/>
              <w:spacing w:after="0"/>
              <w:rPr>
                <w:sz w:val="20"/>
                <w:szCs w:val="20"/>
                <w:color w:val="auto"/>
              </w:rPr>
            </w:pPr>
            <w:r>
              <w:rPr>
                <w:rFonts w:ascii="Arial" w:cs="Arial" w:eastAsia="Arial" w:hAnsi="Arial"/>
                <w:sz w:val="18"/>
                <w:szCs w:val="18"/>
                <w:color w:val="auto"/>
              </w:rPr>
              <w:t>/s/ Eric DeMarco</w:t>
            </w:r>
          </w:p>
        </w:tc>
        <w:tc>
          <w:tcPr>
            <w:tcW w:w="5380" w:type="dxa"/>
            <w:vAlign w:val="bottom"/>
            <w:gridSpan w:val="2"/>
          </w:tcPr>
          <w:p>
            <w:pPr>
              <w:spacing w:after="0"/>
              <w:rPr>
                <w:sz w:val="20"/>
                <w:szCs w:val="20"/>
                <w:color w:val="auto"/>
              </w:rPr>
            </w:pPr>
            <w:r>
              <w:rPr>
                <w:rFonts w:ascii="Arial" w:cs="Arial" w:eastAsia="Arial" w:hAnsi="Arial"/>
                <w:sz w:val="18"/>
                <w:szCs w:val="18"/>
                <w:color w:val="auto"/>
              </w:rPr>
              <w:t>/s/ Richard Selvaggio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DeMarco</w:t>
            </w:r>
          </w:p>
        </w:tc>
        <w:tc>
          <w:tcPr>
            <w:tcW w:w="600" w:type="dxa"/>
            <w:vAlign w:val="bottom"/>
          </w:tcPr>
          <w:p>
            <w:pPr>
              <w:spacing w:after="0"/>
              <w:rPr>
                <w:sz w:val="16"/>
                <w:szCs w:val="16"/>
                <w:color w:val="auto"/>
              </w:rPr>
            </w:pPr>
          </w:p>
        </w:tc>
        <w:tc>
          <w:tcPr>
            <w:tcW w:w="53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Richard Selvaggio</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420" w:type="dxa"/>
            <w:vAlign w:val="bottom"/>
            <w:gridSpan w:val="3"/>
          </w:tcPr>
          <w:p>
            <w:pPr>
              <w:ind w:left="140"/>
              <w:spacing w:after="0"/>
              <w:rPr>
                <w:sz w:val="20"/>
                <w:szCs w:val="20"/>
                <w:color w:val="auto"/>
              </w:rPr>
            </w:pPr>
            <w:r>
              <w:rPr>
                <w:rFonts w:ascii="Arial" w:cs="Arial" w:eastAsia="Arial" w:hAnsi="Arial"/>
                <w:sz w:val="18"/>
                <w:szCs w:val="18"/>
                <w:color w:val="auto"/>
              </w:rPr>
              <w:t>President and CEO</w:t>
            </w: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20"/>
              <w:spacing w:after="0"/>
              <w:rPr>
                <w:sz w:val="20"/>
                <w:szCs w:val="20"/>
                <w:color w:val="auto"/>
              </w:rPr>
            </w:pPr>
            <w:r>
              <w:rPr>
                <w:rFonts w:ascii="Arial" w:cs="Arial" w:eastAsia="Arial" w:hAnsi="Arial"/>
                <w:sz w:val="18"/>
                <w:szCs w:val="18"/>
                <w:color w:val="auto"/>
              </w:rPr>
              <w:t>Division President, WSS</w:t>
            </w:r>
          </w:p>
        </w:tc>
      </w:tr>
      <w:tr>
        <w:trPr>
          <w:trHeight w:val="230"/>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120"/>
              <w:spacing w:after="0"/>
              <w:rPr>
                <w:sz w:val="20"/>
                <w:szCs w:val="20"/>
                <w:color w:val="auto"/>
              </w:rPr>
            </w:pPr>
            <w:r>
              <w:rPr>
                <w:rFonts w:ascii="Arial" w:cs="Arial" w:eastAsia="Arial" w:hAnsi="Arial"/>
                <w:sz w:val="18"/>
                <w:szCs w:val="18"/>
                <w:color w:val="auto"/>
              </w:rPr>
              <w:t>August 4, 2011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4820 Eastgate Mall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President and CEO</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Law Department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line="22"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KRATOS DEFENSE &amp; SECURITY SOLUTIONS, INC.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ectPr>
          <w:pgSz w:w="11900" w:h="16860" w:orient="portrait"/>
          <w:cols w:equalWidth="0" w:num="1">
            <w:col w:w="11420"/>
          </w:cols>
          <w:pgMar w:left="240" w:top="121" w:right="239" w:bottom="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Indemnification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effective as of</w:t>
      </w:r>
    </w:p>
    <w:p>
      <w:pPr>
        <w:spacing w:after="0" w:line="23"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 xml:space="preserve">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2011 by and between Kratos Defense &amp; Security Solutions, Inc.,</w:t>
      </w:r>
    </w:p>
    <w:p>
      <w:pPr>
        <w:spacing w:after="0" w:line="453" w:lineRule="exact"/>
        <w:rPr>
          <w:sz w:val="20"/>
          <w:szCs w:val="20"/>
          <w:color w:val="auto"/>
        </w:rPr>
      </w:pPr>
    </w:p>
    <w:p>
      <w:pPr>
        <w:sectPr>
          <w:pgSz w:w="11900" w:h="16860" w:orient="portrait"/>
          <w:cols w:equalWidth="0" w:num="2">
            <w:col w:w="6160" w:space="480"/>
            <w:col w:w="4780"/>
          </w:cols>
          <w:pgMar w:left="240" w:top="121" w:right="239" w:bottom="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the continued difficulty in obtaining liability insurance for its directors, officers, employees,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fiduciaries and other agents and affiliates, the significant increases in the cost of such insurance and the general reductions in the coverage of such insurance;</w:t>
      </w:r>
    </w:p>
    <w:p>
      <w:pPr>
        <w:spacing w:after="0" w:line="176"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further recognizes the substantial increase in corporate litigation in general, subjecting directors, officers,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persons, fiduciaries and other agents and affiliates to expensive litigation risks at the same time as the availability and coverage of liability insurance has been severely limited;</w:t>
      </w:r>
    </w:p>
    <w:p>
      <w:pPr>
        <w:spacing w:after="0" w:line="17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current protection available to directors, officers, employees, controlling persons, fiduciaries and other agents and affiliates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not be adequate under the present circumstances, and directors, officers, employees, controlling persons, fiduciaries and other agents and affiliates of the Company (or persons who may be alleged or deemed to be the same), including the Indemnitee, may not be willing to continue to serve or be associated with the Company in such capacities without additional protection;</w:t>
      </w:r>
    </w:p>
    <w:p>
      <w:pPr>
        <w:spacing w:after="0" w:line="18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 desires to attract and retain the involvement of highly qualified persons, such as the Indemnitee, to serve and be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Company, and (b) accordingly, wishes to provide for the indemnification and advancement of expenses to the Indemnitee to the maximum extent permitted by law; and</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view of the considerations set forth above, the Company desires that the Indemnitee shall be indemnified and advanced expenses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as set forth herein.</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contained herein,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right="60" w:firstLine="1305"/>
        <w:spacing w:after="0" w:line="257" w:lineRule="auto"/>
        <w:tabs>
          <w:tab w:leader="none" w:pos="1965"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shall be deemed to have occurred if, on or after the date of this Agreement, (i) any “person” (as such term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used in Sections 13(d) and 14(d)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 (as defined in Rule 13d-3 under said Exchange Act), directly or indirectly,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securities of the Company representing more than twenty percent (20%) of the total voting power represented by the Company’s then outstanding Voting Securities (as defined below), (ii) during any period of two (2) consecutive years, individuals who at the beginning of such period constitute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(iv) the stockholders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83" w:lineRule="exact"/>
        <w:rPr>
          <w:sz w:val="20"/>
          <w:szCs w:val="20"/>
          <w:color w:val="auto"/>
        </w:rPr>
      </w:pPr>
    </w:p>
    <w:p>
      <w:pPr>
        <w:ind w:right="100" w:firstLine="1227"/>
        <w:spacing w:after="0" w:line="259" w:lineRule="auto"/>
        <w:tabs>
          <w:tab w:leader="none" w:pos="1979"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shall mean with respect to a Covered Event (as defined below): any threatened, asserted, pending or completed 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 proceeding or alternative dispute resolution mechanism, or any hearing, inquiry or investigation, whether conducted by the Company or any other party, that the Indemnitee in good faith believes might lead to the institution of any such action, suit, proceeding or alternative dispute resolution mechanism, whether civil, criminal, administrative, investigative or other.</w:t>
      </w:r>
    </w:p>
    <w:p>
      <w:pPr>
        <w:spacing w:after="0" w:line="186" w:lineRule="exact"/>
        <w:rPr>
          <w:rFonts w:ascii="Arial" w:cs="Arial" w:eastAsia="Arial" w:hAnsi="Arial"/>
          <w:sz w:val="18"/>
          <w:szCs w:val="18"/>
          <w:b w:val="1"/>
          <w:bCs w:val="1"/>
          <w:color w:val="auto"/>
        </w:rPr>
      </w:pPr>
    </w:p>
    <w:p>
      <w:pPr>
        <w:ind w:right="40" w:firstLine="1305"/>
        <w:spacing w:after="0" w:line="291" w:lineRule="auto"/>
        <w:tabs>
          <w:tab w:leader="none" w:pos="1955" w:val="left"/>
        </w:tabs>
        <w:numPr>
          <w:ilvl w:val="1"/>
          <w:numId w:val="68"/>
        </w:numPr>
        <w:rPr>
          <w:rFonts w:ascii="Arial" w:cs="Arial" w:eastAsia="Arial" w:hAnsi="Arial"/>
          <w:sz w:val="16"/>
          <w:szCs w:val="16"/>
          <w:b w:val="1"/>
          <w:bCs w:val="1"/>
          <w:color w:val="auto"/>
        </w:rPr>
      </w:pPr>
      <w:r>
        <w:rPr>
          <w:rFonts w:ascii="Arial" w:cs="Arial" w:eastAsia="Arial" w:hAnsi="Arial"/>
          <w:sz w:val="16"/>
          <w:szCs w:val="16"/>
          <w:color w:val="auto"/>
        </w:rPr>
        <w:t xml:space="preserve">References 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shall include, in addition to Kratos Defense &amp; Security Solutions, Inc., any constituent corporation (including any constituent of a constituent) absorbed in a consolidation or merger to which Kratos Defense &amp; Security Solutions, Inc. (or any of its wholly owned subsidiaries) is a party, which, if its separate existence had continued, would have had power and authority to indemnify its directors, officers, employees, agents or fiduciaries, so that if the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the Indemnitee shall stand in the same position under the provisions of this Agreement with respect to the resulting or surviving corporation as the Indemnitee would have with respect to such constituent corporation if its separate existence had continued.</w:t>
      </w:r>
    </w:p>
    <w:p>
      <w:pPr>
        <w:spacing w:after="0" w:line="167" w:lineRule="exact"/>
        <w:rPr>
          <w:sz w:val="20"/>
          <w:szCs w:val="20"/>
          <w:color w:val="auto"/>
        </w:rPr>
      </w:pPr>
    </w:p>
    <w:p>
      <w:pPr>
        <w:ind w:right="140" w:firstLine="1227"/>
        <w:spacing w:after="0" w:line="279" w:lineRule="auto"/>
        <w:tabs>
          <w:tab w:leader="none" w:pos="1979"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“Covered Event” </w:t>
      </w:r>
      <w:r>
        <w:rPr>
          <w:rFonts w:ascii="Arial" w:cs="Arial" w:eastAsia="Arial" w:hAnsi="Arial"/>
          <w:sz w:val="17"/>
          <w:szCs w:val="17"/>
          <w:color w:val="auto"/>
        </w:rPr>
        <w:t>shall mean any event or occurrence that takes place either prior to or after the execution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fact that the Indemnitee is or was a director, officer, employee, agent or fiduciary of the Company, or any subsidiary of the Company, or is or was serving at the request of the Company as a director, officer, employee, agent or fiduciary of another corporation, partnership, joint venture, trust or other enterprise, or by reason of any action or inaction on the part of the Indemnitee while serving in such capacity.</w:t>
      </w:r>
    </w:p>
    <w:p>
      <w:pPr>
        <w:sectPr>
          <w:pgSz w:w="11900" w:h="16860" w:orient="portrait"/>
          <w:cols w:equalWidth="0" w:num="1">
            <w:col w:w="11420"/>
          </w:cols>
          <w:pgMar w:left="240" w:top="121" w:right="239" w:bottom="0" w:gutter="0" w:footer="0" w:header="0"/>
          <w:type w:val="continuous"/>
        </w:sectPr>
      </w:pPr>
    </w:p>
    <w:bookmarkStart w:id="54" w:name="page55"/>
    <w:bookmarkEnd w:id="54"/>
    <w:p>
      <w:pPr>
        <w:ind w:right="220" w:firstLine="1232"/>
        <w:spacing w:after="0" w:line="266" w:lineRule="auto"/>
        <w:tabs>
          <w:tab w:leader="none" w:pos="1951"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“Expense Advance” </w:t>
      </w:r>
      <w:r>
        <w:rPr>
          <w:rFonts w:ascii="Arial" w:cs="Arial" w:eastAsia="Arial" w:hAnsi="Arial"/>
          <w:sz w:val="18"/>
          <w:szCs w:val="18"/>
          <w:color w:val="auto"/>
        </w:rPr>
        <w:t>shall mean a payment to the Indemnitee for Expenses (as defined below)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 of the settlement of or final judgment in any action, suit, proceeding or alternative dispute resolution mechanism, hearing, inquiry or investigation, which constitutes a Claim.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3" w:lineRule="auto"/>
        <w:tabs>
          <w:tab w:leader="none" w:pos="1963"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shall mean any and all direct and indirect costs, losses, claims, damages, fees, expenses and liabilities, joint or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attorneys’ fees and all other costs, expenses and obligations incurred in connection with investigating, defending, being a witness in or participating in (including on appeal), or preparing to defend, to be a witness in or to participate in, any action, suit, proceeding, alternative dispute resolution mechanism, hearing, inquiry or investigation), judgments, fines, penalties and amounts paid or to be paid in settlement (if such settlement is approved in advance by the Company, which approval shall not be unreasonably withheld) reasonably incurred as a result of any Claim and any federal, state, local or foreign taxes imposed on the Indemnitee as a result of the actual or deemed receipt of any payments under this Agreement.</w:t>
      </w:r>
    </w:p>
    <w:p>
      <w:pPr>
        <w:spacing w:after="0" w:line="178" w:lineRule="exact"/>
        <w:rPr>
          <w:rFonts w:ascii="Arial" w:cs="Arial" w:eastAsia="Arial" w:hAnsi="Arial"/>
          <w:sz w:val="17"/>
          <w:szCs w:val="17"/>
          <w:b w:val="1"/>
          <w:bCs w:val="1"/>
          <w:color w:val="auto"/>
        </w:rPr>
      </w:pPr>
    </w:p>
    <w:p>
      <w:pPr>
        <w:ind w:left="1960" w:hanging="655"/>
        <w:spacing w:after="0"/>
        <w:tabs>
          <w:tab w:leader="none" w:pos="196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“Independent Legal Counsel” </w:t>
      </w:r>
      <w:r>
        <w:rPr>
          <w:rFonts w:ascii="Arial" w:cs="Arial" w:eastAsia="Arial" w:hAnsi="Arial"/>
          <w:sz w:val="17"/>
          <w:szCs w:val="17"/>
          <w:color w:val="auto"/>
        </w:rPr>
        <w:t>shall mean an attorney or firm of attorneys, selected in accordance with the provisions of</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Section 2(d) </w:t>
      </w:r>
      <w:r>
        <w:rPr>
          <w:rFonts w:ascii="Arial" w:cs="Arial" w:eastAsia="Arial" w:hAnsi="Arial"/>
          <w:sz w:val="17"/>
          <w:szCs w:val="17"/>
          <w:color w:val="auto"/>
        </w:rPr>
        <w:t>hereof, who shall not have otherwise performed services for the Company or the Indemnitee within the last five (5) years (other than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matters concerning the rights of the Indemnitee under this Agreement, or of other indemnitees under similar indemnification agreements) and shall not include any person who, under the applicable standards of professional conduct then prevailing, would have a conflict of interest in representing either the Company or the Indemnitee in an action to determine the Indemnitee’s rights under this Agreement.</w:t>
      </w:r>
    </w:p>
    <w:p>
      <w:pPr>
        <w:spacing w:after="0" w:line="177" w:lineRule="exact"/>
        <w:rPr>
          <w:sz w:val="20"/>
          <w:szCs w:val="20"/>
          <w:color w:val="auto"/>
        </w:rPr>
      </w:pPr>
    </w:p>
    <w:p>
      <w:pPr>
        <w:ind w:right="100" w:firstLine="1305"/>
        <w:spacing w:after="0" w:line="273" w:lineRule="auto"/>
        <w:tabs>
          <w:tab w:leader="none" w:pos="1962"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 xml:space="preserve">References to </w:t>
      </w:r>
      <w:r>
        <w:rPr>
          <w:rFonts w:ascii="Arial" w:cs="Arial" w:eastAsia="Arial" w:hAnsi="Arial"/>
          <w:sz w:val="17"/>
          <w:szCs w:val="17"/>
          <w:b w:val="1"/>
          <w:bCs w:val="1"/>
          <w:i w:val="1"/>
          <w:iCs w:val="1"/>
          <w:color w:val="auto"/>
        </w:rPr>
        <w:t>“other enterprises”</w:t>
      </w:r>
      <w:r>
        <w:rPr>
          <w:rFonts w:ascii="Arial" w:cs="Arial" w:eastAsia="Arial" w:hAnsi="Arial"/>
          <w:sz w:val="17"/>
          <w:szCs w:val="17"/>
          <w:color w:val="auto"/>
        </w:rPr>
        <w:t xml:space="preserve">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xml:space="preserve"> shall include any excise taxes assessed on the Indemnitee with respect to an employee benefit plan; and references to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its beneficiaries; and if the Indemnitee acted in good faith and in a manner the Indemnitee reasonably believed to be in the interest of the participants and beneficiaries of an employee benefit plan, the Indemnitee shall be deemed to have acted in a manner </w:t>
      </w:r>
      <w:r>
        <w:rPr>
          <w:rFonts w:ascii="Arial" w:cs="Arial" w:eastAsia="Arial" w:hAnsi="Arial"/>
          <w:sz w:val="17"/>
          <w:szCs w:val="17"/>
          <w:b w:val="1"/>
          <w:bCs w:val="1"/>
          <w:i w:val="1"/>
          <w:iCs w:val="1"/>
          <w:color w:val="auto"/>
        </w:rPr>
        <w:t>“not opposed to the best interests of the Company”</w:t>
      </w:r>
      <w:r>
        <w:rPr>
          <w:rFonts w:ascii="Arial" w:cs="Arial" w:eastAsia="Arial" w:hAnsi="Arial"/>
          <w:sz w:val="17"/>
          <w:szCs w:val="17"/>
          <w:color w:val="auto"/>
        </w:rPr>
        <w:t xml:space="preserve"> as referred to in this Agreement.</w:t>
      </w:r>
    </w:p>
    <w:p>
      <w:pPr>
        <w:spacing w:after="0" w:line="178" w:lineRule="exact"/>
        <w:rPr>
          <w:rFonts w:ascii="Arial" w:cs="Arial" w:eastAsia="Arial" w:hAnsi="Arial"/>
          <w:sz w:val="17"/>
          <w:szCs w:val="17"/>
          <w:b w:val="1"/>
          <w:bCs w:val="1"/>
          <w:color w:val="auto"/>
        </w:rPr>
      </w:pPr>
    </w:p>
    <w:p>
      <w:pPr>
        <w:ind w:firstLine="1305"/>
        <w:spacing w:after="0" w:line="254" w:lineRule="auto"/>
        <w:tabs>
          <w:tab w:leader="none" w:pos="195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“Potential Change in Control” </w:t>
      </w:r>
      <w:r>
        <w:rPr>
          <w:rFonts w:ascii="Arial" w:cs="Arial" w:eastAsia="Arial" w:hAnsi="Arial"/>
          <w:sz w:val="18"/>
          <w:szCs w:val="18"/>
          <w:color w:val="auto"/>
        </w:rPr>
        <w:t>shall be deemed to have occurred if, on or after the date of this Agreement, (i) the Company enters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an agreement, the consummation of which would result in the occurrence of a Change in Control; (ii) a person (including the Company) publicly announces a legitimate intention to take or to consider taking actions which if consummated would constitute a Change in Control; (iii) any person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 directly or indirectly, of securities of the Company representing more than nine and one half percent (9.5%) of the total voting power represented by the Company’s then outstanding Voting Securities (as defined below); or (iv) the Board adopts a resolution to the effect that, for purposes of this Agreement, a Potential Change in Control has occurred.</w:t>
      </w:r>
    </w:p>
    <w:p>
      <w:pPr>
        <w:spacing w:after="0" w:line="188" w:lineRule="exact"/>
        <w:rPr>
          <w:rFonts w:ascii="Arial" w:cs="Arial" w:eastAsia="Arial" w:hAnsi="Arial"/>
          <w:sz w:val="18"/>
          <w:szCs w:val="18"/>
          <w:b w:val="1"/>
          <w:bCs w:val="1"/>
          <w:color w:val="auto"/>
        </w:rPr>
      </w:pPr>
    </w:p>
    <w:p>
      <w:pPr>
        <w:ind w:right="280" w:firstLine="1305"/>
        <w:spacing w:after="0" w:line="261" w:lineRule="auto"/>
        <w:tabs>
          <w:tab w:leader="none" w:pos="196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“Reviewing Party” </w:t>
      </w:r>
      <w:r>
        <w:rPr>
          <w:rFonts w:ascii="Arial" w:cs="Arial" w:eastAsia="Arial" w:hAnsi="Arial"/>
          <w:sz w:val="18"/>
          <w:szCs w:val="18"/>
          <w:color w:val="auto"/>
        </w:rPr>
        <w:t>shall mean, subject to the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any person or body appointed by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applicable law to review the Company’s obligations hereunder and under applicable law, which may include a member or members of the Board, Independent Legal Counsel or any other person or body not a party to the particular Claim for which the Indemnitee is seeking indemnification, exoneration or hold harmless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“Section” </w:t>
      </w:r>
      <w:r>
        <w:rPr>
          <w:rFonts w:ascii="Arial" w:cs="Arial" w:eastAsia="Arial" w:hAnsi="Arial"/>
          <w:sz w:val="18"/>
          <w:szCs w:val="18"/>
          <w:color w:val="auto"/>
        </w:rPr>
        <w:t>refers to a section of this Agreement unless otherwise indicated.</w:t>
      </w:r>
    </w:p>
    <w:p>
      <w:pPr>
        <w:spacing w:after="0" w:line="225" w:lineRule="exact"/>
        <w:rPr>
          <w:rFonts w:ascii="Arial" w:cs="Arial" w:eastAsia="Arial" w:hAnsi="Arial"/>
          <w:sz w:val="18"/>
          <w:szCs w:val="18"/>
          <w:b w:val="1"/>
          <w:bCs w:val="1"/>
          <w:color w:val="auto"/>
        </w:rPr>
      </w:pPr>
    </w:p>
    <w:p>
      <w:pPr>
        <w:ind w:left="1960" w:hanging="655"/>
        <w:spacing w:after="0"/>
        <w:tabs>
          <w:tab w:leader="none" w:pos="196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“Voting Securities” </w:t>
      </w:r>
      <w:r>
        <w:rPr>
          <w:rFonts w:ascii="Arial" w:cs="Arial" w:eastAsia="Arial" w:hAnsi="Arial"/>
          <w:sz w:val="18"/>
          <w:szCs w:val="18"/>
          <w:color w:val="auto"/>
        </w:rPr>
        <w:t>shall mean any securities of the Company that vote generally in the election of directors.</w:t>
      </w:r>
    </w:p>
    <w:p>
      <w:pPr>
        <w:spacing w:after="0" w:line="22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rFonts w:ascii="Arial" w:cs="Arial" w:eastAsia="Arial" w:hAnsi="Arial"/>
          <w:sz w:val="18"/>
          <w:szCs w:val="18"/>
          <w:b w:val="1"/>
          <w:bCs w:val="1"/>
          <w:color w:val="auto"/>
        </w:rPr>
      </w:pPr>
    </w:p>
    <w:p>
      <w:pPr>
        <w:jc w:val="both"/>
        <w:ind w:right="200" w:firstLine="1305"/>
        <w:spacing w:after="0" w:line="281" w:lineRule="auto"/>
        <w:tabs>
          <w:tab w:leader="none" w:pos="1965"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of Expenses</w:t>
      </w:r>
      <w:r>
        <w:rPr>
          <w:rFonts w:ascii="Arial" w:cs="Arial" w:eastAsia="Arial" w:hAnsi="Arial"/>
          <w:sz w:val="17"/>
          <w:szCs w:val="17"/>
          <w:color w:val="auto"/>
        </w:rPr>
        <w:t>. Subject to the provisions of</w:t>
      </w:r>
      <w:r>
        <w:rPr>
          <w:rFonts w:ascii="Arial" w:cs="Arial" w:eastAsia="Arial" w:hAnsi="Arial"/>
          <w:sz w:val="17"/>
          <w:szCs w:val="17"/>
          <w:b w:val="1"/>
          <w:bCs w:val="1"/>
          <w:color w:val="auto"/>
        </w:rPr>
        <w:t xml:space="preserve"> Section 2(b) </w:t>
      </w:r>
      <w:r>
        <w:rPr>
          <w:rFonts w:ascii="Arial" w:cs="Arial" w:eastAsia="Arial" w:hAnsi="Arial"/>
          <w:sz w:val="17"/>
          <w:szCs w:val="17"/>
          <w:color w:val="auto"/>
        </w:rPr>
        <w:t>below, the Company shall indemnify, exonerate or hold</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the Indemnitee for Expenses to the fullest extent permitted by law if the Indemnitee was or is or becomes a party to or witness or other participant in, or is threatened to be made a party to or witness or other participant in, any Claim (whether by reason of or arising in part out of a Covered Event), including all interest, assessments and other charges incurred in connection with or in respect of such Expenses.</w:t>
      </w:r>
    </w:p>
    <w:p>
      <w:pPr>
        <w:spacing w:after="0" w:line="164" w:lineRule="exact"/>
        <w:rPr>
          <w:rFonts w:ascii="Arial" w:cs="Arial" w:eastAsia="Arial" w:hAnsi="Arial"/>
          <w:sz w:val="17"/>
          <w:szCs w:val="17"/>
          <w:b w:val="1"/>
          <w:bCs w:val="1"/>
          <w:color w:val="auto"/>
        </w:rPr>
      </w:pPr>
    </w:p>
    <w:p>
      <w:pPr>
        <w:ind w:firstLine="1305"/>
        <w:spacing w:after="0" w:line="270" w:lineRule="auto"/>
        <w:tabs>
          <w:tab w:leader="none" w:pos="1976"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Review of Indemnification Obligations</w:t>
      </w:r>
      <w:r>
        <w:rPr>
          <w:rFonts w:ascii="Arial" w:cs="Arial" w:eastAsia="Arial" w:hAnsi="Arial"/>
          <w:sz w:val="17"/>
          <w:szCs w:val="17"/>
          <w:color w:val="auto"/>
        </w:rPr>
        <w:t>. Notwithstanding the foregoing, in the event any Reviewing Party shall have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a written opinion, in any case in which Independent Legal Counsel is the Reviewing Party) that the Indemnitee is not entitled to be indemnified, exonerated or held harmless hereunder under applicable law, (i) the Company shall have no further obligation under </w:t>
      </w:r>
      <w:r>
        <w:rPr>
          <w:rFonts w:ascii="Arial" w:cs="Arial" w:eastAsia="Arial" w:hAnsi="Arial"/>
          <w:sz w:val="17"/>
          <w:szCs w:val="17"/>
          <w:b w:val="1"/>
          <w:bCs w:val="1"/>
          <w:color w:val="auto"/>
        </w:rPr>
        <w:t>Section 2(a)</w:t>
      </w:r>
      <w:r>
        <w:rPr>
          <w:rFonts w:ascii="Arial" w:cs="Arial" w:eastAsia="Arial" w:hAnsi="Arial"/>
          <w:sz w:val="17"/>
          <w:szCs w:val="17"/>
          <w:color w:val="auto"/>
        </w:rPr>
        <w:t xml:space="preserve"> hereof to make any payments to the Indemnitee not made prior to such determination by such Reviewing Party and (ii) the Company shall be entitled to be reimbursed in accordance with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Indemnitee has commenced or thereafter commences legal proceedings in a court of competent jurisdiction to secure a determination that the Indemnitee is entitled to be indemnified, exonerated or held harmless hereunder under applicable law, any determination made by any Reviewing Party that the Indemnitee is not entitled to be indemnified hereunder under applicable law shall not be binding and the Indemnitee shall not be required to reimburse the Company for any Expense Advances until a final judicial determination is made with respect thereto (as to which all rights of appeal therefrom have been exhausted or lapsed). The Indemnitee’s obligation to reimburse the Company for any Expense Advances shall be unsecured and no interest shall be charged thereon.</w:t>
      </w:r>
    </w:p>
    <w:p>
      <w:pPr>
        <w:spacing w:after="0" w:line="177" w:lineRule="exact"/>
        <w:rPr>
          <w:rFonts w:ascii="Arial" w:cs="Arial" w:eastAsia="Arial" w:hAnsi="Arial"/>
          <w:sz w:val="17"/>
          <w:szCs w:val="17"/>
          <w:b w:val="1"/>
          <w:bCs w:val="1"/>
          <w:color w:val="auto"/>
        </w:rPr>
      </w:pPr>
    </w:p>
    <w:p>
      <w:pPr>
        <w:ind w:right="140" w:firstLine="1305"/>
        <w:spacing w:after="0" w:line="295" w:lineRule="auto"/>
        <w:tabs>
          <w:tab w:leader="none" w:pos="1955"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Indemnitee Rights on Unfavorable Determination; Binding Effect</w:t>
      </w:r>
      <w:r>
        <w:rPr>
          <w:rFonts w:ascii="Arial" w:cs="Arial" w:eastAsia="Arial" w:hAnsi="Arial"/>
          <w:sz w:val="16"/>
          <w:szCs w:val="16"/>
          <w:color w:val="auto"/>
        </w:rPr>
        <w:t>. If any Reviewing Party determines that the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substantively is not entitled to be indemnified, exonerated or held harmless hereunder in whole or in part under applicable law, the Indemnitee shall have the right to commence litigation seeking an initial determination by the court or challenging any such determination by such Reviewing Party or any aspect thereof, including the legal or factual bases therefor, and the Company hereby consents to service of process and to appear in any such proceeding.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w:t>
      </w:r>
    </w:p>
    <w:p>
      <w:pPr>
        <w:sectPr>
          <w:pgSz w:w="11900" w:h="16838" w:orient="portrait"/>
          <w:cols w:equalWidth="0" w:num="1">
            <w:col w:w="11420"/>
          </w:cols>
          <w:pgMar w:left="240" w:top="337" w:right="239" w:bottom="0" w:gutter="0" w:footer="0" w:header="0"/>
        </w:sectPr>
      </w:pPr>
    </w:p>
    <w:bookmarkStart w:id="55" w:name="page56"/>
    <w:bookmarkEnd w:id="55"/>
    <w:p>
      <w:pPr>
        <w:spacing w:after="0" w:line="11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days following the date on which Indemnitee first has the right to commence such proceeding pursuant to this </w:t>
      </w:r>
      <w:r>
        <w:rPr>
          <w:rFonts w:ascii="Arial" w:cs="Arial" w:eastAsia="Arial" w:hAnsi="Arial"/>
          <w:sz w:val="18"/>
          <w:szCs w:val="18"/>
          <w:b w:val="1"/>
          <w:bCs w:val="1"/>
          <w:color w:val="auto"/>
        </w:rPr>
        <w:t>Section 2(c)</w:t>
      </w:r>
      <w:r>
        <w:rPr>
          <w:rFonts w:ascii="Arial" w:cs="Arial" w:eastAsia="Arial" w:hAnsi="Arial"/>
          <w:sz w:val="18"/>
          <w:szCs w:val="18"/>
          <w:color w:val="auto"/>
        </w:rPr>
        <w:t>. The Company shall not oppose Indemnitee’s right to seek any such adjudication or award in arbitration.</w:t>
      </w:r>
    </w:p>
    <w:p>
      <w:pPr>
        <w:spacing w:after="0" w:line="162" w:lineRule="exact"/>
        <w:rPr>
          <w:sz w:val="20"/>
          <w:szCs w:val="20"/>
          <w:color w:val="auto"/>
        </w:rPr>
      </w:pPr>
    </w:p>
    <w:p>
      <w:pPr>
        <w:ind w:right="200" w:firstLine="1305"/>
        <w:spacing w:after="0" w:line="261" w:lineRule="auto"/>
        <w:tabs>
          <w:tab w:leader="none" w:pos="197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Reviewing Party; Change in Control</w:t>
      </w:r>
      <w:r>
        <w:rPr>
          <w:rFonts w:ascii="Arial" w:cs="Arial" w:eastAsia="Arial" w:hAnsi="Arial"/>
          <w:sz w:val="18"/>
          <w:szCs w:val="18"/>
          <w:color w:val="auto"/>
        </w:rPr>
        <w:t>. If there has not been a Change in Control, any Reviewing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by the Board, and if there has been a Change in Control (other than a Change in Control which has been approved by a majority of the Board who were directors immediately prior to such Change in Control), any Reviewing Party with respect to all matters thereafter arising concerning the Indemnitee’s indemnification,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exoneration or hold harmless rights for Expenses under this Agreement or any other agreement or under the Company’s certificate of incorporation or bylaws as now or hereafter in effect, or under any other applicable law, if desired by the Indemnitee, shall be Independent Legal Counsel selected by the Indemnitee and approved by Company (which approval shall not be unreasonably withheld). Such counsel, among other things, shall render its written opinion to the Company and the Indemnitee as to whether and to what extent the Indemnitee would be entitled to be indemnified, exonerated or held harmless hereunder under applicable law and the Company agrees to abide by such opinion. The Company agrees to pay the reasonable fees of the Independent Legal Counsel referred to above and to fully indemnify, exonerate and hold harmless such counsel against any and all expenses (including attorneys’ fees), claims, liabilities and damages arising out of or relating to this Agreement or its engagement pursuant hereto.</w:t>
      </w:r>
    </w:p>
    <w:p>
      <w:pPr>
        <w:spacing w:after="0" w:line="174" w:lineRule="exact"/>
        <w:rPr>
          <w:sz w:val="20"/>
          <w:szCs w:val="20"/>
          <w:color w:val="auto"/>
        </w:rPr>
      </w:pPr>
    </w:p>
    <w:p>
      <w:pPr>
        <w:ind w:right="320" w:firstLine="1305"/>
        <w:spacing w:after="0" w:line="261" w:lineRule="auto"/>
        <w:tabs>
          <w:tab w:leader="none" w:pos="195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Payment of Expenses</w:t>
      </w:r>
      <w:r>
        <w:rPr>
          <w:rFonts w:ascii="Arial" w:cs="Arial" w:eastAsia="Arial" w:hAnsi="Arial"/>
          <w:sz w:val="18"/>
          <w:szCs w:val="18"/>
          <w:color w:val="auto"/>
        </w:rPr>
        <w:t>. Notwithstanding any other provision of this Agreement other than</w:t>
      </w:r>
      <w:r>
        <w:rPr>
          <w:rFonts w:ascii="Arial" w:cs="Arial" w:eastAsia="Arial" w:hAnsi="Arial"/>
          <w:sz w:val="18"/>
          <w:szCs w:val="18"/>
          <w:b w:val="1"/>
          <w:bCs w:val="1"/>
          <w:color w:val="auto"/>
        </w:rPr>
        <w:t xml:space="preserve"> Section 9 </w:t>
      </w:r>
      <w:r>
        <w:rPr>
          <w:rFonts w:ascii="Arial" w:cs="Arial" w:eastAsia="Arial" w:hAnsi="Arial"/>
          <w:sz w:val="18"/>
          <w:szCs w:val="18"/>
          <w:color w:val="auto"/>
        </w:rPr>
        <w:t>hereof,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the Indemnitee has been successful on the merits or otherwise, including, without limitation, the dismissal of an action without prejudice, in defense of any Claim, the Indemnitee shall be indemnified, exonerated and held harmless against all Expenses incurred by the Indemnitee in connection therewith.</w:t>
      </w:r>
    </w:p>
    <w:p>
      <w:pPr>
        <w:spacing w:after="0" w:line="180" w:lineRule="exact"/>
        <w:rPr>
          <w:rFonts w:ascii="Arial" w:cs="Arial" w:eastAsia="Arial" w:hAnsi="Arial"/>
          <w:sz w:val="18"/>
          <w:szCs w:val="18"/>
          <w:b w:val="1"/>
          <w:bCs w:val="1"/>
          <w:color w:val="auto"/>
        </w:rPr>
      </w:pPr>
    </w:p>
    <w:p>
      <w:pPr>
        <w:ind w:firstLine="1305"/>
        <w:spacing w:after="0" w:line="290" w:lineRule="auto"/>
        <w:tabs>
          <w:tab w:leader="none" w:pos="196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If the indemnification, exoneration or hold harmless rights provided for in this Agreement are for any reason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a court of competent jurisdiction to be unavailable to an Indemnitee, then in lieu of indemnifying, exonerating or holding harmless the Indemnitee hereunder, the Company shall contribute to the amount paid or payable by the Indemnitee as a result of such Expenses (i) in such proportion as is appropriate to reflect the relative benefits received by the Company and the Indemnitee or (ii) if the allocation provided by clause (i) above is not permitted by applicable law, in such proportion as is appropriate to reflect not only the relative benefits referred to in clause (i) above but also the relative fault of the Company and the Indemnitee in connection with the action or inaction which resulted in such Expenses, as well as any other relevant equitable considerations. The relative fault of the Company and the Indemnitee shall be determined by reference to, among other things, whether the untrue or alleged untrue statement of a material fact or the omission or alleged omission to state a material fact relates to information supplied by the Company or the Indemnitee and the parties’ relative intent, knowledge, access to information and opportunity to correct or prevent such statement or omission.</w:t>
      </w:r>
    </w:p>
    <w:p>
      <w:pPr>
        <w:spacing w:after="0" w:line="160"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 xml:space="preserve">The Company and the Indemnitee agree that it would not be just and equitable if contribution pursuant to this </w:t>
      </w:r>
      <w:r>
        <w:rPr>
          <w:rFonts w:ascii="Arial" w:cs="Arial" w:eastAsia="Arial" w:hAnsi="Arial"/>
          <w:sz w:val="18"/>
          <w:szCs w:val="18"/>
          <w:b w:val="1"/>
          <w:bCs w:val="1"/>
          <w:color w:val="auto"/>
        </w:rPr>
        <w:t>Section 2(f)</w:t>
      </w:r>
      <w:r>
        <w:rPr>
          <w:rFonts w:ascii="Arial" w:cs="Arial" w:eastAsia="Arial" w:hAnsi="Arial"/>
          <w:sz w:val="18"/>
          <w:szCs w:val="18"/>
          <w:color w:val="auto"/>
        </w:rPr>
        <w:t xml:space="preserve"> were determined by pro rata or by any other method of allocation which does not take account of the equitable considerations referred to in the immediately preceding paragraph. No person found guilty of fraudulent misrepresentation (within the meaning of Section 11(f) of the Securities Act of 1933, as amended) shall be entitled to contribution from any person who was not found guilty of such fraudulent misrepresentation.</w:t>
      </w:r>
    </w:p>
    <w:p>
      <w:pPr>
        <w:spacing w:after="0" w:line="180"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EXPENSE ADVANCES.</w:t>
      </w:r>
    </w:p>
    <w:p>
      <w:pPr>
        <w:spacing w:after="0" w:line="225" w:lineRule="exact"/>
        <w:rPr>
          <w:rFonts w:ascii="Arial" w:cs="Arial" w:eastAsia="Arial" w:hAnsi="Arial"/>
          <w:sz w:val="18"/>
          <w:szCs w:val="18"/>
          <w:b w:val="1"/>
          <w:bCs w:val="1"/>
          <w:color w:val="auto"/>
        </w:rPr>
      </w:pPr>
    </w:p>
    <w:p>
      <w:pPr>
        <w:ind w:right="120" w:firstLine="1305"/>
        <w:spacing w:after="0" w:line="281" w:lineRule="auto"/>
        <w:tabs>
          <w:tab w:leader="none" w:pos="1965" w:val="left"/>
        </w:tabs>
        <w:numPr>
          <w:ilvl w:val="1"/>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Obligation to Make Expense Advances</w:t>
      </w:r>
      <w:r>
        <w:rPr>
          <w:rFonts w:ascii="Arial" w:cs="Arial" w:eastAsia="Arial" w:hAnsi="Arial"/>
          <w:sz w:val="17"/>
          <w:szCs w:val="17"/>
          <w:color w:val="auto"/>
        </w:rPr>
        <w:t>. The Company shall make Expense Advances to the Indemnitee as soon as practicable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written demand by the Indemnitee therefor is presented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required by applicable law, such Expense Advances shall only be made upon receipt of a written undertaking by or on behalf of the Indemnitee to repay such amounts if it shall ultimately be determined that the Indemnitee is not entitled to be indemnified, exonerated or held harmless therefor by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1305"/>
        <w:spacing w:after="0" w:line="282" w:lineRule="auto"/>
        <w:tabs>
          <w:tab w:leader="none" w:pos="1976"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Form of Undertaking</w:t>
      </w:r>
      <w:r>
        <w:rPr>
          <w:rFonts w:ascii="Arial" w:cs="Arial" w:eastAsia="Arial" w:hAnsi="Arial"/>
          <w:sz w:val="18"/>
          <w:szCs w:val="18"/>
          <w:color w:val="auto"/>
        </w:rPr>
        <w:t>. Any written undertaking by the Indemnitee to repay any Expense Advances hereunder shall be unsecured</w:t>
      </w:r>
      <w:r>
        <w:rPr>
          <w:rFonts w:ascii="Arial" w:cs="Arial" w:eastAsia="Arial" w:hAnsi="Arial"/>
          <w:sz w:val="18"/>
          <w:szCs w:val="18"/>
          <w:b w:val="1"/>
          <w:bCs w:val="1"/>
          <w:color w:val="auto"/>
        </w:rPr>
        <w:t xml:space="preserve"> </w:t>
      </w:r>
      <w:r>
        <w:rPr>
          <w:rFonts w:ascii="Arial" w:cs="Arial" w:eastAsia="Arial" w:hAnsi="Arial"/>
          <w:sz w:val="18"/>
          <w:szCs w:val="18"/>
          <w:color w:val="auto"/>
        </w:rPr>
        <w:t>and no interest shall be charged thereon.</w:t>
      </w:r>
    </w:p>
    <w:p>
      <w:pPr>
        <w:spacing w:after="0" w:line="16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INDEMNIFICATION AND EXPENSE ADVANCES.</w:t>
      </w:r>
    </w:p>
    <w:p>
      <w:pPr>
        <w:spacing w:after="0" w:line="225" w:lineRule="exact"/>
        <w:rPr>
          <w:rFonts w:ascii="Arial" w:cs="Arial" w:eastAsia="Arial" w:hAnsi="Arial"/>
          <w:sz w:val="18"/>
          <w:szCs w:val="18"/>
          <w:b w:val="1"/>
          <w:bCs w:val="1"/>
          <w:color w:val="auto"/>
        </w:rPr>
      </w:pPr>
    </w:p>
    <w:p>
      <w:pPr>
        <w:ind w:right="80" w:firstLine="1305"/>
        <w:spacing w:after="0" w:line="258" w:lineRule="auto"/>
        <w:tabs>
          <w:tab w:leader="none" w:pos="1965"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Timing of Payments</w:t>
      </w:r>
      <w:r>
        <w:rPr>
          <w:rFonts w:ascii="Arial" w:cs="Arial" w:eastAsia="Arial" w:hAnsi="Arial"/>
          <w:sz w:val="18"/>
          <w:szCs w:val="18"/>
          <w:color w:val="auto"/>
        </w:rPr>
        <w:t>. All payments of Expenses (including without limitation Expense Advances) by the Company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pursuant to this Agreement shall be made to the fullest extent permitted by law as soon as practicable after written demand by the Indemnitee therefor is presented to the Company, but in no event later than thirty (30) days after such written demand by Indemnitee is presented to the Company, except in the case of Expense Advances, which shall be made no later than twenty (20) days after such written demand by the Indemnitee is presented to the Company.</w:t>
      </w:r>
    </w:p>
    <w:p>
      <w:pPr>
        <w:spacing w:after="0" w:line="183" w:lineRule="exact"/>
        <w:rPr>
          <w:rFonts w:ascii="Arial" w:cs="Arial" w:eastAsia="Arial" w:hAnsi="Arial"/>
          <w:sz w:val="18"/>
          <w:szCs w:val="18"/>
          <w:b w:val="1"/>
          <w:bCs w:val="1"/>
          <w:color w:val="auto"/>
        </w:rPr>
      </w:pPr>
    </w:p>
    <w:p>
      <w:pPr>
        <w:ind w:right="40" w:firstLine="1305"/>
        <w:spacing w:after="0" w:line="289" w:lineRule="auto"/>
        <w:tabs>
          <w:tab w:leader="none" w:pos="1976" w:val="left"/>
        </w:tabs>
        <w:numPr>
          <w:ilvl w:val="1"/>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No Presumptions; Burden of Proof</w:t>
      </w:r>
      <w:r>
        <w:rPr>
          <w:rFonts w:ascii="Arial" w:cs="Arial" w:eastAsia="Arial" w:hAnsi="Arial"/>
          <w:sz w:val="16"/>
          <w:szCs w:val="16"/>
          <w:color w:val="auto"/>
        </w:rPr>
        <w:t>. For purposes of this Agreement, the termination of any Claim by judgment, order,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settlement (whether with or without court approval) or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or its equivalent, shall not create a presumption that the Indemnitee did not meet any particular standard of conduct or have any particular belief or that a court has determined that indemnification, exoneration or hold harmless rights are not permitted by this Agreement or applicable law. In addition, neither the failure of any Reviewing Party to have made a determination as to whether the Indemnitee has met any particular standard of conduct or had any particular belief, nor an actual determination by any Reviewing Party that the Indemnitee has not met such standard of conduct or did not have such belief, prior to the commencement of legal proceedings by the Indemnitee to secure a judicial determination that the Indemnitee should be indemnified, exonerated or held harmless under this Agreement or applicable law, shall be a defense to the Indemnitee’s claim or create a presumption that the Indemnitee has not met any particular standard of conduct or did not have any particular belief. In connection with any determination by any Reviewing Party or otherwise as to whether the Indemnitee is entitled to be indemnified, exonerated or held harmless hereunder, the burden of proof shall be on the Company to establish that the Indemnitee is not so entitled.</w:t>
      </w:r>
    </w:p>
    <w:p>
      <w:pPr>
        <w:spacing w:after="0" w:line="161" w:lineRule="exact"/>
        <w:rPr>
          <w:rFonts w:ascii="Arial" w:cs="Arial" w:eastAsia="Arial" w:hAnsi="Arial"/>
          <w:sz w:val="16"/>
          <w:szCs w:val="16"/>
          <w:b w:val="1"/>
          <w:bCs w:val="1"/>
          <w:color w:val="auto"/>
        </w:rPr>
      </w:pPr>
    </w:p>
    <w:p>
      <w:pPr>
        <w:ind w:right="160" w:firstLine="1305"/>
        <w:spacing w:after="0" w:line="314" w:lineRule="auto"/>
        <w:tabs>
          <w:tab w:leader="none" w:pos="1955" w:val="left"/>
        </w:tabs>
        <w:numPr>
          <w:ilvl w:val="1"/>
          <w:numId w:val="79"/>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2(c)</w:t>
      </w:r>
      <w:r>
        <w:rPr>
          <w:rFonts w:ascii="Arial" w:cs="Arial" w:eastAsia="Arial" w:hAnsi="Arial"/>
          <w:sz w:val="16"/>
          <w:szCs w:val="16"/>
          <w:color w:val="auto"/>
        </w:rPr>
        <w:t xml:space="preserve"> of this Agreement, if the person, persons or entity empowered or selected under </w:t>
      </w:r>
      <w:r>
        <w:rPr>
          <w:rFonts w:ascii="Arial" w:cs="Arial" w:eastAsia="Arial" w:hAnsi="Arial"/>
          <w:sz w:val="16"/>
          <w:szCs w:val="16"/>
          <w:b w:val="1"/>
          <w:bCs w:val="1"/>
          <w:color w:val="auto"/>
        </w:rPr>
        <w:t>Section 2(d)</w:t>
      </w:r>
      <w:r>
        <w:rPr>
          <w:rFonts w:ascii="Arial" w:cs="Arial" w:eastAsia="Arial" w:hAnsi="Arial"/>
          <w:sz w:val="16"/>
          <w:szCs w:val="16"/>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not prohibited by law, be deemed to</w:t>
      </w:r>
    </w:p>
    <w:p>
      <w:pPr>
        <w:sectPr>
          <w:pgSz w:w="11900" w:h="16953" w:orient="portrait"/>
          <w:cols w:equalWidth="0" w:num="1">
            <w:col w:w="11420"/>
          </w:cols>
          <w:pgMar w:left="240" w:top="121" w:right="239" w:bottom="0" w:gutter="0" w:footer="0" w:header="0"/>
        </w:sectPr>
      </w:pPr>
    </w:p>
    <w:bookmarkStart w:id="56" w:name="page57"/>
    <w:bookmarkEnd w:id="56"/>
    <w:p>
      <w:pPr>
        <w:ind w:right="180"/>
        <w:spacing w:after="0" w:line="279" w:lineRule="auto"/>
        <w:rPr>
          <w:sz w:val="20"/>
          <w:szCs w:val="20"/>
          <w:color w:val="auto"/>
        </w:rPr>
      </w:pPr>
      <w:r>
        <w:rPr>
          <w:rFonts w:ascii="Arial" w:cs="Arial" w:eastAsia="Arial" w:hAnsi="Arial"/>
          <w:sz w:val="17"/>
          <w:szCs w:val="17"/>
          <w:color w:val="auto"/>
        </w:rPr>
        <w:t xml:space="preserve">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the foregoing provisions of this </w:t>
      </w:r>
      <w:r>
        <w:rPr>
          <w:rFonts w:ascii="Arial" w:cs="Arial" w:eastAsia="Arial" w:hAnsi="Arial"/>
          <w:sz w:val="17"/>
          <w:szCs w:val="17"/>
          <w:b w:val="1"/>
          <w:bCs w:val="1"/>
          <w:color w:val="auto"/>
        </w:rPr>
        <w:t>Section 4(c)</w:t>
      </w:r>
      <w:r>
        <w:rPr>
          <w:rFonts w:ascii="Arial" w:cs="Arial" w:eastAsia="Arial" w:hAnsi="Arial"/>
          <w:sz w:val="17"/>
          <w:szCs w:val="17"/>
          <w:color w:val="auto"/>
        </w:rPr>
        <w:t xml:space="preserve"> shall not apply if the determination of entitlement to indemnification is to be made by Independent Legal Counsel pursuant to </w:t>
      </w:r>
      <w:r>
        <w:rPr>
          <w:rFonts w:ascii="Arial" w:cs="Arial" w:eastAsia="Arial" w:hAnsi="Arial"/>
          <w:sz w:val="17"/>
          <w:szCs w:val="17"/>
          <w:b w:val="1"/>
          <w:bCs w:val="1"/>
          <w:color w:val="auto"/>
        </w:rPr>
        <w:t>Section 2(d)</w:t>
      </w:r>
      <w:r>
        <w:rPr>
          <w:rFonts w:ascii="Arial" w:cs="Arial" w:eastAsia="Arial" w:hAnsi="Arial"/>
          <w:sz w:val="17"/>
          <w:szCs w:val="17"/>
          <w:color w:val="auto"/>
        </w:rPr>
        <w:t xml:space="preserve"> of this Agreement.</w:t>
      </w:r>
    </w:p>
    <w:p>
      <w:pPr>
        <w:spacing w:after="0" w:line="167" w:lineRule="exact"/>
        <w:rPr>
          <w:sz w:val="20"/>
          <w:szCs w:val="20"/>
          <w:color w:val="auto"/>
        </w:rPr>
      </w:pPr>
    </w:p>
    <w:p>
      <w:pPr>
        <w:ind w:firstLine="1305"/>
        <w:spacing w:after="0" w:line="261" w:lineRule="auto"/>
        <w:tabs>
          <w:tab w:leader="none" w:pos="1976"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Insurers</w:t>
      </w:r>
      <w:r>
        <w:rPr>
          <w:rFonts w:ascii="Arial" w:cs="Arial" w:eastAsia="Arial" w:hAnsi="Arial"/>
          <w:sz w:val="18"/>
          <w:szCs w:val="18"/>
          <w:color w:val="auto"/>
        </w:rPr>
        <w:t>. If the Company has liability insurance in effect which may cover such Claim, the Company shall give prompt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the commencement of such Claim to the insurers in accordance with the procedures set forth in the respective policies. The Company shall thereafter take all necessary or desirable action to cause such insurers to pay, on behalf of the Indemnitee, all amounts payable as a result of such Claim in accordance with the terms of such policies.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1305"/>
        <w:spacing w:after="0" w:line="274" w:lineRule="auto"/>
        <w:tabs>
          <w:tab w:leader="none" w:pos="1955" w:val="left"/>
        </w:tabs>
        <w:numPr>
          <w:ilvl w:val="1"/>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Reliance as Safe Harbor</w:t>
      </w:r>
      <w:r>
        <w:rPr>
          <w:rFonts w:ascii="Arial" w:cs="Arial" w:eastAsia="Arial" w:hAnsi="Arial"/>
          <w:sz w:val="17"/>
          <w:szCs w:val="17"/>
          <w:color w:val="auto"/>
        </w:rPr>
        <w:t>. For purposes of any determination of good faith, Indemnitee shall be deemed to have acted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faith if Indemnitee’s action is based on the records or books of account of the Company, including financial statements, or on information supplied to Indemnitee by the officers of the Company in the course of their duties, or on the advice of legal counsel for the Company or on information or records given or reports made to the Company by an independent certified public accountant or by an appraiser or other expert selected with the reasonable care by the Company. The provisions of this </w:t>
      </w:r>
      <w:r>
        <w:rPr>
          <w:rFonts w:ascii="Arial" w:cs="Arial" w:eastAsia="Arial" w:hAnsi="Arial"/>
          <w:sz w:val="17"/>
          <w:szCs w:val="17"/>
          <w:b w:val="1"/>
          <w:bCs w:val="1"/>
          <w:color w:val="auto"/>
        </w:rPr>
        <w:t>Section 4(e)</w:t>
      </w:r>
      <w:r>
        <w:rPr>
          <w:rFonts w:ascii="Arial" w:cs="Arial" w:eastAsia="Arial" w:hAnsi="Arial"/>
          <w:sz w:val="17"/>
          <w:szCs w:val="17"/>
          <w:color w:val="auto"/>
        </w:rPr>
        <w:t xml:space="preserve"> shall not be deemed to be exclusive or to limit in any way the other circumstances in which the Indemnitee may be deemed to have met the applicable standard of conduct set forth in this Agreement.</w:t>
      </w:r>
    </w:p>
    <w:p>
      <w:pPr>
        <w:spacing w:after="0" w:line="173" w:lineRule="exact"/>
        <w:rPr>
          <w:rFonts w:ascii="Arial" w:cs="Arial" w:eastAsia="Arial" w:hAnsi="Arial"/>
          <w:sz w:val="17"/>
          <w:szCs w:val="17"/>
          <w:b w:val="1"/>
          <w:bCs w:val="1"/>
          <w:color w:val="auto"/>
        </w:rPr>
      </w:pPr>
    </w:p>
    <w:p>
      <w:pPr>
        <w:ind w:right="280" w:firstLine="1305"/>
        <w:spacing w:after="0" w:line="282" w:lineRule="auto"/>
        <w:tabs>
          <w:tab w:leader="none" w:pos="1963"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Actions of Others</w:t>
      </w:r>
      <w:r>
        <w:rPr>
          <w:rFonts w:ascii="Arial" w:cs="Arial" w:eastAsia="Arial" w:hAnsi="Arial"/>
          <w:sz w:val="18"/>
          <w:szCs w:val="18"/>
          <w:color w:val="auto"/>
        </w:rPr>
        <w:t>. The knowledge and/or actions, or failure to act, of any director, officer, agent or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imputed to Indemnitee for purposes of determining the right to indemnification under this Agreement.</w:t>
      </w:r>
    </w:p>
    <w:p>
      <w:pPr>
        <w:spacing w:after="0" w:line="161" w:lineRule="exact"/>
        <w:rPr>
          <w:rFonts w:ascii="Arial" w:cs="Arial" w:eastAsia="Arial" w:hAnsi="Arial"/>
          <w:sz w:val="18"/>
          <w:szCs w:val="18"/>
          <w:b w:val="1"/>
          <w:bCs w:val="1"/>
          <w:color w:val="auto"/>
        </w:rPr>
      </w:pPr>
    </w:p>
    <w:p>
      <w:pPr>
        <w:ind w:right="20" w:firstLine="1305"/>
        <w:spacing w:after="0" w:line="268" w:lineRule="auto"/>
        <w:tabs>
          <w:tab w:leader="none" w:pos="1952" w:val="left"/>
        </w:tabs>
        <w:numPr>
          <w:ilvl w:val="1"/>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Selection of Counsel</w:t>
      </w:r>
      <w:r>
        <w:rPr>
          <w:rFonts w:ascii="Arial" w:cs="Arial" w:eastAsia="Arial" w:hAnsi="Arial"/>
          <w:sz w:val="17"/>
          <w:szCs w:val="17"/>
          <w:color w:val="auto"/>
        </w:rPr>
        <w:t>. In the event the Company shall be obligated hereunder to provide indemnification, exoneration or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rights for or make any Expense Advances with respect to the Expenses of any Claim, the Company, if appropriate, shall be entitled to assume the defense of such Claim with counsel approved by the Indemnitee (which approval shall not be unreasonably withheld) upon the delivery to the Indemnitee of written notice of the Company’s election to do so. After delivery of such notice, approval of such counsel by the Indemnitee and the retention of such counsel by the Company, the Company will not be liable to the Indemnitee under this Agreement for any fees or expenses of separate counsel subsequently employed by or on behalf of the Indemnitee with respect to the same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Indemnitee shall have the right to employ the Indemnitee’s separate counsel in any such Claim at the Indemnitee’s expense and (ii) if (A) the employment of separate counsel by the Indemnitee has been previously authorized by the Company, (B) the Indemnitee shall have reasonably concluded that there may be a conflict of interest between the Company and the Indemnitee in the conduct of any such defense, or (C) the Company shall not continue to retain such counsel to defend such Claim, then the fees and expenses of the Indemnitee’s separate counsel shall be Expenses for which the Indemnitee may receive indemnification, exoneration or hold harmless rights or Expense Advances hereunder. The Company shall have the right to conduct such defense as it sees fit in its sole discretion, including the right to settle any claim, action or proceeding against the Indemnitee without the consent of the Indemnitee, provided that the terms of such settlement include either: (i) a full release of the Indemnitee by the claimant from all liabilities or potential liabilities under such claim; or (ii) in the event such full release is not obtained, the terms of such settlement do not limit any indemnification, exoneration or hold harmless rights the Indemnitee may now, or hereafter, be entitled to under this Agreement, the Company’s certificate of incorporation, bylaws, any agreement, any vote of stockholders or disinterested directors,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or otherwise.</w:t>
      </w:r>
    </w:p>
    <w:p>
      <w:pPr>
        <w:spacing w:after="0" w:line="180" w:lineRule="exact"/>
        <w:rPr>
          <w:rFonts w:ascii="Arial" w:cs="Arial" w:eastAsia="Arial" w:hAnsi="Arial"/>
          <w:sz w:val="17"/>
          <w:szCs w:val="17"/>
          <w:b w:val="1"/>
          <w:bCs w:val="1"/>
          <w:color w:val="auto"/>
        </w:rPr>
      </w:pPr>
    </w:p>
    <w:p>
      <w:pPr>
        <w:ind w:left="1300" w:hanging="644"/>
        <w:spacing w:after="0"/>
        <w:tabs>
          <w:tab w:leader="none" w:pos="13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RIGHTS; NONEXCLUSIVITY.</w:t>
      </w:r>
    </w:p>
    <w:p>
      <w:pPr>
        <w:spacing w:after="0" w:line="225" w:lineRule="exact"/>
        <w:rPr>
          <w:rFonts w:ascii="Arial" w:cs="Arial" w:eastAsia="Arial" w:hAnsi="Arial"/>
          <w:sz w:val="18"/>
          <w:szCs w:val="18"/>
          <w:b w:val="1"/>
          <w:bCs w:val="1"/>
          <w:color w:val="auto"/>
        </w:rPr>
      </w:pPr>
    </w:p>
    <w:p>
      <w:pPr>
        <w:ind w:right="100" w:firstLine="1305"/>
        <w:spacing w:after="0" w:line="258" w:lineRule="auto"/>
        <w:tabs>
          <w:tab w:leader="none" w:pos="1965"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Scope</w:t>
      </w:r>
      <w:r>
        <w:rPr>
          <w:rFonts w:ascii="Arial" w:cs="Arial" w:eastAsia="Arial" w:hAnsi="Arial"/>
          <w:sz w:val="18"/>
          <w:szCs w:val="18"/>
          <w:color w:val="auto"/>
        </w:rPr>
        <w:t>. The Company hereby agrees to indemnify, exonerate and hold harmless the Indemnitee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notwithstanding that such indemnification, exoneration or hold harmless right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exonerate or hold harmless a member of its board of directors or an officer, employee, agent or fiduciary, it is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intent of the parties hereto that the Indemnitee shall enjoy by this Agreement the greater benefits afforded by such change. In the event of any change in any applicable law, statute or rule which narrows the right of a Delaware corporation to indemnify, exonerate or hold harmless a member of its board of directors or an officer, employee, agent or fiduciary, such change, to the extent not otherwise required by such law, statute or rule to be applied to this Agreement, shall have no effect on this Agreement or the parties’ rights and obligations hereunder.</w:t>
      </w:r>
    </w:p>
    <w:p>
      <w:pPr>
        <w:spacing w:after="0" w:line="183" w:lineRule="exact"/>
        <w:rPr>
          <w:sz w:val="20"/>
          <w:szCs w:val="20"/>
          <w:color w:val="auto"/>
        </w:rPr>
      </w:pPr>
    </w:p>
    <w:p>
      <w:pPr>
        <w:ind w:right="60" w:firstLine="1305"/>
        <w:spacing w:after="0" w:line="298" w:lineRule="auto"/>
        <w:tabs>
          <w:tab w:leader="none" w:pos="1976"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w:t>
      </w:r>
      <w:r>
        <w:rPr>
          <w:rFonts w:ascii="Arial" w:cs="Arial" w:eastAsia="Arial" w:hAnsi="Arial"/>
          <w:sz w:val="16"/>
          <w:szCs w:val="16"/>
          <w:color w:val="auto"/>
        </w:rPr>
        <w:t>. The indemnification, exoneration or hold harmless rights and the payment of Expense Advances provided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in addition to any rights to which the Indemnitee may be entitled under the Company’s certificate of incorporation, its bylaws, any other agreement, any vote of stockholders or disinterested directors, the DGCL or otherwise. The indemnification, exoneration or hold harmless rights and the payment of Expense Advances provided under this Agreement shall continue as to the Indemnitee for any action taken or not taken while serving in an indemnified, exonerated or held harmless capacity even though subsequent thereto the Indemnitee may have ceased to serve in such capacity.</w:t>
      </w:r>
    </w:p>
    <w:p>
      <w:pPr>
        <w:spacing w:after="0" w:line="154" w:lineRule="exact"/>
        <w:rPr>
          <w:rFonts w:ascii="Arial" w:cs="Arial" w:eastAsia="Arial" w:hAnsi="Arial"/>
          <w:sz w:val="16"/>
          <w:szCs w:val="16"/>
          <w:b w:val="1"/>
          <w:bCs w:val="1"/>
          <w:color w:val="auto"/>
        </w:rPr>
      </w:pPr>
    </w:p>
    <w:p>
      <w:pPr>
        <w:ind w:right="200" w:firstLine="656"/>
        <w:spacing w:after="0" w:line="266" w:lineRule="auto"/>
        <w:tabs>
          <w:tab w:leader="none" w:pos="1296"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DUPLICATION OF PAYMENTS. </w:t>
      </w:r>
      <w:r>
        <w:rPr>
          <w:rFonts w:ascii="Arial" w:cs="Arial" w:eastAsia="Arial" w:hAnsi="Arial"/>
          <w:sz w:val="18"/>
          <w:szCs w:val="18"/>
          <w:color w:val="auto"/>
        </w:rPr>
        <w:t>The Company shall not be liable under this Agreement to make any payment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Claim made against the Indemnitee to the extent the Indemnitee has otherwise actually received payment (under any insurance policy, provision of the Company’s certificate of incorporation, bylaws or otherwise) of the amounts otherwise payable hereunder.</w:t>
      </w:r>
    </w:p>
    <w:p>
      <w:pPr>
        <w:spacing w:after="0" w:line="176" w:lineRule="exact"/>
        <w:rPr>
          <w:rFonts w:ascii="Arial" w:cs="Arial" w:eastAsia="Arial" w:hAnsi="Arial"/>
          <w:sz w:val="18"/>
          <w:szCs w:val="18"/>
          <w:b w:val="1"/>
          <w:bCs w:val="1"/>
          <w:color w:val="auto"/>
        </w:rPr>
      </w:pPr>
    </w:p>
    <w:p>
      <w:pPr>
        <w:ind w:firstLine="656"/>
        <w:spacing w:after="0" w:line="314" w:lineRule="auto"/>
        <w:tabs>
          <w:tab w:leader="none" w:pos="1296"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PARTIAL INDEMNIFICATION. </w:t>
      </w:r>
      <w:r>
        <w:rPr>
          <w:rFonts w:ascii="Arial" w:cs="Arial" w:eastAsia="Arial" w:hAnsi="Arial"/>
          <w:sz w:val="16"/>
          <w:szCs w:val="16"/>
          <w:color w:val="auto"/>
        </w:rPr>
        <w:t>If the Indemnitee is entitled under any provision of this Agreement to indemnification, exoneration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hold harmless rights by the Company for some or a portion of Expenses incurred in connection with any Claim, but not, however, for the total amount thereof, the Company shall nevertheless indemnify, exonerate or hold harmless the Indemnitee for the portion of such Expenses to which the Indemnitee is entitled.</w:t>
      </w:r>
    </w:p>
    <w:p>
      <w:pPr>
        <w:spacing w:after="0" w:line="142" w:lineRule="exact"/>
        <w:rPr>
          <w:rFonts w:ascii="Arial" w:cs="Arial" w:eastAsia="Arial" w:hAnsi="Arial"/>
          <w:sz w:val="16"/>
          <w:szCs w:val="16"/>
          <w:b w:val="1"/>
          <w:bCs w:val="1"/>
          <w:color w:val="auto"/>
        </w:rPr>
      </w:pPr>
    </w:p>
    <w:p>
      <w:pPr>
        <w:jc w:val="both"/>
        <w:ind w:right="40" w:firstLine="656"/>
        <w:spacing w:after="0" w:line="314" w:lineRule="auto"/>
        <w:tabs>
          <w:tab w:leader="none" w:pos="1296"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LIABILITY INSURANCE. </w:t>
      </w:r>
      <w:r>
        <w:rPr>
          <w:rFonts w:ascii="Arial" w:cs="Arial" w:eastAsia="Arial" w:hAnsi="Arial"/>
          <w:sz w:val="16"/>
          <w:szCs w:val="16"/>
          <w:color w:val="auto"/>
        </w:rPr>
        <w:t>To the extent the Company maintains liability insurance applicable to directors, officers, employees, agents or</w:t>
      </w:r>
      <w:r>
        <w:rPr>
          <w:rFonts w:ascii="Arial" w:cs="Arial" w:eastAsia="Arial" w:hAnsi="Arial"/>
          <w:sz w:val="16"/>
          <w:szCs w:val="16"/>
          <w:b w:val="1"/>
          <w:bCs w:val="1"/>
          <w:color w:val="auto"/>
        </w:rPr>
        <w:t xml:space="preserve"> </w:t>
      </w:r>
      <w:r>
        <w:rPr>
          <w:rFonts w:ascii="Arial" w:cs="Arial" w:eastAsia="Arial" w:hAnsi="Arial"/>
          <w:sz w:val="16"/>
          <w:szCs w:val="16"/>
          <w:color w:val="auto"/>
        </w:rPr>
        <w:t>fiduciaries, the Indemnitee shall be covered by such policies in such a manner as to provide the Indemnitee the same rights and benefits as are provided to the most favorably insured of the Company’s directors, if the Indemnitee is a director; or of the Company’s officers, if the Indemnitee is not a director of the</w:t>
      </w:r>
    </w:p>
    <w:p>
      <w:pPr>
        <w:sectPr>
          <w:pgSz w:w="11900" w:h="16838" w:orient="portrait"/>
          <w:cols w:equalWidth="0" w:num="1">
            <w:col w:w="11420"/>
          </w:cols>
          <w:pgMar w:left="240" w:top="125" w:right="239" w:bottom="0" w:gutter="0" w:footer="0" w:header="0"/>
        </w:sectPr>
      </w:pPr>
    </w:p>
    <w:bookmarkStart w:id="57" w:name="page58"/>
    <w:bookmarkEnd w:id="57"/>
    <w:p>
      <w:pPr>
        <w:ind w:right="160"/>
        <w:spacing w:after="0" w:line="277" w:lineRule="auto"/>
        <w:rPr>
          <w:sz w:val="20"/>
          <w:szCs w:val="20"/>
          <w:color w:val="auto"/>
        </w:rPr>
      </w:pPr>
      <w:r>
        <w:rPr>
          <w:rFonts w:ascii="Arial" w:cs="Arial" w:eastAsia="Arial" w:hAnsi="Arial"/>
          <w:sz w:val="18"/>
          <w:szCs w:val="18"/>
          <w:color w:val="auto"/>
        </w:rPr>
        <w:t>Company but is an officer; or of the Company’s key employees, agents or fiduciaries, if Indemnitee is not an officer or director but is a key employee, agent or fiduciary.</w:t>
      </w:r>
    </w:p>
    <w:p>
      <w:pPr>
        <w:spacing w:after="0" w:line="166"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EXCEPTIONS. </w:t>
      </w:r>
      <w:r>
        <w:rPr>
          <w:rFonts w:ascii="Arial" w:cs="Arial" w:eastAsia="Arial" w:hAnsi="Arial"/>
          <w:sz w:val="16"/>
          <w:szCs w:val="16"/>
          <w:color w:val="auto"/>
        </w:rPr>
        <w:t>Notwithstanding any other provision of this Agreement, the Company shall not be obligated pursuant to the terms of this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Agreement:</w:t>
      </w:r>
    </w:p>
    <w:p>
      <w:pPr>
        <w:spacing w:after="0" w:line="206" w:lineRule="exact"/>
        <w:rPr>
          <w:rFonts w:ascii="Arial" w:cs="Arial" w:eastAsia="Arial" w:hAnsi="Arial"/>
          <w:sz w:val="16"/>
          <w:szCs w:val="16"/>
          <w:b w:val="1"/>
          <w:bCs w:val="1"/>
          <w:color w:val="auto"/>
        </w:rPr>
      </w:pPr>
    </w:p>
    <w:p>
      <w:pPr>
        <w:ind w:right="20" w:firstLine="1305"/>
        <w:spacing w:after="0" w:line="273" w:lineRule="auto"/>
        <w:tabs>
          <w:tab w:leader="none" w:pos="1965" w:val="left"/>
        </w:tabs>
        <w:numPr>
          <w:ilvl w:val="1"/>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Excluded Action or Omissions</w:t>
      </w:r>
      <w:r>
        <w:rPr>
          <w:rFonts w:ascii="Arial" w:cs="Arial" w:eastAsia="Arial" w:hAnsi="Arial"/>
          <w:sz w:val="17"/>
          <w:szCs w:val="17"/>
          <w:color w:val="auto"/>
        </w:rPr>
        <w:t>. To indemnify, exonerate or hold harmless the Indemnitee for Expenses resulting from acts,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omissions or transactions for which the Indemnitee is prohibited from receiving indemnification, exoneration or hold harmless rights under this Agreement or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any limitation set forth in this </w:t>
      </w:r>
      <w:r>
        <w:rPr>
          <w:rFonts w:ascii="Arial" w:cs="Arial" w:eastAsia="Arial" w:hAnsi="Arial"/>
          <w:sz w:val="17"/>
          <w:szCs w:val="17"/>
          <w:b w:val="1"/>
          <w:bCs w:val="1"/>
          <w:color w:val="auto"/>
        </w:rPr>
        <w:t>Section 9(a)</w:t>
      </w:r>
      <w:r>
        <w:rPr>
          <w:rFonts w:ascii="Arial" w:cs="Arial" w:eastAsia="Arial" w:hAnsi="Arial"/>
          <w:sz w:val="17"/>
          <w:szCs w:val="17"/>
          <w:color w:val="auto"/>
        </w:rPr>
        <w:t xml:space="preserve"> regarding the Company’s obligation to provide indemnification, exoneration or hold harmless rights to the Indemnitee, the Indemnitee shall be entitled under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hereof to receive Expense Advances hereunder with respect to any such Claim unless and until a court having jurisdiction over the Claim shall have made a final judicial determination (as to which all rights of appeal therefrom have been exhausted or lapsed) that the Indemnitee has engaged in acts, omissions or transactions for which the Indemnitee is prohibited from receiving indemnification under this Agreement or applicable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92" w:lineRule="auto"/>
        <w:tabs>
          <w:tab w:leader="none" w:pos="1976" w:val="left"/>
        </w:tabs>
        <w:numPr>
          <w:ilvl w:val="1"/>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Claims Initiated by the Indemnitee</w:t>
      </w:r>
      <w:r>
        <w:rPr>
          <w:rFonts w:ascii="Arial" w:cs="Arial" w:eastAsia="Arial" w:hAnsi="Arial"/>
          <w:sz w:val="16"/>
          <w:szCs w:val="16"/>
          <w:color w:val="auto"/>
        </w:rPr>
        <w:t>. To indemnify, exonerate or hold harmless or make Expense Advances to the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respect to Claims initiated or brought voluntarily by the Indemnitee against the Company or any director or officer of the Company and not by way of defense, counterclaim or cross claim, except (i) with respect to actions or proceedings brought to establish or enforce an indemnification, exoneration or hold harmless rights under this Agreement pursuant to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of this Agreement or any other agreement or insurance policy or under the Company’s certificate of incorporation or bylaws now or hereafter in effect relating to Claims for Covered Events, (ii) in specific cases if the Board has approved the initiation or bringing of such Claim, or (iii) as otherwise required under Section 145 of the DGCL, regardless of whether the Indemnitee ultimately is determined to be entitled to such indemnification, exoneration, hold harmless right, Expense Advances or insurance recovery, as the case may be.</w:t>
      </w:r>
    </w:p>
    <w:p>
      <w:pPr>
        <w:spacing w:after="0" w:line="161" w:lineRule="exact"/>
        <w:rPr>
          <w:rFonts w:ascii="Arial" w:cs="Arial" w:eastAsia="Arial" w:hAnsi="Arial"/>
          <w:sz w:val="16"/>
          <w:szCs w:val="16"/>
          <w:b w:val="1"/>
          <w:bCs w:val="1"/>
          <w:color w:val="auto"/>
        </w:rPr>
      </w:pPr>
    </w:p>
    <w:p>
      <w:pPr>
        <w:ind w:right="80" w:firstLine="1305"/>
        <w:spacing w:after="0" w:line="274" w:lineRule="auto"/>
        <w:tabs>
          <w:tab w:leader="none" w:pos="1955" w:val="left"/>
        </w:tabs>
        <w:numPr>
          <w:ilvl w:val="1"/>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Claims under Section 16(b)</w:t>
      </w:r>
      <w:r>
        <w:rPr>
          <w:rFonts w:ascii="Arial" w:cs="Arial" w:eastAsia="Arial" w:hAnsi="Arial"/>
          <w:sz w:val="17"/>
          <w:szCs w:val="17"/>
          <w:color w:val="auto"/>
        </w:rPr>
        <w:t>. To indemnify, exonerate or hold harmless the Indemnitee for expenses and the payment of profits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arising from the purchase and sale by the Indemnitee of securities in violation of Section 16(b) of the Exchange Act, or any similar successor statute;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notwithstanding any limitation set forth in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9(c)</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Company’s obligation to provide indemnification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exoneration or hold harmless rights, the Indemnitee shall be entitled under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hereof to receive Expense Advances hereunder with respect to any such Claim unless and until a court having jurisdiction over the Claim shall have made a final judicial determination (as to which all rights of appeal therefrom have been exhausted or lapsed) that the Indemnitee has violated said statute.</w:t>
      </w:r>
    </w:p>
    <w:p>
      <w:pPr>
        <w:spacing w:after="0" w:line="173" w:lineRule="exact"/>
        <w:rPr>
          <w:rFonts w:ascii="Arial" w:cs="Arial" w:eastAsia="Arial" w:hAnsi="Arial"/>
          <w:sz w:val="17"/>
          <w:szCs w:val="17"/>
          <w:b w:val="1"/>
          <w:bCs w:val="1"/>
          <w:color w:val="auto"/>
        </w:rPr>
      </w:pPr>
    </w:p>
    <w:p>
      <w:pPr>
        <w:ind w:right="120" w:firstLine="656"/>
        <w:spacing w:after="0" w:line="270" w:lineRule="auto"/>
        <w:tabs>
          <w:tab w:leader="none" w:pos="1292"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The Indemnitee agrees to serve as a director or officer of the Company or, at the request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as a director, officer, employee, agent or fiduciary of another corporation, partnership, joint venture, employee benefit plan, trust or other enterprise, for so long as the Indemnitee is duly elected or appointed or until the Indemnitee tenders his or her resignation or is removed from such position. The Indemnitee may at any time and for any reason resign from such position (subject to any other contractual obligation or any obligation imposed by operation of law), in which event the Company shall have no obligation under this Agreement to continue the Indemnitee in such position. This Agreement shall not be deemed an employment contract between the Company (or any of its subsidiaries or any other enterprise) and the Indemnitee. The Indemnitee specifically acknowledges that any employment with the Company (or any of its subsidiaries or any other enterprise) is at will, and the Indemnitee may be discharged at any time for any reason, with or without cause, with or without notice, except as may be otherwise expressly provided in any executed, written employment contract between the Indemnitee and the Company (or any of its subsidiaries or any other enterprise), any existing formal severance policies adopted by the Board or, with respect to service as a director or officer of the Company, the Company’s certificate of incorporation or bylaws or the DGCL. No such document shall be subject to any oral modification thereof.</w:t>
      </w:r>
    </w:p>
    <w:p>
      <w:pPr>
        <w:spacing w:after="0" w:line="174" w:lineRule="exact"/>
        <w:rPr>
          <w:rFonts w:ascii="Arial" w:cs="Arial" w:eastAsia="Arial" w:hAnsi="Arial"/>
          <w:sz w:val="17"/>
          <w:szCs w:val="17"/>
          <w:b w:val="1"/>
          <w:bCs w:val="1"/>
          <w:color w:val="auto"/>
        </w:rPr>
      </w:pPr>
    </w:p>
    <w:p>
      <w:pPr>
        <w:ind w:right="100" w:firstLine="656"/>
        <w:spacing w:after="0" w:line="255" w:lineRule="auto"/>
        <w:tabs>
          <w:tab w:leader="none" w:pos="128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SUCCESSORS AND ASSIGNS. </w:t>
      </w:r>
      <w:r>
        <w:rPr>
          <w:rFonts w:ascii="Arial" w:cs="Arial" w:eastAsia="Arial" w:hAnsi="Arial"/>
          <w:sz w:val="18"/>
          <w:szCs w:val="18"/>
          <w:color w:val="auto"/>
        </w:rPr>
        <w:t>This Agreement shall be binding upon and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parties hereto and their respective successors and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 This Agreement shall continue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effect regardless of whether the Indemnitee continues to serve as a director, officer, employee, agent or fiduciary (as applicable) of the Company or of any other enterprise at the Company’s request.</w:t>
      </w:r>
    </w:p>
    <w:p>
      <w:pPr>
        <w:spacing w:after="0" w:line="166" w:lineRule="exact"/>
        <w:rPr>
          <w:sz w:val="20"/>
          <w:szCs w:val="20"/>
          <w:color w:val="auto"/>
        </w:rPr>
      </w:pPr>
    </w:p>
    <w:p>
      <w:pPr>
        <w:ind w:right="40" w:firstLine="656"/>
        <w:spacing w:after="0" w:line="268" w:lineRule="auto"/>
        <w:tabs>
          <w:tab w:leader="none" w:pos="1323"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INCURRED IN ACTION RELATING TO ENFORCEMENT OR INTERPRETATION. </w:t>
      </w:r>
      <w:r>
        <w:rPr>
          <w:rFonts w:ascii="Arial" w:cs="Arial" w:eastAsia="Arial" w:hAnsi="Arial"/>
          <w:sz w:val="17"/>
          <w:szCs w:val="17"/>
          <w:color w:val="auto"/>
        </w:rPr>
        <w:t>In the event that any action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instituted by the Indemnitee under this Agreement or under any liability insurance policies maintained by the Company to enforce or interpret any of the terms hereof or thereof, the Indemnitee shall be entitled to be indemnified for all Expenses incurred by the Indemnitee with respect to such action (including without limitation attorneys’ fees), regardless of whether the Indemnitee is ultimately successful in such action, unless as a part of such action a court having jurisdiction over such action makes a final judicial determination (as to which all rights of appeal therefrom have been exhausted or lapsed) that each of the material assertions made by the Indemnitee as a basis for such action was not made in good faith or was frivolous;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until such final judicial determination is made, the Indemnitee shall be entitled under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hereof to receive payment of Expense Advances hereunder with respect to such action. In the event of an action instituted by or in the name of the Company under this Agreement to enforce or interpret any of the terms of this Agreement, the Indemnitee shall be entitled to be indemnified, exonerated or held harmless for all Expenses incurred by the Indemnitee in defense of such action (including without limitation costs and expenses incurred with respect to the Indemnitee’s counterclaims and cross-claims made in such action), unless as a part of such action a court having jurisdiction over such action makes a final judicial determination (as to which all rights of appeal therefrom have been exhausted or lapsed) that each of the material defenses asserted by the Indemnitee in such action was made in bad faith or was frivolous;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until such final judicial determination is made, the Indemnitee shall be entitled under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hereof to receive payment of Expense Advances hereunder with respect to such action.</w:t>
      </w:r>
    </w:p>
    <w:p>
      <w:pPr>
        <w:sectPr>
          <w:pgSz w:w="11900" w:h="16838" w:orient="portrait"/>
          <w:cols w:equalWidth="0" w:num="1">
            <w:col w:w="11400"/>
          </w:cols>
          <w:pgMar w:left="240" w:top="125" w:right="259" w:bottom="0" w:gutter="0" w:footer="0" w:header="0"/>
        </w:sectPr>
      </w:pPr>
    </w:p>
    <w:bookmarkStart w:id="58" w:name="page59"/>
    <w:bookmarkEnd w:id="58"/>
    <w:p>
      <w:pPr>
        <w:ind w:right="20" w:firstLine="656"/>
        <w:spacing w:after="0" w:line="284" w:lineRule="auto"/>
        <w:tabs>
          <w:tab w:leader="none" w:pos="1323" w:val="left"/>
        </w:tabs>
        <w:numPr>
          <w:ilvl w:val="1"/>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ESTABLISHMENT OF A TRUST. </w:t>
      </w:r>
      <w:r>
        <w:rPr>
          <w:rFonts w:ascii="Arial" w:cs="Arial" w:eastAsia="Arial" w:hAnsi="Arial"/>
          <w:sz w:val="16"/>
          <w:szCs w:val="16"/>
          <w:color w:val="auto"/>
        </w:rPr>
        <w:t>In the event of a Potential Change in Control, the Company, upon written request by the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create a trust for the benefit of the Indemnitee and from time to time upon written request of the Indemnitee shall fund such trust in an amount sufficient to satisfy any and all Expenses which at the time of each such request it is reasonably anticipated will be incurred in connection with a Claim (whether by reason of or arising in part out of a Covered Event) for which the Indemnitee is entitled to rights of indemnification under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hereof, including all interest, assessments and other charges incurred in connection with or in respect of such Expenses, from time to time actually paid or claimed, reasonably anticipated or proposed to be paid. The amount or amounts to be deposited in the trust pursuant to the foregoing funding obligation shall be determined by the Reviewing Party. The terms of the trust shall provide that upon a Change in Control (a) the trust shall not be revoked or the principal thereof invaded, without the written consent of the Indemnitee, (b) the trustee shall advance, within two (2) business days of a request by the Indemnitee, any and all Expenses to the Indemnitee (and the Indemnitee hereby agrees to reimburse the trust under the circumstances under which the Indemnitee would be required to reimburse the Company under </w:t>
      </w:r>
      <w:r>
        <w:rPr>
          <w:rFonts w:ascii="Arial" w:cs="Arial" w:eastAsia="Arial" w:hAnsi="Arial"/>
          <w:sz w:val="16"/>
          <w:szCs w:val="16"/>
          <w:b w:val="1"/>
          <w:bCs w:val="1"/>
          <w:color w:val="auto"/>
        </w:rPr>
        <w:t>Section 2(b)</w:t>
      </w:r>
      <w:r>
        <w:rPr>
          <w:rFonts w:ascii="Arial" w:cs="Arial" w:eastAsia="Arial" w:hAnsi="Arial"/>
          <w:sz w:val="16"/>
          <w:szCs w:val="16"/>
          <w:color w:val="auto"/>
        </w:rPr>
        <w:t xml:space="preserve"> hereof), (iii) the trust shall continue to be funded by the Company in accordance with the funding obligation set forth above,</w:t>
      </w:r>
    </w:p>
    <w:p>
      <w:pPr>
        <w:spacing w:after="0" w:line="1" w:lineRule="exact"/>
        <w:rPr>
          <w:rFonts w:ascii="Arial" w:cs="Arial" w:eastAsia="Arial" w:hAnsi="Arial"/>
          <w:sz w:val="16"/>
          <w:szCs w:val="16"/>
          <w:b w:val="1"/>
          <w:bCs w:val="1"/>
          <w:color w:val="auto"/>
        </w:rPr>
      </w:pPr>
    </w:p>
    <w:p>
      <w:pPr>
        <w:ind w:right="140" w:firstLine="8"/>
        <w:spacing w:after="0" w:line="253" w:lineRule="auto"/>
        <w:tabs>
          <w:tab w:leader="none" w:pos="3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trustee shall promptly pay to the Indemnitee all amounts for which the Indemnitee shall be entitled to indemnification pursuant to this Agreement or otherwise, and (v) all unexpended funds in such trust shall revert to the Company upon a final determination by the Reviewing Party or a court of competent jurisdiction, as the case may be, that Indemnitee has been fully indemnified under the terms of this Agreement. The trustee shall be an institutional trustee with a highly regarded reputation chosen by the Indemnitee. Nothing in this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shall relieve the Company of any of its obligations under this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1297"/>
        <w:spacing w:after="0" w:line="289"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prevent the Board in its discretion at any time and from time to time, upon request of the Indemnitee, from providing security to the Indemnitee for the Company’s obligations hereunder through an irrevocable line of credit or other collateral. Any such security, once provided to the Indemnitee, may not be revoked or released without the prior consent of the Indemnitee.</w:t>
      </w:r>
    </w:p>
    <w:p>
      <w:pPr>
        <w:spacing w:after="0" w:line="158" w:lineRule="exact"/>
        <w:rPr>
          <w:sz w:val="20"/>
          <w:szCs w:val="20"/>
          <w:color w:val="auto"/>
        </w:rPr>
      </w:pPr>
    </w:p>
    <w:p>
      <w:pPr>
        <w:ind w:firstLine="656"/>
        <w:spacing w:after="0" w:line="261" w:lineRule="auto"/>
        <w:tabs>
          <w:tab w:leader="none" w:pos="132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and other communications under this Agreement shall be in writing and shall be deemed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if delivered by hand and signed for by the party addressed, on the date of such delivery, or (b) if mailed by domestic certified or registered mail with postage prepaid, on the third business day after the date postmarked. Addresses for notice to either party are as shown on the signature page of this Agreement or as subsequently modified by written notice.</w:t>
      </w:r>
    </w:p>
    <w:p>
      <w:pPr>
        <w:spacing w:after="0" w:line="180" w:lineRule="exact"/>
        <w:rPr>
          <w:rFonts w:ascii="Arial" w:cs="Arial" w:eastAsia="Arial" w:hAnsi="Arial"/>
          <w:sz w:val="18"/>
          <w:szCs w:val="18"/>
          <w:b w:val="1"/>
          <w:bCs w:val="1"/>
          <w:color w:val="auto"/>
        </w:rPr>
      </w:pPr>
    </w:p>
    <w:p>
      <w:pPr>
        <w:ind w:right="60" w:firstLine="656"/>
        <w:spacing w:after="0" w:line="298" w:lineRule="auto"/>
        <w:tabs>
          <w:tab w:leader="none" w:pos="1323"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The provisions of this Agreement shall be severable in the event that any of the provisions hereof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54" w:lineRule="exact"/>
        <w:rPr>
          <w:rFonts w:ascii="Arial" w:cs="Arial" w:eastAsia="Arial" w:hAnsi="Arial"/>
          <w:sz w:val="16"/>
          <w:szCs w:val="16"/>
          <w:b w:val="1"/>
          <w:bCs w:val="1"/>
          <w:color w:val="auto"/>
        </w:rPr>
      </w:pPr>
    </w:p>
    <w:p>
      <w:pPr>
        <w:ind w:right="360" w:firstLine="656"/>
        <w:spacing w:after="0" w:line="282" w:lineRule="auto"/>
        <w:tabs>
          <w:tab w:leader="none" w:pos="132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and by facsimile or electronic transmission,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and all of which, together, shall constitute one instrument.</w:t>
      </w:r>
    </w:p>
    <w:p>
      <w:pPr>
        <w:spacing w:after="0" w:line="161" w:lineRule="exact"/>
        <w:rPr>
          <w:rFonts w:ascii="Arial" w:cs="Arial" w:eastAsia="Arial" w:hAnsi="Arial"/>
          <w:sz w:val="18"/>
          <w:szCs w:val="18"/>
          <w:b w:val="1"/>
          <w:bCs w:val="1"/>
          <w:color w:val="auto"/>
        </w:rPr>
      </w:pPr>
    </w:p>
    <w:p>
      <w:pPr>
        <w:ind w:right="480" w:firstLine="656"/>
        <w:spacing w:after="0" w:line="313" w:lineRule="auto"/>
        <w:tabs>
          <w:tab w:leader="none" w:pos="1323"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This Agreement, and all rights, remedies, liabilities, powers and duties of the parties to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and construed in accordance with the laws of the State of Delaware without regard to principles of conflicts of laws.</w:t>
      </w:r>
    </w:p>
    <w:p>
      <w:pPr>
        <w:spacing w:after="0" w:line="138" w:lineRule="exact"/>
        <w:rPr>
          <w:rFonts w:ascii="Arial" w:cs="Arial" w:eastAsia="Arial" w:hAnsi="Arial"/>
          <w:sz w:val="17"/>
          <w:szCs w:val="17"/>
          <w:b w:val="1"/>
          <w:bCs w:val="1"/>
          <w:color w:val="auto"/>
        </w:rPr>
      </w:pPr>
    </w:p>
    <w:p>
      <w:pPr>
        <w:ind w:right="80" w:firstLine="656"/>
        <w:spacing w:after="0" w:line="258" w:lineRule="auto"/>
        <w:tabs>
          <w:tab w:leader="none" w:pos="132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payment under this Agreement, the Company shall be subrogated to the extent of such payment to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of recovery of the Indemnitee from any insurance policy purchased by the Company, who shall execute all documents required and shall do all acts that may be necessary to secure such rights and to enable the Company effectively to bring suit to enforce such rights. In no event, however, shall the Company or any other person have any right of recovery, through subrogation or otherwise, against (i) the Indemnitee or (ii) any insurance policy purchased or maintained by the Indemnitee.</w:t>
      </w:r>
    </w:p>
    <w:p>
      <w:pPr>
        <w:spacing w:after="0" w:line="183" w:lineRule="exact"/>
        <w:rPr>
          <w:rFonts w:ascii="Arial" w:cs="Arial" w:eastAsia="Arial" w:hAnsi="Arial"/>
          <w:sz w:val="18"/>
          <w:szCs w:val="18"/>
          <w:b w:val="1"/>
          <w:bCs w:val="1"/>
          <w:color w:val="auto"/>
        </w:rPr>
      </w:pPr>
    </w:p>
    <w:p>
      <w:pPr>
        <w:ind w:right="220" w:firstLine="656"/>
        <w:spacing w:after="0" w:line="266" w:lineRule="auto"/>
        <w:tabs>
          <w:tab w:leader="none" w:pos="132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No amendment, modification, termination or cancellation of this Agreement shall be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it is in writing signed by both the parties hereto. No waiver of any of the provisions of this Agreement shall be deemed to be or shall constitute a waiver of any other provisions hereof (whether or not similar), nor shall such waiver constitute a continuing waiver.</w:t>
      </w:r>
    </w:p>
    <w:p>
      <w:pPr>
        <w:spacing w:after="0" w:line="176" w:lineRule="exact"/>
        <w:rPr>
          <w:rFonts w:ascii="Arial" w:cs="Arial" w:eastAsia="Arial" w:hAnsi="Arial"/>
          <w:sz w:val="18"/>
          <w:szCs w:val="18"/>
          <w:b w:val="1"/>
          <w:bCs w:val="1"/>
          <w:color w:val="auto"/>
        </w:rPr>
      </w:pPr>
    </w:p>
    <w:p>
      <w:pPr>
        <w:ind w:right="100" w:firstLine="656"/>
        <w:spacing w:after="0" w:line="266" w:lineRule="auto"/>
        <w:tabs>
          <w:tab w:leader="none" w:pos="132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AND ENTIRE AGREEMENT. </w:t>
      </w:r>
      <w:r>
        <w:rPr>
          <w:rFonts w:ascii="Arial" w:cs="Arial" w:eastAsia="Arial" w:hAnsi="Arial"/>
          <w:sz w:val="18"/>
          <w:szCs w:val="18"/>
          <w:color w:val="auto"/>
        </w:rPr>
        <w:t>This Agreement sets forth the entire understanding between the parties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and merges all previous written and oral negotiations, commitments, understandings and agreements relating to the subject matter hereof between the parties 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80" w:firstLine="656"/>
        <w:spacing w:after="0" w:line="282" w:lineRule="auto"/>
        <w:tabs>
          <w:tab w:leader="none" w:pos="1323"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CONSTRUCTION AS EMPLOYMENT AGREEMENT. </w:t>
      </w:r>
      <w:r>
        <w:rPr>
          <w:rFonts w:ascii="Arial" w:cs="Arial" w:eastAsia="Arial" w:hAnsi="Arial"/>
          <w:sz w:val="18"/>
          <w:szCs w:val="18"/>
          <w:color w:val="auto"/>
        </w:rPr>
        <w:t>Nothing contained in this Agreement shall be construed as giving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any right to employment by the Company or any of its subsidiaries or affiliated entities.</w:t>
      </w:r>
    </w:p>
    <w:p>
      <w:pPr>
        <w:spacing w:after="0" w:line="161" w:lineRule="exact"/>
        <w:rPr>
          <w:rFonts w:ascii="Arial" w:cs="Arial" w:eastAsia="Arial" w:hAnsi="Arial"/>
          <w:sz w:val="18"/>
          <w:szCs w:val="18"/>
          <w:b w:val="1"/>
          <w:bCs w:val="1"/>
          <w:color w:val="auto"/>
        </w:rPr>
      </w:pPr>
    </w:p>
    <w:p>
      <w:pPr>
        <w:ind w:right="20" w:firstLine="656"/>
        <w:spacing w:after="0" w:line="293" w:lineRule="auto"/>
        <w:tabs>
          <w:tab w:leader="none" w:pos="1323"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PERIOD OF LIMITATIONS. </w:t>
      </w:r>
      <w:r>
        <w:rPr>
          <w:rFonts w:ascii="Arial" w:cs="Arial" w:eastAsia="Arial" w:hAnsi="Arial"/>
          <w:sz w:val="16"/>
          <w:szCs w:val="16"/>
          <w:color w:val="auto"/>
        </w:rPr>
        <w:t>No legal action shall be brought and no cause of action shall be asserted by or on behalf of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of the Company against the Indemnitee, the Indemnitee’s spouse, heirs, executors or personal or legal representatives after the expiration of two</w:t>
      </w:r>
    </w:p>
    <w:p>
      <w:pPr>
        <w:spacing w:after="0" w:line="1" w:lineRule="exact"/>
        <w:rPr>
          <w:rFonts w:ascii="Arial" w:cs="Arial" w:eastAsia="Arial" w:hAnsi="Arial"/>
          <w:sz w:val="16"/>
          <w:szCs w:val="16"/>
          <w:b w:val="1"/>
          <w:bCs w:val="1"/>
          <w:color w:val="auto"/>
        </w:rPr>
      </w:pPr>
    </w:p>
    <w:p>
      <w:pPr>
        <w:jc w:val="both"/>
        <w:ind w:right="420" w:firstLine="8"/>
        <w:spacing w:after="0" w:line="302"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years from the date of such cause of action, or such longer period as may be required by state law under the circumstances, and any claim or cause of action of the Company or its affiliate shall be extinguished and deemed released unless asserted by the timely filing of a legal action within such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shorter period of limitations is otherwise applicable to any such cause of action, such shorter period shall govern.</w:t>
      </w:r>
    </w:p>
    <w:p>
      <w:pPr>
        <w:spacing w:after="0" w:line="151" w:lineRule="exact"/>
        <w:rPr>
          <w:rFonts w:ascii="Arial" w:cs="Arial" w:eastAsia="Arial" w:hAnsi="Arial"/>
          <w:sz w:val="16"/>
          <w:szCs w:val="16"/>
          <w:color w:val="auto"/>
        </w:rPr>
      </w:pPr>
    </w:p>
    <w:p>
      <w:pPr>
        <w:ind w:right="180" w:firstLine="656"/>
        <w:spacing w:after="0" w:line="266" w:lineRule="auto"/>
        <w:tabs>
          <w:tab w:leader="none" w:pos="1323"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ACTS. </w:t>
      </w:r>
      <w:r>
        <w:rPr>
          <w:rFonts w:ascii="Arial" w:cs="Arial" w:eastAsia="Arial" w:hAnsi="Arial"/>
          <w:sz w:val="18"/>
          <w:szCs w:val="18"/>
          <w:color w:val="auto"/>
        </w:rPr>
        <w:t>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the Company undertakes to cause such act, resolution, approval or other procedure to be affected or adopted in a manner that will enable the Company to fulfill its obligations under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59" w:name="page60"/>
    <w:bookmarkEnd w:id="59"/>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Indemnification Agreement as of the date first above written.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2416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Senior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4820 Eastgate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2416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1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1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474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1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1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0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26, 2011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20" w:hanging="644"/>
        <w:spacing w:after="0" w:line="277" w:lineRule="auto"/>
        <w:tabs>
          <w:tab w:leader="none" w:pos="13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26, 2011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x"/>
      <w:numFmt w:val="bullet"/>
      <w:start w:val="1"/>
    </w:lvl>
  </w:abstractNum>
  <w:abstractNum w:abstractNumId="1">
    <w:nsid w:val="579478FE"/>
    <w:multiLevelType w:val="hybridMultilevel"/>
    <w:lvl w:ilvl="0">
      <w:lvlJc w:val="left"/>
      <w:lvlText w:val="o"/>
      <w:numFmt w:val="bullet"/>
      <w:start w:val="1"/>
    </w:lvl>
  </w:abstractNum>
  <w:abstractNum w:abstractNumId="2">
    <w:nsid w:val="749ABB43"/>
    <w:multiLevelType w:val="hybridMultilevel"/>
    <w:lvl w:ilvl="0">
      <w:lvlJc w:val="left"/>
      <w:lvlText w:val="(%1)"/>
      <w:numFmt w:val="lowerLetter"/>
      <w:start w:val="1"/>
    </w:lvl>
  </w:abstractNum>
  <w:abstractNum w:abstractNumId="3">
    <w:nsid w:val="3DC240FB"/>
    <w:multiLevelType w:val="hybridMultilevel"/>
    <w:lvl w:ilvl="0">
      <w:lvlJc w:val="left"/>
      <w:lvlText w:val="(%1)"/>
      <w:numFmt w:val="lowerLetter"/>
      <w:start w:val="2"/>
    </w:lvl>
  </w:abstractNum>
  <w:abstractNum w:abstractNumId="4">
    <w:nsid w:val="1BA026FA"/>
    <w:multiLevelType w:val="hybridMultilevel"/>
    <w:lvl w:ilvl="0">
      <w:lvlJc w:val="left"/>
      <w:lvlText w:val="(%1)"/>
      <w:numFmt w:val="lowerLetter"/>
      <w:start w:val="3"/>
    </w:lvl>
  </w:abstractNum>
  <w:abstractNum w:abstractNumId="5">
    <w:nsid w:val="79A1DEAA"/>
    <w:multiLevelType w:val="hybridMultilevel"/>
    <w:lvl w:ilvl="0">
      <w:lvlJc w:val="left"/>
      <w:lvlText w:val="(%1)"/>
      <w:numFmt w:val="lowerLetter"/>
      <w:start w:val="4"/>
    </w:lvl>
  </w:abstractNum>
  <w:abstractNum w:abstractNumId="6">
    <w:nsid w:val="75C6C33A"/>
    <w:multiLevelType w:val="hybridMultilevel"/>
    <w:lvl w:ilvl="0">
      <w:lvlJc w:val="left"/>
      <w:lvlText w:val="(%1)"/>
      <w:numFmt w:val="lowerLetter"/>
      <w:start w:val="5"/>
    </w:lvl>
  </w:abstractNum>
  <w:abstractNum w:abstractNumId="7">
    <w:nsid w:val="12E685FB"/>
    <w:multiLevelType w:val="hybridMultilevel"/>
    <w:lvl w:ilvl="0">
      <w:lvlJc w:val="left"/>
      <w:lvlText w:val="(%1)"/>
      <w:numFmt w:val="lowerLetter"/>
      <w:start w:val="6"/>
    </w:lvl>
  </w:abstractNum>
  <w:abstractNum w:abstractNumId="8">
    <w:nsid w:val="70C6A529"/>
    <w:multiLevelType w:val="hybridMultilevel"/>
    <w:lvl w:ilvl="0">
      <w:lvlJc w:val="left"/>
      <w:lvlText w:val="(%1)"/>
      <w:numFmt w:val="lowerLetter"/>
      <w:start w:val="1"/>
    </w:lvl>
  </w:abstractNum>
  <w:abstractNum w:abstractNumId="9">
    <w:nsid w:val="520EEDD1"/>
    <w:multiLevelType w:val="hybridMultilevel"/>
    <w:lvl w:ilvl="0">
      <w:lvlJc w:val="left"/>
      <w:lvlText w:val="(%1)"/>
      <w:numFmt w:val="lowerRoman"/>
      <w:start w:val="2"/>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lowerLetter"/>
      <w:start w:val="2"/>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2"/>
    </w:lvl>
  </w:abstractNum>
  <w:abstractNum w:abstractNumId="14">
    <w:nsid w:val="275AC794"/>
    <w:multiLevelType w:val="hybridMultilevel"/>
    <w:lvl w:ilvl="0">
      <w:lvlJc w:val="left"/>
      <w:lvlText w:val="(%1)"/>
      <w:numFmt w:val="lowerLetter"/>
      <w:start w:val="2"/>
    </w:lvl>
  </w:abstractNum>
  <w:abstractNum w:abstractNumId="15">
    <w:nsid w:val="39386575"/>
    <w:multiLevelType w:val="hybridMultilevel"/>
    <w:lvl w:ilvl="0">
      <w:lvlJc w:val="left"/>
      <w:lvlText w:val="(%1)"/>
      <w:numFmt w:val="lowerLetter"/>
      <w:start w:val="1"/>
    </w:lvl>
  </w:abstractNum>
  <w:abstractNum w:abstractNumId="16">
    <w:nsid w:val="1CF10FD8"/>
    <w:multiLevelType w:val="hybridMultilevel"/>
    <w:lvl w:ilvl="0">
      <w:lvlJc w:val="left"/>
      <w:lvlText w:val="(%1)"/>
      <w:numFmt w:val="lowerLetter"/>
      <w:start w:val="2"/>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lowerRoman"/>
      <w:start w:val="2"/>
    </w:lvl>
  </w:abstractNum>
  <w:abstractNum w:abstractNumId="20">
    <w:nsid w:val="354FE9F9"/>
    <w:multiLevelType w:val="hybridMultilevel"/>
    <w:lvl w:ilvl="0">
      <w:lvlJc w:val="left"/>
      <w:lvlText w:val="(%1)"/>
      <w:numFmt w:val="lowerRoman"/>
      <w:start w:val="2"/>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decimal"/>
      <w:start w:val="3"/>
    </w:lvl>
  </w:abstractNum>
  <w:abstractNum w:abstractNumId="25">
    <w:nsid w:val="3F6AB60F"/>
    <w:multiLevelType w:val="hybridMultilevel"/>
    <w:lvl w:ilvl="0">
      <w:lvlJc w:val="left"/>
      <w:lvlText w:val="%1."/>
      <w:numFmt w:val="decimal"/>
      <w:start w:val="5"/>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3"/>
    </w:lvl>
  </w:abstractNum>
  <w:abstractNum w:abstractNumId="28">
    <w:nsid w:val="77AE35EB"/>
    <w:multiLevelType w:val="hybridMultilevel"/>
    <w:lvl w:ilvl="0">
      <w:lvlJc w:val="left"/>
      <w:lvlText w:val="(%1)"/>
      <w:numFmt w:val="lowerLetter"/>
      <w:start w:val="1"/>
    </w:lvl>
    <w:lvl w:ilvl="1">
      <w:lvlJc w:val="left"/>
      <w:lvlText w:val="(%2)"/>
      <w:numFmt w:val="lowerLetter"/>
      <w:start w:val="9"/>
    </w:lvl>
  </w:abstractNum>
  <w:abstractNum w:abstractNumId="29">
    <w:nsid w:val="579BE4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0">
    <w:nsid w:val="310C50B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1">
    <w:nsid w:val="5FF87E0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2">
    <w:nsid w:val="2F305DEF"/>
    <w:multiLevelType w:val="hybridMultilevel"/>
    <w:lvl w:ilvl="0">
      <w:lvlJc w:val="left"/>
      <w:lvlText w:val="(%1)"/>
      <w:numFmt w:val="lowerLetter"/>
      <w:start w:val="1"/>
    </w:lvl>
    <w:lvl w:ilvl="1">
      <w:lvlJc w:val="left"/>
      <w:lvlText w:val="(%2)"/>
      <w:numFmt w:val="lowerLetter"/>
      <w:start w:val="9"/>
    </w:lvl>
  </w:abstractNum>
  <w:abstractNum w:abstractNumId="33">
    <w:nsid w:val="25A70BF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4">
    <w:nsid w:val="1DBABF0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4"/>
    </w:lvl>
  </w:abstractNum>
  <w:abstractNum w:abstractNumId="35">
    <w:nsid w:val="4AD084E9"/>
    <w:multiLevelType w:val="hybridMultilevel"/>
    <w:lvl w:ilvl="0">
      <w:lvlJc w:val="left"/>
      <w:lvlText w:val="(%1)"/>
      <w:numFmt w:val="lowerLetter"/>
      <w:start w:val="5"/>
    </w:lvl>
  </w:abstractNum>
  <w:abstractNum w:abstractNumId="36">
    <w:nsid w:val="1F48EAA1"/>
    <w:multiLevelType w:val="hybridMultilevel"/>
    <w:lvl w:ilvl="0">
      <w:lvlJc w:val="left"/>
      <w:lvlText w:val="(%1)"/>
      <w:numFmt w:val="lowerLetter"/>
      <w:start w:val="7"/>
    </w:lvl>
  </w:abstractNum>
  <w:abstractNum w:abstractNumId="37">
    <w:nsid w:val="1381823A"/>
    <w:multiLevelType w:val="hybridMultilevel"/>
    <w:lvl w:ilvl="0">
      <w:lvlJc w:val="left"/>
      <w:lvlText w:val="%1."/>
      <w:numFmt w:val="decimal"/>
      <w:start w:val="8"/>
    </w:lvl>
  </w:abstractNum>
  <w:abstractNum w:abstractNumId="38">
    <w:nsid w:val="5DB70AE5"/>
    <w:multiLevelType w:val="hybridMultilevel"/>
    <w:lvl w:ilvl="0">
      <w:lvlJc w:val="left"/>
      <w:lvlText w:val="%1."/>
      <w:numFmt w:val="decimal"/>
      <w:start w:val="9"/>
    </w:lvl>
  </w:abstractNum>
  <w:abstractNum w:abstractNumId="39">
    <w:nsid w:val="100F8FCA"/>
    <w:multiLevelType w:val="hybridMultilevel"/>
    <w:lvl w:ilvl="0">
      <w:lvlJc w:val="left"/>
      <w:lvlText w:val="%1."/>
      <w:numFmt w:val="decimal"/>
      <w:start w:val="13"/>
    </w:lvl>
  </w:abstractNum>
  <w:abstractNum w:abstractNumId="40">
    <w:nsid w:val="6590700B"/>
    <w:multiLevelType w:val="hybridMultilevel"/>
    <w:lvl w:ilvl="0">
      <w:lvlJc w:val="left"/>
      <w:lvlText w:val="%1."/>
      <w:numFmt w:val="decimal"/>
      <w:start w:val="14"/>
    </w:lvl>
  </w:abstractNum>
  <w:abstractNum w:abstractNumId="41">
    <w:nsid w:val="15014ACB"/>
    <w:multiLevelType w:val="hybridMultilevel"/>
    <w:lvl w:ilvl="0">
      <w:lvlJc w:val="left"/>
      <w:lvlText w:val="%1."/>
      <w:numFmt w:val="upperLetter"/>
      <w:start w:val="1"/>
    </w:lvl>
  </w:abstractNum>
  <w:abstractNum w:abstractNumId="42">
    <w:nsid w:val="5F5E7FD0"/>
    <w:multiLevelType w:val="hybridMultilevel"/>
    <w:lvl w:ilvl="0">
      <w:lvlJc w:val="left"/>
      <w:lvlText w:val="%1."/>
      <w:numFmt w:val="decimal"/>
      <w:start w:val="1"/>
    </w:lvl>
    <w:lvl w:ilvl="1">
      <w:lvlJc w:val="left"/>
      <w:lvlText w:val="(%2)"/>
      <w:numFmt w:val="lowerLetter"/>
      <w:start w:val="1"/>
    </w:lvl>
  </w:abstractNum>
  <w:abstractNum w:abstractNumId="43">
    <w:nsid w:val="98A3148"/>
    <w:multiLevelType w:val="hybridMultilevel"/>
    <w:lvl w:ilvl="0">
      <w:lvlJc w:val="left"/>
      <w:lvlText w:val="(%1)"/>
      <w:numFmt w:val="lowerLetter"/>
      <w:start w:val="2"/>
    </w:lvl>
  </w:abstractNum>
  <w:abstractNum w:abstractNumId="44">
    <w:nsid w:val="799D02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42C296BD"/>
    <w:multiLevelType w:val="hybridMultilevel"/>
    <w:lvl w:ilvl="0">
      <w:lvlJc w:val="left"/>
      <w:lvlText w:val="%1"/>
      <w:numFmt w:val="lowerLetter"/>
      <w:start w:val="1"/>
    </w:lvl>
    <w:lvl w:ilvl="1">
      <w:lvlJc w:val="left"/>
      <w:lvlText w:val="(%2)"/>
      <w:numFmt w:val="lowerRoman"/>
      <w:start w:val="3"/>
    </w:lvl>
  </w:abstractNum>
  <w:abstractNum w:abstractNumId="47">
    <w:nsid w:val="168E121F"/>
    <w:multiLevelType w:val="hybridMultilevel"/>
    <w:lvl w:ilvl="0">
      <w:lvlJc w:val="left"/>
      <w:lvlText w:val="(%1)"/>
      <w:numFmt w:val="lowerLetter"/>
      <w:start w:val="2"/>
    </w:lvl>
    <w:lvl w:ilvl="1">
      <w:lvlJc w:val="left"/>
      <w:lvlText w:val="%2"/>
      <w:numFmt w:val="lowerRoman"/>
      <w:start w:val="1"/>
    </w:lvl>
  </w:abstractNum>
  <w:abstractNum w:abstractNumId="48">
    <w:nsid w:val="1EBA5D23"/>
    <w:multiLevelType w:val="hybridMultilevel"/>
    <w:lvl w:ilvl="0">
      <w:lvlJc w:val="left"/>
      <w:lvlText w:val="%1."/>
      <w:numFmt w:val="decimal"/>
      <w:start w:val="5"/>
    </w:lvl>
    <w:lvl w:ilvl="1">
      <w:lvlJc w:val="left"/>
      <w:lvlText w:val="(%2)"/>
      <w:numFmt w:val="lowerLetter"/>
      <w:start w:val="1"/>
    </w:lvl>
  </w:abstractNum>
  <w:abstractNum w:abstractNumId="49">
    <w:nsid w:val="661E3F1E"/>
    <w:multiLevelType w:val="hybridMultilevel"/>
    <w:lvl w:ilvl="0">
      <w:lvlJc w:val="left"/>
      <w:lvlText w:val="(%1)"/>
      <w:numFmt w:val="lowerLetter"/>
      <w:start w:val="3"/>
    </w:lvl>
  </w:abstractNum>
  <w:abstractNum w:abstractNumId="50">
    <w:nsid w:val="5DC79EA8"/>
    <w:multiLevelType w:val="hybridMultilevel"/>
    <w:lvl w:ilvl="0">
      <w:lvlJc w:val="left"/>
      <w:lvlText w:val="%1."/>
      <w:numFmt w:val="upperLetter"/>
      <w:start w:val="1"/>
    </w:lvl>
  </w:abstractNum>
  <w:abstractNum w:abstractNumId="51">
    <w:nsid w:val="540A471C"/>
    <w:multiLevelType w:val="hybridMultilevel"/>
    <w:lvl w:ilvl="0">
      <w:lvlJc w:val="left"/>
      <w:lvlText w:val="%1."/>
      <w:numFmt w:val="decimal"/>
      <w:start w:val="1"/>
    </w:lvl>
    <w:lvl w:ilvl="1">
      <w:lvlJc w:val="left"/>
      <w:lvlText w:val="(%2)"/>
      <w:numFmt w:val="lowerLetter"/>
      <w:start w:val="1"/>
    </w:lvl>
  </w:abstractNum>
  <w:abstractNum w:abstractNumId="52">
    <w:nsid w:val="7BD3EE7B"/>
    <w:multiLevelType w:val="hybridMultilevel"/>
    <w:lvl w:ilvl="0">
      <w:lvlJc w:val="left"/>
      <w:lvlText w:val="(%1)"/>
      <w:numFmt w:val="lowerLetter"/>
      <w:start w:val="2"/>
    </w:lvl>
  </w:abstractNum>
  <w:abstractNum w:abstractNumId="53">
    <w:nsid w:val="51D9C5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
    <w:nsid w:val="613EFD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5">
    <w:nsid w:val="BF72B1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56">
    <w:nsid w:val="11447B73"/>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57">
    <w:nsid w:val="42963E5A"/>
    <w:multiLevelType w:val="hybridMultilevel"/>
    <w:lvl w:ilvl="0">
      <w:lvlJc w:val="left"/>
      <w:lvlText w:val="%1."/>
      <w:numFmt w:val="decimal"/>
      <w:start w:val="5"/>
    </w:lvl>
    <w:lvl w:ilvl="1">
      <w:lvlJc w:val="left"/>
      <w:lvlText w:val="(%2)"/>
      <w:numFmt w:val="lowerLetter"/>
      <w:start w:val="1"/>
    </w:lvl>
  </w:abstractNum>
  <w:abstractNum w:abstractNumId="58">
    <w:nsid w:val="A0382C5"/>
    <w:multiLevelType w:val="hybridMultilevel"/>
    <w:lvl w:ilvl="0">
      <w:lvlJc w:val="left"/>
      <w:lvlText w:val="(%1)"/>
      <w:numFmt w:val="lowerLetter"/>
      <w:start w:val="3"/>
    </w:lvl>
  </w:abstractNum>
  <w:abstractNum w:abstractNumId="59">
    <w:nsid w:val="8F2B15E"/>
    <w:multiLevelType w:val="hybridMultilevel"/>
    <w:lvl w:ilvl="0">
      <w:lvlJc w:val="left"/>
      <w:lvlText w:val="%1."/>
      <w:numFmt w:val="upperLetter"/>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start w:val="3"/>
    </w:lvl>
  </w:abstractNum>
  <w:abstractNum w:abstractNumId="62">
    <w:nsid w:val="68EB2F63"/>
    <w:multiLevelType w:val="hybridMultilevel"/>
    <w:lvl w:ilvl="0">
      <w:lvlJc w:val="left"/>
      <w:lvlText w:val="%1."/>
      <w:numFmt w:val="upperLetter"/>
      <w:start w:val="1"/>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decimal"/>
      <w:start w:val="3"/>
    </w:lvl>
  </w:abstractNum>
  <w:abstractNum w:abstractNumId="65">
    <w:nsid w:val="6A5EE64"/>
    <w:multiLevelType w:val="hybridMultilevel"/>
    <w:lvl w:ilvl="0">
      <w:lvlJc w:val="left"/>
      <w:lvlText w:val="%1."/>
      <w:numFmt w:val="decimal"/>
      <w:start w:val="18"/>
    </w:lvl>
  </w:abstractNum>
  <w:abstractNum w:abstractNumId="66">
    <w:nsid w:val="14330624"/>
    <w:multiLevelType w:val="hybridMultilevel"/>
    <w:lvl w:ilvl="0">
      <w:lvlJc w:val="left"/>
      <w:lvlText w:val="%1."/>
      <w:numFmt w:val="decimal"/>
      <w:start w:val="1"/>
    </w:lvl>
    <w:lvl w:ilvl="1">
      <w:lvlJc w:val="left"/>
      <w:lvlText w:val="(%2)"/>
      <w:numFmt w:val="lowerLetter"/>
      <w:start w:val="1"/>
    </w:lvl>
  </w:abstractNum>
  <w:abstractNum w:abstractNumId="67">
    <w:nsid w:val="7FFFCA11"/>
    <w:multiLevelType w:val="hybridMultilevel"/>
    <w:lvl w:ilvl="0">
      <w:lvlJc w:val="left"/>
      <w:lvlText w:val="(%1)"/>
      <w:numFmt w:val="lowerLetter"/>
      <w:start w:val="2"/>
    </w:lvl>
    <w:lvl w:ilvl="1">
      <w:lvlJc w:val="left"/>
      <w:lvlText w:val="(%2)"/>
      <w:numFmt w:val="lowerLetter"/>
      <w:start w:val="3"/>
    </w:lvl>
  </w:abstractNum>
  <w:abstractNum w:abstractNumId="68">
    <w:nsid w:val="1A27709E"/>
    <w:multiLevelType w:val="hybridMultilevel"/>
    <w:lvl w:ilvl="0">
      <w:lvlJc w:val="left"/>
      <w:lvlText w:val="(%1)"/>
      <w:numFmt w:val="lowerLetter"/>
      <w:start w:val="4"/>
    </w:lvl>
  </w:abstractNum>
  <w:abstractNum w:abstractNumId="69">
    <w:nsid w:val="71EA1109"/>
    <w:multiLevelType w:val="hybridMultilevel"/>
    <w:lvl w:ilvl="0">
      <w:lvlJc w:val="left"/>
      <w:lvlText w:val="(%1)"/>
      <w:numFmt w:val="lowerLetter"/>
      <w:start w:val="5"/>
    </w:lvl>
  </w:abstractNum>
  <w:abstractNum w:abstractNumId="70">
    <w:nsid w:val="100F59DC"/>
    <w:multiLevelType w:val="hybridMultilevel"/>
    <w:lvl w:ilvl="0">
      <w:lvlJc w:val="left"/>
      <w:lvlText w:val="(%1)"/>
      <w:numFmt w:val="lowerLetter"/>
      <w:start w:val="6"/>
    </w:lvl>
  </w:abstractNum>
  <w:abstractNum w:abstractNumId="71">
    <w:nsid w:val="7FB7E0AA"/>
    <w:multiLevelType w:val="hybridMultilevel"/>
    <w:lvl w:ilvl="0">
      <w:lvlJc w:val="left"/>
      <w:lvlText w:val="(%1)"/>
      <w:numFmt w:val="lowerLetter"/>
      <w:start w:val="8"/>
    </w:lvl>
  </w:abstractNum>
  <w:abstractNum w:abstractNumId="72">
    <w:nsid w:val="6EB5BD4"/>
    <w:multiLevelType w:val="hybridMultilevel"/>
    <w:lvl w:ilvl="0">
      <w:lvlJc w:val="left"/>
      <w:lvlText w:val="%1"/>
      <w:numFmt w:val="decimal"/>
      <w:start w:val="1"/>
    </w:lvl>
    <w:lvl w:ilvl="1">
      <w:lvlJc w:val="left"/>
      <w:lvlText w:val="(%2)"/>
      <w:numFmt w:val="lowerLetter"/>
      <w:start w:val="11"/>
    </w:lvl>
  </w:abstractNum>
  <w:abstractNum w:abstractNumId="73">
    <w:nsid w:val="6F6DD9AC"/>
    <w:multiLevelType w:val="hybridMultilevel"/>
    <w:lvl w:ilvl="0">
      <w:lvlJc w:val="left"/>
      <w:lvlText w:val="%1."/>
      <w:numFmt w:val="decimal"/>
      <w:start w:val="2"/>
    </w:lvl>
    <w:lvl w:ilvl="1">
      <w:lvlJc w:val="left"/>
      <w:lvlText w:val="(%2)"/>
      <w:numFmt w:val="lowerLetter"/>
      <w:start w:val="1"/>
    </w:lvl>
  </w:abstractNum>
  <w:abstractNum w:abstractNumId="74">
    <w:nsid w:val="94211F2"/>
    <w:multiLevelType w:val="hybridMultilevel"/>
    <w:lvl w:ilvl="0">
      <w:lvlJc w:val="left"/>
      <w:lvlText w:val="(%1)"/>
      <w:numFmt w:val="lowerLetter"/>
      <w:start w:val="4"/>
    </w:lvl>
  </w:abstractNum>
  <w:abstractNum w:abstractNumId="75">
    <w:nsid w:val="885E1B"/>
    <w:multiLevelType w:val="hybridMultilevel"/>
    <w:lvl w:ilvl="0">
      <w:lvlJc w:val="left"/>
      <w:lvlText w:val="(%1)"/>
      <w:numFmt w:val="lowerLetter"/>
      <w:start w:val="5"/>
    </w:lvl>
  </w:abstractNum>
  <w:abstractNum w:abstractNumId="76">
    <w:nsid w:val="76272110"/>
    <w:multiLevelType w:val="hybridMultilevel"/>
    <w:lvl w:ilvl="0">
      <w:lvlJc w:val="left"/>
      <w:lvlText w:val="%1."/>
      <w:numFmt w:val="decimal"/>
      <w:start w:val="3"/>
    </w:lvl>
    <w:lvl w:ilvl="1">
      <w:lvlJc w:val="left"/>
      <w:lvlText w:val="(%2)"/>
      <w:numFmt w:val="lowerLetter"/>
      <w:start w:val="1"/>
    </w:lvl>
  </w:abstractNum>
  <w:abstractNum w:abstractNumId="77">
    <w:nsid w:val="4C04A8AF"/>
    <w:multiLevelType w:val="hybridMultilevel"/>
    <w:lvl w:ilvl="0">
      <w:lvlJc w:val="left"/>
      <w:lvlText w:val="%1"/>
      <w:numFmt w:val="decimal"/>
      <w:start w:val="1"/>
    </w:lvl>
    <w:lvl w:ilvl="1">
      <w:lvlJc w:val="left"/>
      <w:lvlText w:val="(%2)"/>
      <w:numFmt w:val="lowerLetter"/>
      <w:start w:val="2"/>
    </w:lvl>
  </w:abstractNum>
  <w:abstractNum w:abstractNumId="78">
    <w:nsid w:val="1716703B"/>
    <w:multiLevelType w:val="hybridMultilevel"/>
    <w:lvl w:ilvl="0">
      <w:lvlJc w:val="left"/>
      <w:lvlText w:val="%1."/>
      <w:numFmt w:val="decimal"/>
      <w:start w:val="4"/>
    </w:lvl>
    <w:lvl w:ilvl="1">
      <w:lvlJc w:val="left"/>
      <w:lvlText w:val="(%2)"/>
      <w:numFmt w:val="lowerLetter"/>
      <w:start w:val="1"/>
    </w:lvl>
  </w:abstractNum>
  <w:abstractNum w:abstractNumId="79">
    <w:nsid w:val="14E17E33"/>
    <w:multiLevelType w:val="hybridMultilevel"/>
    <w:lvl w:ilvl="0">
      <w:lvlJc w:val="left"/>
      <w:lvlText w:val="(%1)"/>
      <w:numFmt w:val="lowerLetter"/>
      <w:start w:val="4"/>
    </w:lvl>
  </w:abstractNum>
  <w:abstractNum w:abstractNumId="80">
    <w:nsid w:val="3222E7CD"/>
    <w:multiLevelType w:val="hybridMultilevel"/>
    <w:lvl w:ilvl="0">
      <w:lvlJc w:val="left"/>
      <w:lvlText w:val="%1"/>
      <w:numFmt w:val="decimal"/>
      <w:start w:val="1"/>
    </w:lvl>
    <w:lvl w:ilvl="1">
      <w:lvlJc w:val="left"/>
      <w:lvlText w:val="(%2)"/>
      <w:numFmt w:val="lowerLetter"/>
      <w:start w:val="5"/>
    </w:lvl>
  </w:abstractNum>
  <w:abstractNum w:abstractNumId="81">
    <w:nsid w:val="74DE0EE3"/>
    <w:multiLevelType w:val="hybridMultilevel"/>
    <w:lvl w:ilvl="0">
      <w:lvlJc w:val="left"/>
      <w:lvlText w:val="%1."/>
      <w:numFmt w:val="decimal"/>
      <w:start w:val="5"/>
    </w:lvl>
    <w:lvl w:ilvl="1">
      <w:lvlJc w:val="left"/>
      <w:lvlText w:val="(%2)"/>
      <w:numFmt w:val="lowerLetter"/>
      <w:start w:val="1"/>
    </w:lvl>
  </w:abstractNum>
  <w:abstractNum w:abstractNumId="82">
    <w:nsid w:val="68EBC550"/>
    <w:multiLevelType w:val="hybridMultilevel"/>
    <w:lvl w:ilvl="0">
      <w:lvlJc w:val="left"/>
      <w:lvlText w:val="%1"/>
      <w:numFmt w:val="decimal"/>
      <w:start w:val="1"/>
    </w:lvl>
    <w:lvl w:ilvl="1">
      <w:lvlJc w:val="left"/>
      <w:lvlText w:val="(%2)"/>
      <w:numFmt w:val="lowerLetter"/>
      <w:start w:val="2"/>
    </w:lvl>
  </w:abstractNum>
  <w:abstractNum w:abstractNumId="83">
    <w:nsid w:val="2DF6D648"/>
    <w:multiLevelType w:val="hybridMultilevel"/>
    <w:lvl w:ilvl="0">
      <w:lvlJc w:val="left"/>
      <w:lvlText w:val="%1."/>
      <w:numFmt w:val="decimal"/>
      <w:start w:val="6"/>
    </w:lvl>
    <w:lvl w:ilvl="1">
      <w:lvlJc w:val="left"/>
      <w:lvlText w:val="%2"/>
      <w:numFmt w:val="lowerLetter"/>
      <w:start w:val="1"/>
    </w:lvl>
  </w:abstractNum>
  <w:abstractNum w:abstractNumId="84">
    <w:nsid w:val="46B7D447"/>
    <w:multiLevelType w:val="hybridMultilevel"/>
    <w:lvl w:ilvl="0">
      <w:lvlJc w:val="left"/>
      <w:lvlText w:val="%1."/>
      <w:numFmt w:val="decimal"/>
      <w:start w:val="9"/>
    </w:lvl>
    <w:lvl w:ilvl="1">
      <w:lvlJc w:val="left"/>
      <w:lvlText w:val="(%2)"/>
      <w:numFmt w:val="lowerLetter"/>
      <w:start w:val="1"/>
    </w:lvl>
  </w:abstractNum>
  <w:abstractNum w:abstractNumId="85">
    <w:nsid w:val="4A2AC315"/>
    <w:multiLevelType w:val="hybridMultilevel"/>
    <w:lvl w:ilvl="0">
      <w:lvlJc w:val="left"/>
      <w:lvlText w:val="%1"/>
      <w:numFmt w:val="decimal"/>
      <w:start w:val="1"/>
    </w:lvl>
    <w:lvl w:ilvl="1">
      <w:lvlJc w:val="left"/>
      <w:lvlText w:val="(%2)"/>
      <w:numFmt w:val="lowerLetter"/>
      <w:start w:val="2"/>
    </w:lvl>
  </w:abstractNum>
  <w:abstractNum w:abstractNumId="86">
    <w:nsid w:val="39EE015C"/>
    <w:multiLevelType w:val="hybridMultilevel"/>
    <w:lvl w:ilvl="0">
      <w:lvlJc w:val="left"/>
      <w:lvlText w:val="%1."/>
      <w:numFmt w:val="decimal"/>
      <w:start w:val="10"/>
    </w:lvl>
    <w:lvl w:ilvl="1">
      <w:lvlJc w:val="left"/>
      <w:lvlText w:val="%2"/>
      <w:numFmt w:val="lowerLetter"/>
      <w:start w:val="1"/>
    </w:lvl>
  </w:abstractNum>
  <w:abstractNum w:abstractNumId="87">
    <w:nsid w:val="57FC4FBB"/>
    <w:multiLevelType w:val="hybridMultilevel"/>
    <w:lvl w:ilvl="0">
      <w:lvlJc w:val="left"/>
      <w:lvlText w:val="%1."/>
      <w:numFmt w:val="decimal"/>
      <w:start w:val="12"/>
    </w:lvl>
  </w:abstractNum>
  <w:abstractNum w:abstractNumId="88">
    <w:nsid w:val="CC1016F"/>
    <w:multiLevelType w:val="hybridMultilevel"/>
    <w:lvl w:ilvl="0">
      <w:lvlJc w:val="left"/>
      <w:lvlText w:val="%1"/>
      <w:numFmt w:val="lowerRoman"/>
      <w:start w:val="1"/>
    </w:lvl>
    <w:lvl w:ilvl="1">
      <w:lvlJc w:val="left"/>
      <w:lvlText w:val="%2."/>
      <w:numFmt w:val="decimal"/>
      <w:start w:val="13"/>
    </w:lvl>
  </w:abstractNum>
  <w:abstractNum w:abstractNumId="89">
    <w:nsid w:val="43F18422"/>
    <w:multiLevelType w:val="hybridMultilevel"/>
    <w:lvl w:ilvl="0">
      <w:lvlJc w:val="left"/>
      <w:lvlText w:val="(%1)"/>
      <w:numFmt w:val="lowerRoman"/>
      <w:start w:val="4"/>
    </w:lvl>
    <w:lvl w:ilvl="1">
      <w:lvlJc w:val="left"/>
      <w:lvlText w:val="%2"/>
      <w:numFmt w:val="decimal"/>
      <w:start w:val="1"/>
    </w:lvl>
  </w:abstractNum>
  <w:abstractNum w:abstractNumId="90">
    <w:nsid w:val="60EF0119"/>
    <w:multiLevelType w:val="hybridMultilevel"/>
    <w:lvl w:ilvl="0">
      <w:lvlJc w:val="left"/>
      <w:lvlText w:val="%1."/>
      <w:numFmt w:val="decimal"/>
      <w:start w:val="14"/>
    </w:lvl>
  </w:abstractNum>
  <w:abstractNum w:abstractNumId="91">
    <w:nsid w:val="26F324BA"/>
    <w:multiLevelType w:val="hybridMultilevel"/>
    <w:lvl w:ilvl="0">
      <w:lvlJc w:val="left"/>
      <w:lvlText w:val="%1"/>
      <w:numFmt w:val="decimal"/>
      <w:start w:val="1"/>
    </w:lvl>
    <w:lvl w:ilvl="1">
      <w:lvlJc w:val="left"/>
      <w:lvlText w:val="%2."/>
      <w:numFmt w:val="decimal"/>
      <w:start w:val="21"/>
    </w:lvl>
  </w:abstractNum>
  <w:abstractNum w:abstractNumId="92">
    <w:nsid w:val="7F01579B"/>
    <w:multiLevelType w:val="hybridMultilevel"/>
    <w:lvl w:ilvl="0">
      <w:lvlJc w:val="left"/>
      <w:lvlText w:val="(%1)"/>
      <w:numFmt w:val="decimal"/>
      <w:start w:val="2"/>
    </w:lvl>
    <w:lvl w:ilvl="1">
      <w:lvlJc w:val="left"/>
      <w:lvlText w:val="%2."/>
      <w:numFmt w:val="decimal"/>
      <w:start w:val="23"/>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2019-12-10T18:16:45Z</dcterms:created>
  <dcterms:modified xsi:type="dcterms:W3CDTF">2019-12-10T18:16:45Z</dcterms:modified>
</cp:coreProperties>
</file>