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180" w:right="1260" w:hanging="3355"/>
        <w:spacing w:after="0" w:line="532" w:lineRule="auto"/>
        <w:tabs>
          <w:tab w:leader="none" w:pos="12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28, 2009</w:t>
      </w:r>
    </w:p>
    <w:p>
      <w:pPr>
        <w:spacing w:after="0" w:line="1" w:lineRule="exact"/>
        <w:rPr>
          <w:sz w:val="24"/>
          <w:szCs w:val="24"/>
          <w:color w:val="auto"/>
        </w:rPr>
      </w:pPr>
    </w:p>
    <w:p>
      <w:pPr>
        <w:ind w:left="4480" w:right="820" w:hanging="3655"/>
        <w:spacing w:after="0" w:line="525" w:lineRule="auto"/>
        <w:tabs>
          <w:tab w:leader="none" w:pos="124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AND EXCHANGE ACT OF 1934 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-16510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30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380"/>
        <w:spacing w:after="0"/>
        <w:rPr>
          <w:sz w:val="20"/>
          <w:szCs w:val="20"/>
          <w:color w:val="auto"/>
        </w:rPr>
      </w:pPr>
      <w:r>
        <w:rPr>
          <w:rFonts w:ascii="Arial" w:cs="Arial" w:eastAsia="Arial" w:hAnsi="Arial"/>
          <w:sz w:val="18"/>
          <w:szCs w:val="18"/>
          <w:b w:val="1"/>
          <w:bCs w:val="1"/>
          <w:color w:val="auto"/>
        </w:rPr>
        <w:t>13-3818604</w:t>
      </w:r>
    </w:p>
    <w:p>
      <w:pPr>
        <w:spacing w:after="0" w:line="21" w:lineRule="exact"/>
        <w:rPr>
          <w:sz w:val="24"/>
          <w:szCs w:val="24"/>
          <w:color w:val="auto"/>
        </w:rPr>
      </w:pPr>
    </w:p>
    <w:p>
      <w:pPr>
        <w:jc w:val="center"/>
        <w:ind w:right="338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338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6000" w:space="720"/>
            <w:col w:w="4700"/>
          </w:cols>
          <w:pgMar w:left="240" w:top="949"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4810 Eastgate Mall</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San Diego, CA 92121</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812-7300</w:t>
      </w:r>
    </w:p>
    <w:p>
      <w:pPr>
        <w:sectPr>
          <w:pgSz w:w="11900" w:h="16838" w:orient="portrait"/>
          <w:cols w:equalWidth="0" w:num="1">
            <w:col w:w="11420"/>
          </w:cols>
          <w:pgMar w:left="240" w:top="949" w:right="2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3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o Yes o No</w:t>
      </w:r>
    </w:p>
    <w:p>
      <w:pPr>
        <w:spacing w:after="0" w:line="194" w:lineRule="exact"/>
        <w:rPr>
          <w:sz w:val="24"/>
          <w:szCs w:val="24"/>
          <w:color w:val="auto"/>
        </w:rPr>
      </w:pPr>
    </w:p>
    <w:p>
      <w:pPr>
        <w:ind w:right="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Large accelerated filer o</w:t>
            </w:r>
          </w:p>
        </w:tc>
        <w:tc>
          <w:tcPr>
            <w:tcW w:w="2500" w:type="dxa"/>
            <w:vAlign w:val="bottom"/>
            <w:shd w:val="clear" w:color="auto" w:fill="CCEEFF"/>
          </w:tcPr>
          <w:p>
            <w:pPr>
              <w:ind w:left="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480" w:type="dxa"/>
            <w:vAlign w:val="bottom"/>
            <w:shd w:val="clear" w:color="auto" w:fill="CCEEFF"/>
          </w:tcPr>
          <w:p>
            <w:pPr>
              <w:jc w:val="center"/>
              <w:ind w:right="666"/>
              <w:spacing w:after="0"/>
              <w:rPr>
                <w:sz w:val="20"/>
                <w:szCs w:val="20"/>
                <w:color w:val="auto"/>
              </w:rPr>
            </w:pPr>
            <w:r>
              <w:rPr>
                <w:rFonts w:ascii="Arial" w:cs="Arial" w:eastAsia="Arial" w:hAnsi="Arial"/>
                <w:sz w:val="18"/>
                <w:szCs w:val="18"/>
                <w:color w:val="auto"/>
                <w:w w:val="89"/>
              </w:rPr>
              <w:t>Non-accelerated filer o</w:t>
            </w: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Smaller reporting company o</w:t>
            </w:r>
          </w:p>
        </w:tc>
      </w:tr>
      <w:tr>
        <w:trPr>
          <w:trHeight w:val="149"/>
        </w:trPr>
        <w:tc>
          <w:tcPr>
            <w:tcW w:w="27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3480" w:type="dxa"/>
            <w:vAlign w:val="bottom"/>
            <w:shd w:val="clear" w:color="auto" w:fill="CCEEFF"/>
          </w:tcPr>
          <w:p>
            <w:pPr>
              <w:jc w:val="center"/>
              <w:ind w:right="666"/>
              <w:spacing w:after="0" w:line="149" w:lineRule="exact"/>
              <w:rPr>
                <w:sz w:val="20"/>
                <w:szCs w:val="20"/>
                <w:color w:val="auto"/>
              </w:rPr>
            </w:pPr>
            <w:r>
              <w:rPr>
                <w:rFonts w:ascii="Arial" w:cs="Arial" w:eastAsia="Arial" w:hAnsi="Arial"/>
                <w:sz w:val="14"/>
                <w:szCs w:val="14"/>
                <w:color w:val="auto"/>
                <w:w w:val="89"/>
              </w:rPr>
              <w:t>(Do not check if a smaller</w:t>
            </w:r>
          </w:p>
        </w:tc>
        <w:tc>
          <w:tcPr>
            <w:tcW w:w="2660" w:type="dxa"/>
            <w:vAlign w:val="bottom"/>
            <w:shd w:val="clear" w:color="auto" w:fill="CCEEFF"/>
          </w:tcPr>
          <w:p>
            <w:pPr>
              <w:spacing w:after="0"/>
              <w:rPr>
                <w:sz w:val="12"/>
                <w:szCs w:val="12"/>
                <w:color w:val="auto"/>
              </w:rPr>
            </w:pPr>
          </w:p>
        </w:tc>
      </w:tr>
      <w:tr>
        <w:trPr>
          <w:trHeight w:val="159"/>
        </w:trPr>
        <w:tc>
          <w:tcPr>
            <w:tcW w:w="27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3480" w:type="dxa"/>
            <w:vAlign w:val="bottom"/>
            <w:shd w:val="clear" w:color="auto" w:fill="CCEEFF"/>
          </w:tcPr>
          <w:p>
            <w:pPr>
              <w:jc w:val="center"/>
              <w:ind w:right="666"/>
              <w:spacing w:after="0" w:line="159" w:lineRule="exact"/>
              <w:rPr>
                <w:sz w:val="20"/>
                <w:szCs w:val="20"/>
                <w:color w:val="auto"/>
              </w:rPr>
            </w:pPr>
            <w:r>
              <w:rPr>
                <w:rFonts w:ascii="Arial" w:cs="Arial" w:eastAsia="Arial" w:hAnsi="Arial"/>
                <w:sz w:val="14"/>
                <w:szCs w:val="14"/>
                <w:color w:val="auto"/>
                <w:w w:val="87"/>
              </w:rPr>
              <w:t>reporting company)</w:t>
            </w:r>
          </w:p>
        </w:tc>
        <w:tc>
          <w:tcPr>
            <w:tcW w:w="2660" w:type="dxa"/>
            <w:vAlign w:val="bottom"/>
            <w:shd w:val="clear" w:color="auto" w:fill="CCEEFF"/>
          </w:tcPr>
          <w:p>
            <w:pPr>
              <w:spacing w:after="0"/>
              <w:rPr>
                <w:sz w:val="13"/>
                <w:szCs w:val="13"/>
                <w:color w:val="auto"/>
              </w:rPr>
            </w:pPr>
          </w:p>
        </w:tc>
      </w:tr>
      <w:tr>
        <w:trPr>
          <w:trHeight w:val="450"/>
        </w:trPr>
        <w:tc>
          <w:tcPr>
            <w:tcW w:w="8760" w:type="dxa"/>
            <w:vAlign w:val="bottom"/>
            <w:gridSpan w:val="3"/>
          </w:tcPr>
          <w:p>
            <w:pPr>
              <w:ind w:left="360"/>
              <w:spacing w:after="0"/>
              <w:rPr>
                <w:sz w:val="20"/>
                <w:szCs w:val="20"/>
                <w:color w:val="auto"/>
              </w:rPr>
            </w:pPr>
            <w:r>
              <w:rPr>
                <w:rFonts w:ascii="Arial" w:cs="Arial" w:eastAsia="Arial" w:hAnsi="Arial"/>
                <w:sz w:val="18"/>
                <w:szCs w:val="18"/>
                <w:color w:val="auto"/>
                <w:w w:val="88"/>
              </w:rPr>
              <w:t>Indicate by check mark whether the registrant is a shell company (as defined in Rule 12b-2 of the Exchange Act). Yes o</w:t>
            </w:r>
          </w:p>
        </w:tc>
        <w:tc>
          <w:tcPr>
            <w:tcW w:w="26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9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4, 2009 130,262,381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28, 2009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80" w:type="dxa"/>
            <w:vAlign w:val="bottom"/>
            <w:gridSpan w:val="12"/>
            <w:vMerge w:val="restart"/>
          </w:tcPr>
          <w:p>
            <w:pPr>
              <w:jc w:val="center"/>
              <w:ind w:right="242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6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80" w:type="dxa"/>
            <w:vAlign w:val="bottom"/>
            <w:gridSpan w:val="12"/>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300" w:type="dxa"/>
            <w:vAlign w:val="bottom"/>
            <w:gridSpan w:val="2"/>
          </w:tcPr>
          <w:p>
            <w:pPr>
              <w:spacing w:after="0"/>
              <w:rPr>
                <w:sz w:val="24"/>
                <w:szCs w:val="24"/>
                <w:color w:val="auto"/>
              </w:rPr>
            </w:pPr>
          </w:p>
        </w:tc>
        <w:tc>
          <w:tcPr>
            <w:tcW w:w="320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980" w:type="dxa"/>
            <w:vAlign w:val="bottom"/>
            <w:tcBorders>
              <w:top w:val="single" w:sz="8" w:color="0000EE"/>
            </w:tcBorders>
            <w:gridSpan w:val="6"/>
          </w:tcPr>
          <w:p>
            <w:pPr>
              <w:spacing w:after="0"/>
              <w:rPr>
                <w:sz w:val="24"/>
                <w:szCs w:val="24"/>
                <w:color w:val="auto"/>
              </w:rPr>
            </w:pPr>
          </w:p>
        </w:tc>
        <w:tc>
          <w:tcPr>
            <w:tcW w:w="3360" w:type="dxa"/>
            <w:vAlign w:val="bottom"/>
            <w:gridSpan w:val="5"/>
          </w:tcPr>
          <w:p>
            <w:pPr>
              <w:spacing w:after="0"/>
              <w:rPr>
                <w:sz w:val="24"/>
                <w:szCs w:val="24"/>
                <w:color w:val="auto"/>
              </w:rPr>
            </w:pPr>
          </w:p>
        </w:tc>
        <w:tc>
          <w:tcPr>
            <w:tcW w:w="680" w:type="dxa"/>
            <w:vAlign w:val="bottom"/>
            <w:gridSpan w:val="4"/>
          </w:tcPr>
          <w:p>
            <w:pPr>
              <w:jc w:val="right"/>
              <w:ind w:right="40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December 28, 2008 and June 28, 2009 (unaudited)</w:t>
              </w:r>
            </w:hyperlink>
          </w:p>
        </w:tc>
        <w:tc>
          <w:tcPr>
            <w:tcW w:w="680" w:type="dxa"/>
            <w:vAlign w:val="bottom"/>
            <w:gridSpan w:val="4"/>
          </w:tcPr>
          <w:p>
            <w:pPr>
              <w:jc w:val="right"/>
              <w:ind w:right="40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80" w:type="dxa"/>
            <w:vAlign w:val="bottom"/>
            <w:gridSpan w:val="1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and Six Months Ended June 29, 2008 and June 28, 2009 (unaudited)</w:t>
              </w:r>
            </w:hyperlink>
          </w:p>
        </w:tc>
        <w:tc>
          <w:tcPr>
            <w:tcW w:w="1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80" w:type="dxa"/>
            <w:vAlign w:val="bottom"/>
            <w:gridSpan w:val="2"/>
          </w:tcPr>
          <w:p>
            <w:pPr>
              <w:jc w:val="right"/>
              <w:ind w:right="400"/>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80" w:type="dxa"/>
            <w:vAlign w:val="bottom"/>
            <w:gridSpan w:val="1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Six Months Ended June 29, 2008 and June 28, 2009 (unaudited)</w:t>
              </w:r>
            </w:hyperlink>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80" w:type="dxa"/>
            <w:vAlign w:val="bottom"/>
            <w:gridSpan w:val="2"/>
          </w:tcPr>
          <w:p>
            <w:pPr>
              <w:jc w:val="right"/>
              <w:ind w:right="400"/>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86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480" w:type="dxa"/>
            <w:vAlign w:val="bottom"/>
            <w:gridSpan w:val="2"/>
          </w:tcPr>
          <w:p>
            <w:pPr>
              <w:jc w:val="right"/>
              <w:ind w:right="400"/>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2.</w:t>
              </w:r>
            </w:hyperlink>
          </w:p>
        </w:tc>
        <w:tc>
          <w:tcPr>
            <w:tcW w:w="300" w:type="dxa"/>
            <w:vAlign w:val="bottom"/>
            <w:gridSpan w:val="2"/>
          </w:tcPr>
          <w:p>
            <w:pPr>
              <w:spacing w:after="0"/>
              <w:rPr>
                <w:sz w:val="24"/>
                <w:szCs w:val="24"/>
                <w:color w:val="auto"/>
              </w:rPr>
            </w:pPr>
          </w:p>
        </w:tc>
        <w:tc>
          <w:tcPr>
            <w:tcW w:w="6280" w:type="dxa"/>
            <w:vAlign w:val="bottom"/>
            <w:gridSpan w:val="14"/>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Management's Discussion and Analysis of Financial Condition and Results of Operations</w:t>
              </w:r>
            </w:hyperlink>
          </w:p>
        </w:tc>
        <w:tc>
          <w:tcPr>
            <w:tcW w:w="3260" w:type="dxa"/>
            <w:vAlign w:val="bottom"/>
            <w:gridSpan w:val="4"/>
          </w:tcPr>
          <w:p>
            <w:pPr>
              <w:spacing w:after="0"/>
              <w:rPr>
                <w:sz w:val="24"/>
                <w:szCs w:val="24"/>
                <w:color w:val="auto"/>
              </w:rPr>
            </w:pPr>
          </w:p>
        </w:tc>
        <w:tc>
          <w:tcPr>
            <w:tcW w:w="680" w:type="dxa"/>
            <w:vAlign w:val="bottom"/>
            <w:gridSpan w:val="4"/>
          </w:tcPr>
          <w:p>
            <w:pPr>
              <w:jc w:val="right"/>
              <w:ind w:right="40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Item 3.</w:t>
              </w:r>
            </w:hyperlink>
          </w:p>
        </w:tc>
        <w:tc>
          <w:tcPr>
            <w:tcW w:w="300" w:type="dxa"/>
            <w:vAlign w:val="bottom"/>
            <w:gridSpan w:val="2"/>
          </w:tcPr>
          <w:p>
            <w:pPr>
              <w:spacing w:after="0"/>
              <w:rPr>
                <w:sz w:val="24"/>
                <w:szCs w:val="24"/>
                <w:color w:val="auto"/>
              </w:rPr>
            </w:pPr>
          </w:p>
        </w:tc>
        <w:tc>
          <w:tcPr>
            <w:tcW w:w="4240" w:type="dxa"/>
            <w:vAlign w:val="bottom"/>
            <w:gridSpan w:val="10"/>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Quantitative and Qualitative Disclosures About Market Risk</w:t>
              </w:r>
            </w:hyperlink>
          </w:p>
        </w:tc>
        <w:tc>
          <w:tcPr>
            <w:tcW w:w="2040" w:type="dxa"/>
            <w:vAlign w:val="bottom"/>
            <w:gridSpan w:val="4"/>
          </w:tcPr>
          <w:p>
            <w:pPr>
              <w:spacing w:after="0"/>
              <w:rPr>
                <w:sz w:val="24"/>
                <w:szCs w:val="24"/>
                <w:color w:val="auto"/>
              </w:rPr>
            </w:pPr>
          </w:p>
        </w:tc>
        <w:tc>
          <w:tcPr>
            <w:tcW w:w="3260" w:type="dxa"/>
            <w:vAlign w:val="bottom"/>
            <w:gridSpan w:val="4"/>
          </w:tcPr>
          <w:p>
            <w:pPr>
              <w:spacing w:after="0"/>
              <w:rPr>
                <w:sz w:val="24"/>
                <w:szCs w:val="24"/>
                <w:color w:val="auto"/>
              </w:rPr>
            </w:pPr>
          </w:p>
        </w:tc>
        <w:tc>
          <w:tcPr>
            <w:tcW w:w="680" w:type="dxa"/>
            <w:vAlign w:val="bottom"/>
            <w:gridSpan w:val="4"/>
          </w:tcPr>
          <w:p>
            <w:pPr>
              <w:jc w:val="right"/>
              <w:ind w:right="40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Item 4.</w:t>
              </w:r>
            </w:hyperlink>
          </w:p>
        </w:tc>
        <w:tc>
          <w:tcPr>
            <w:tcW w:w="300" w:type="dxa"/>
            <w:vAlign w:val="bottom"/>
            <w:gridSpan w:val="2"/>
          </w:tcPr>
          <w:p>
            <w:pPr>
              <w:spacing w:after="0"/>
              <w:rPr>
                <w:sz w:val="24"/>
                <w:szCs w:val="24"/>
                <w:color w:val="auto"/>
              </w:rPr>
            </w:pPr>
          </w:p>
        </w:tc>
        <w:tc>
          <w:tcPr>
            <w:tcW w:w="424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5300" w:type="dxa"/>
            <w:vAlign w:val="bottom"/>
            <w:gridSpan w:val="8"/>
          </w:tcPr>
          <w:p>
            <w:pPr>
              <w:spacing w:after="0"/>
              <w:rPr>
                <w:sz w:val="24"/>
                <w:szCs w:val="24"/>
                <w:color w:val="auto"/>
              </w:rPr>
            </w:pPr>
          </w:p>
        </w:tc>
        <w:tc>
          <w:tcPr>
            <w:tcW w:w="680" w:type="dxa"/>
            <w:vAlign w:val="bottom"/>
            <w:gridSpan w:val="4"/>
          </w:tcPr>
          <w:p>
            <w:pPr>
              <w:jc w:val="right"/>
              <w:ind w:right="40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OTHER INFORMATION</w:t>
              </w:r>
            </w:hyperlink>
          </w:p>
        </w:tc>
        <w:tc>
          <w:tcPr>
            <w:tcW w:w="350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Item 1.</w:t>
              </w:r>
            </w:hyperlink>
          </w:p>
        </w:tc>
        <w:tc>
          <w:tcPr>
            <w:tcW w:w="300" w:type="dxa"/>
            <w:vAlign w:val="bottom"/>
            <w:gridSpan w:val="2"/>
          </w:tcPr>
          <w:p>
            <w:pPr>
              <w:spacing w:after="0"/>
              <w:rPr>
                <w:sz w:val="24"/>
                <w:szCs w:val="24"/>
                <w:color w:val="auto"/>
              </w:rPr>
            </w:pPr>
          </w:p>
        </w:tc>
        <w:tc>
          <w:tcPr>
            <w:tcW w:w="1280" w:type="dxa"/>
            <w:vAlign w:val="bottom"/>
            <w:gridSpan w:val="3"/>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Legal Proceedings</w:t>
              </w:r>
            </w:hyperlink>
          </w:p>
        </w:tc>
        <w:tc>
          <w:tcPr>
            <w:tcW w:w="8260" w:type="dxa"/>
            <w:vAlign w:val="bottom"/>
            <w:gridSpan w:val="15"/>
          </w:tcPr>
          <w:p>
            <w:pPr>
              <w:spacing w:after="0"/>
              <w:rPr>
                <w:sz w:val="24"/>
                <w:szCs w:val="24"/>
                <w:color w:val="auto"/>
              </w:rPr>
            </w:pPr>
          </w:p>
        </w:tc>
        <w:tc>
          <w:tcPr>
            <w:tcW w:w="680" w:type="dxa"/>
            <w:vAlign w:val="bottom"/>
            <w:gridSpan w:val="4"/>
          </w:tcPr>
          <w:p>
            <w:pPr>
              <w:jc w:val="right"/>
              <w:ind w:right="40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1A.</w:t>
              </w:r>
            </w:hyperlink>
          </w:p>
        </w:tc>
        <w:tc>
          <w:tcPr>
            <w:tcW w:w="9540" w:type="dxa"/>
            <w:vAlign w:val="bottom"/>
            <w:gridSpan w:val="1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680" w:type="dxa"/>
            <w:vAlign w:val="bottom"/>
            <w:gridSpan w:val="4"/>
          </w:tcPr>
          <w:p>
            <w:pPr>
              <w:jc w:val="right"/>
              <w:ind w:right="40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Item 2.</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40" w:type="dxa"/>
            <w:vAlign w:val="bottom"/>
            <w:gridSpan w:val="10"/>
          </w:tcPr>
          <w:p>
            <w:pPr>
              <w:spacing w:after="0"/>
              <w:rPr>
                <w:rFonts w:ascii="Arial" w:cs="Arial" w:eastAsia="Arial" w:hAnsi="Arial"/>
                <w:sz w:val="18"/>
                <w:szCs w:val="18"/>
                <w:color w:val="0000EE"/>
                <w:w w:val="86"/>
              </w:rPr>
            </w:pPr>
            <w:hyperlink w:anchor="page71">
              <w:r>
                <w:rPr>
                  <w:rFonts w:ascii="Arial" w:cs="Arial" w:eastAsia="Arial" w:hAnsi="Arial"/>
                  <w:sz w:val="18"/>
                  <w:szCs w:val="18"/>
                  <w:color w:val="0000EE"/>
                  <w:w w:val="86"/>
                </w:rPr>
                <w:t>Unregistered Sales of Equity Securities and Use of Proceeds</w:t>
              </w:r>
            </w:hyperlink>
          </w:p>
        </w:tc>
        <w:tc>
          <w:tcPr>
            <w:tcW w:w="5300" w:type="dxa"/>
            <w:vAlign w:val="bottom"/>
            <w:gridSpan w:val="8"/>
          </w:tcPr>
          <w:p>
            <w:pPr>
              <w:spacing w:after="0"/>
              <w:rPr>
                <w:sz w:val="24"/>
                <w:szCs w:val="24"/>
                <w:color w:val="auto"/>
              </w:rPr>
            </w:pPr>
          </w:p>
        </w:tc>
        <w:tc>
          <w:tcPr>
            <w:tcW w:w="680" w:type="dxa"/>
            <w:vAlign w:val="bottom"/>
            <w:gridSpan w:val="4"/>
          </w:tcPr>
          <w:p>
            <w:pPr>
              <w:jc w:val="right"/>
              <w:ind w:right="40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Item 3.</w:t>
              </w:r>
            </w:hyperlink>
          </w:p>
        </w:tc>
        <w:tc>
          <w:tcPr>
            <w:tcW w:w="300" w:type="dxa"/>
            <w:vAlign w:val="bottom"/>
            <w:gridSpan w:val="2"/>
          </w:tcPr>
          <w:p>
            <w:pPr>
              <w:spacing w:after="0"/>
              <w:rPr>
                <w:sz w:val="24"/>
                <w:szCs w:val="24"/>
                <w:color w:val="auto"/>
              </w:rPr>
            </w:pPr>
          </w:p>
        </w:tc>
        <w:tc>
          <w:tcPr>
            <w:tcW w:w="4240" w:type="dxa"/>
            <w:vAlign w:val="bottom"/>
            <w:gridSpan w:val="1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Defaults Upon Senior Securities</w:t>
              </w:r>
            </w:hyperlink>
          </w:p>
        </w:tc>
        <w:tc>
          <w:tcPr>
            <w:tcW w:w="5300" w:type="dxa"/>
            <w:vAlign w:val="bottom"/>
            <w:gridSpan w:val="8"/>
          </w:tcPr>
          <w:p>
            <w:pPr>
              <w:spacing w:after="0"/>
              <w:rPr>
                <w:sz w:val="24"/>
                <w:szCs w:val="24"/>
                <w:color w:val="auto"/>
              </w:rPr>
            </w:pPr>
          </w:p>
        </w:tc>
        <w:tc>
          <w:tcPr>
            <w:tcW w:w="680" w:type="dxa"/>
            <w:vAlign w:val="bottom"/>
            <w:gridSpan w:val="4"/>
          </w:tcPr>
          <w:p>
            <w:pPr>
              <w:jc w:val="right"/>
              <w:ind w:right="40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Item 4.</w:t>
              </w:r>
            </w:hyperlink>
          </w:p>
        </w:tc>
        <w:tc>
          <w:tcPr>
            <w:tcW w:w="300" w:type="dxa"/>
            <w:vAlign w:val="bottom"/>
            <w:gridSpan w:val="2"/>
          </w:tcPr>
          <w:p>
            <w:pPr>
              <w:spacing w:after="0"/>
              <w:rPr>
                <w:sz w:val="24"/>
                <w:szCs w:val="24"/>
                <w:color w:val="auto"/>
              </w:rPr>
            </w:pPr>
          </w:p>
        </w:tc>
        <w:tc>
          <w:tcPr>
            <w:tcW w:w="9540" w:type="dxa"/>
            <w:vAlign w:val="bottom"/>
            <w:gridSpan w:val="1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Submission of Matters to a Vote of Security Holders</w:t>
              </w:r>
            </w:hyperlink>
          </w:p>
        </w:tc>
        <w:tc>
          <w:tcPr>
            <w:tcW w:w="680" w:type="dxa"/>
            <w:vAlign w:val="bottom"/>
            <w:gridSpan w:val="4"/>
          </w:tcPr>
          <w:p>
            <w:pPr>
              <w:jc w:val="right"/>
              <w:ind w:right="40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380" w:type="dxa"/>
            <w:vAlign w:val="bottom"/>
            <w:tcBorders>
              <w:left w:val="single" w:sz="8" w:color="0000EE"/>
            </w:tcBorders>
            <w:gridSpan w:val="6"/>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72">
              <w:r>
                <w:rPr>
                  <w:rFonts w:ascii="Arial" w:cs="Arial" w:eastAsia="Arial" w:hAnsi="Arial"/>
                  <w:sz w:val="18"/>
                  <w:szCs w:val="18"/>
                  <w:color w:val="0000EE"/>
                  <w:w w:val="87"/>
                </w:rPr>
                <w:t>Item 5.</w:t>
              </w:r>
            </w:hyperlink>
          </w:p>
        </w:tc>
        <w:tc>
          <w:tcPr>
            <w:tcW w:w="300" w:type="dxa"/>
            <w:vAlign w:val="bottom"/>
            <w:gridSpan w:val="2"/>
          </w:tcPr>
          <w:p>
            <w:pPr>
              <w:spacing w:after="0"/>
              <w:rPr>
                <w:sz w:val="24"/>
                <w:szCs w:val="24"/>
                <w:color w:val="auto"/>
              </w:rPr>
            </w:pPr>
          </w:p>
        </w:tc>
        <w:tc>
          <w:tcPr>
            <w:tcW w:w="1280" w:type="dxa"/>
            <w:vAlign w:val="bottom"/>
            <w:gridSpan w:val="3"/>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Other Information</w:t>
              </w:r>
            </w:hyperlink>
          </w:p>
        </w:tc>
        <w:tc>
          <w:tcPr>
            <w:tcW w:w="2380" w:type="dxa"/>
            <w:vAlign w:val="bottom"/>
            <w:gridSpan w:val="6"/>
          </w:tcPr>
          <w:p>
            <w:pPr>
              <w:spacing w:after="0"/>
              <w:rPr>
                <w:sz w:val="24"/>
                <w:szCs w:val="24"/>
                <w:color w:val="auto"/>
              </w:rPr>
            </w:pPr>
          </w:p>
        </w:tc>
        <w:tc>
          <w:tcPr>
            <w:tcW w:w="5880" w:type="dxa"/>
            <w:vAlign w:val="bottom"/>
            <w:gridSpan w:val="9"/>
          </w:tcPr>
          <w:p>
            <w:pPr>
              <w:spacing w:after="0"/>
              <w:rPr>
                <w:sz w:val="24"/>
                <w:szCs w:val="24"/>
                <w:color w:val="auto"/>
              </w:rPr>
            </w:pPr>
          </w:p>
        </w:tc>
        <w:tc>
          <w:tcPr>
            <w:tcW w:w="680" w:type="dxa"/>
            <w:vAlign w:val="bottom"/>
            <w:gridSpan w:val="4"/>
          </w:tcPr>
          <w:p>
            <w:pPr>
              <w:jc w:val="right"/>
              <w:ind w:right="400"/>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260" w:type="dxa"/>
            <w:vAlign w:val="bottom"/>
            <w:gridSpan w:val="1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72">
              <w:r>
                <w:rPr>
                  <w:rFonts w:ascii="Arial" w:cs="Arial" w:eastAsia="Arial" w:hAnsi="Arial"/>
                  <w:sz w:val="18"/>
                  <w:szCs w:val="18"/>
                  <w:color w:val="0000EE"/>
                  <w:w w:val="87"/>
                </w:rPr>
                <w:t>Item 6.</w:t>
              </w:r>
            </w:hyperlink>
          </w:p>
        </w:tc>
        <w:tc>
          <w:tcPr>
            <w:tcW w:w="300" w:type="dxa"/>
            <w:vAlign w:val="bottom"/>
            <w:gridSpan w:val="2"/>
          </w:tcPr>
          <w:p>
            <w:pPr>
              <w:spacing w:after="0"/>
              <w:rPr>
                <w:sz w:val="24"/>
                <w:szCs w:val="24"/>
                <w:color w:val="auto"/>
              </w:rPr>
            </w:pPr>
          </w:p>
        </w:tc>
        <w:tc>
          <w:tcPr>
            <w:tcW w:w="1280" w:type="dxa"/>
            <w:vAlign w:val="bottom"/>
            <w:gridSpan w:val="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8260" w:type="dxa"/>
            <w:vAlign w:val="bottom"/>
            <w:gridSpan w:val="15"/>
          </w:tcPr>
          <w:p>
            <w:pPr>
              <w:spacing w:after="0"/>
              <w:rPr>
                <w:sz w:val="24"/>
                <w:szCs w:val="24"/>
                <w:color w:val="auto"/>
              </w:rPr>
            </w:pPr>
          </w:p>
        </w:tc>
        <w:tc>
          <w:tcPr>
            <w:tcW w:w="680" w:type="dxa"/>
            <w:vAlign w:val="bottom"/>
            <w:gridSpan w:val="4"/>
          </w:tcPr>
          <w:p>
            <w:pPr>
              <w:jc w:val="right"/>
              <w:ind w:right="400"/>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451"/>
        </w:trPr>
        <w:tc>
          <w:tcPr>
            <w:tcW w:w="4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160" w:type="dxa"/>
            <w:vAlign w:val="bottom"/>
            <w:gridSpan w:val="10"/>
          </w:tcPr>
          <w:p>
            <w:pPr>
              <w:jc w:val="right"/>
              <w:ind w:right="18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December 28, 2008</w:t>
            </w:r>
          </w:p>
        </w:tc>
        <w:tc>
          <w:tcPr>
            <w:tcW w:w="1300" w:type="dxa"/>
            <w:vAlign w:val="bottom"/>
          </w:tcPr>
          <w:p>
            <w:pPr>
              <w:spacing w:after="0"/>
              <w:rPr>
                <w:sz w:val="14"/>
                <w:szCs w:val="14"/>
                <w:color w:val="auto"/>
              </w:rPr>
            </w:pPr>
          </w:p>
        </w:tc>
        <w:tc>
          <w:tcPr>
            <w:tcW w:w="3580" w:type="dxa"/>
            <w:vAlign w:val="bottom"/>
            <w:gridSpan w:val="2"/>
          </w:tcPr>
          <w:p>
            <w:pPr>
              <w:jc w:val="right"/>
              <w:ind w:right="2240"/>
              <w:spacing w:after="0"/>
              <w:rPr>
                <w:sz w:val="20"/>
                <w:szCs w:val="20"/>
                <w:color w:val="auto"/>
              </w:rPr>
            </w:pPr>
            <w:r>
              <w:rPr>
                <w:rFonts w:ascii="Arial" w:cs="Arial" w:eastAsia="Arial" w:hAnsi="Arial"/>
                <w:sz w:val="14"/>
                <w:szCs w:val="14"/>
                <w:b w:val="1"/>
                <w:bCs w:val="1"/>
                <w:color w:val="auto"/>
              </w:rPr>
              <w:t>June 28, 2009</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gridSpan w:val="2"/>
          </w:tcPr>
          <w:p>
            <w:pPr>
              <w:jc w:val="right"/>
              <w:ind w:right="4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50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300" w:type="dxa"/>
            <w:vAlign w:val="bottom"/>
          </w:tcPr>
          <w:p>
            <w:pPr>
              <w:spacing w:after="0"/>
              <w:rPr>
                <w:sz w:val="19"/>
                <w:szCs w:val="19"/>
                <w:color w:val="auto"/>
              </w:rPr>
            </w:pPr>
          </w:p>
        </w:tc>
        <w:tc>
          <w:tcPr>
            <w:tcW w:w="358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116.2</w:t>
            </w: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intangibles, net</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gridSpan w:val="2"/>
          </w:tcPr>
          <w:p>
            <w:pPr>
              <w:jc w:val="right"/>
              <w:ind w:right="4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80" w:type="dxa"/>
            <w:vAlign w:val="bottom"/>
          </w:tcPr>
          <w:p>
            <w:pPr>
              <w:spacing w:after="0"/>
              <w:rPr>
                <w:sz w:val="18"/>
                <w:szCs w:val="18"/>
                <w:color w:val="auto"/>
              </w:rPr>
            </w:pPr>
          </w:p>
        </w:tc>
        <w:tc>
          <w:tcPr>
            <w:tcW w:w="130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3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gridSpan w:val="2"/>
          </w:tcPr>
          <w:p>
            <w:pPr>
              <w:jc w:val="right"/>
              <w:ind w:right="4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w w:val="92"/>
              </w:rPr>
              <w:t>Billings in excess of costs and earnings on uncompleted contracts</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gridSpan w:val="2"/>
          </w:tcPr>
          <w:p>
            <w:pPr>
              <w:jc w:val="right"/>
              <w:ind w:right="4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50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580" w:type="dxa"/>
            <w:vAlign w:val="bottom"/>
            <w:gridSpan w:val="2"/>
          </w:tcPr>
          <w:p>
            <w:pPr>
              <w:jc w:val="right"/>
              <w:ind w:right="4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gridSpan w:val="2"/>
          </w:tcPr>
          <w:p>
            <w:pPr>
              <w:jc w:val="right"/>
              <w:ind w:right="4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26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Preferred stock, 5,000,000 shares authorized Series B Convertible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Preferred Stock, $.001 par value, 10,000 shares outstanding at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December 28, 2008 and June 28, 2009 (liquidation preference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$5.0 million at June 28, 2009)</w:t>
            </w:r>
          </w:p>
        </w:tc>
        <w:tc>
          <w:tcPr>
            <w:tcW w:w="8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000" w:type="dxa"/>
            <w:vAlign w:val="bottom"/>
          </w:tcPr>
          <w:p>
            <w:pPr>
              <w:ind w:left="120"/>
              <w:spacing w:after="0"/>
              <w:rPr>
                <w:sz w:val="20"/>
                <w:szCs w:val="20"/>
                <w:color w:val="auto"/>
              </w:rPr>
            </w:pPr>
            <w:r>
              <w:rPr>
                <w:rFonts w:ascii="Arial" w:cs="Arial" w:eastAsia="Arial" w:hAnsi="Arial"/>
                <w:sz w:val="18"/>
                <w:szCs w:val="18"/>
                <w:color w:val="auto"/>
                <w:w w:val="93"/>
              </w:rPr>
              <w:t>Common stock, $.001 par value, 195,000,000 shares authorized;</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00"/>
              <w:spacing w:after="0"/>
              <w:rPr>
                <w:sz w:val="20"/>
                <w:szCs w:val="20"/>
                <w:color w:val="auto"/>
              </w:rPr>
            </w:pPr>
            <w:r>
              <w:rPr>
                <w:rFonts w:ascii="Arial" w:cs="Arial" w:eastAsia="Arial" w:hAnsi="Arial"/>
                <w:sz w:val="18"/>
                <w:szCs w:val="18"/>
                <w:color w:val="auto"/>
                <w:w w:val="91"/>
              </w:rPr>
              <w:t>128,169,634 and 129,882,339 shares issued and outstanding at</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300"/>
              <w:spacing w:after="0"/>
              <w:rPr>
                <w:sz w:val="20"/>
                <w:szCs w:val="20"/>
                <w:color w:val="auto"/>
              </w:rPr>
            </w:pPr>
            <w:r>
              <w:rPr>
                <w:rFonts w:ascii="Arial" w:cs="Arial" w:eastAsia="Arial" w:hAnsi="Arial"/>
                <w:sz w:val="18"/>
                <w:szCs w:val="18"/>
                <w:color w:val="auto"/>
              </w:rPr>
              <w:t>December 28, 2008 and June 28, 2009, respectively</w:t>
            </w:r>
          </w:p>
        </w:tc>
        <w:tc>
          <w:tcPr>
            <w:tcW w:w="8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3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22"/>
        </w:trPr>
        <w:tc>
          <w:tcPr>
            <w:tcW w:w="50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(356.6)</w:t>
            </w:r>
          </w:p>
        </w:tc>
        <w:tc>
          <w:tcPr>
            <w:tcW w:w="1300" w:type="dxa"/>
            <w:vAlign w:val="bottom"/>
          </w:tcPr>
          <w:p>
            <w:pPr>
              <w:spacing w:after="0"/>
              <w:rPr>
                <w:sz w:val="19"/>
                <w:szCs w:val="19"/>
                <w:color w:val="auto"/>
              </w:rPr>
            </w:pPr>
          </w:p>
        </w:tc>
        <w:tc>
          <w:tcPr>
            <w:tcW w:w="3580" w:type="dxa"/>
            <w:vAlign w:val="bottom"/>
            <w:gridSpan w:val="2"/>
          </w:tcPr>
          <w:p>
            <w:pPr>
              <w:jc w:val="right"/>
              <w:ind w:right="34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80" w:type="dxa"/>
            <w:vAlign w:val="bottom"/>
          </w:tcPr>
          <w:p>
            <w:pPr>
              <w:spacing w:after="0"/>
              <w:rPr>
                <w:sz w:val="18"/>
                <w:szCs w:val="18"/>
                <w:color w:val="auto"/>
              </w:rPr>
            </w:pPr>
          </w:p>
        </w:tc>
        <w:tc>
          <w:tcPr>
            <w:tcW w:w="130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3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Six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00" w:type="dxa"/>
            <w:vAlign w:val="bottom"/>
          </w:tcPr>
          <w:p>
            <w:pPr>
              <w:spacing w:after="0"/>
              <w:rPr>
                <w:sz w:val="11"/>
                <w:szCs w:val="11"/>
                <w:color w:val="auto"/>
              </w:rPr>
            </w:pPr>
          </w:p>
        </w:tc>
        <w:tc>
          <w:tcPr>
            <w:tcW w:w="7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June 29,</w:t>
            </w: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June 28,</w:t>
            </w: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June 29, 2008</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June 28, 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90.6</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w:t>
            </w:r>
          </w:p>
        </w:tc>
        <w:tc>
          <w:tcPr>
            <w:tcW w:w="4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173.2</w:t>
            </w: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110.3</w:t>
            </w:r>
          </w:p>
        </w:tc>
        <w:tc>
          <w:tcPr>
            <w:tcW w:w="4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138.6</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4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w w:val="93"/>
              </w:rPr>
              <w:t>Recovery of unauthorized issuance of stock options and adjustment to the liability for unused office space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280"/>
              <w:spacing w:after="0"/>
              <w:rPr>
                <w:sz w:val="20"/>
                <w:szCs w:val="20"/>
                <w:color w:val="auto"/>
              </w:rPr>
            </w:pPr>
            <w:r>
              <w:rPr>
                <w:rFonts w:ascii="Arial" w:cs="Arial" w:eastAsia="Arial" w:hAnsi="Arial"/>
                <w:sz w:val="18"/>
                <w:szCs w:val="18"/>
                <w:color w:val="auto"/>
              </w:rPr>
              <w:t>Operating income (loss) from continuing operations</w:t>
            </w: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(34.9)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280"/>
              <w:spacing w:after="0"/>
              <w:rPr>
                <w:sz w:val="20"/>
                <w:szCs w:val="20"/>
                <w:color w:val="auto"/>
              </w:rPr>
            </w:pPr>
            <w:r>
              <w:rPr>
                <w:rFonts w:ascii="Arial" w:cs="Arial" w:eastAsia="Arial" w:hAnsi="Arial"/>
                <w:sz w:val="18"/>
                <w:szCs w:val="18"/>
                <w:color w:val="auto"/>
              </w:rPr>
              <w:t>Total other expense, net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(40.6)</w:t>
            </w: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Provision for income taxes from continuing operations</w:t>
            </w: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(41.2)</w:t>
            </w: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(44.6)</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8"/>
                <w:szCs w:val="18"/>
                <w:color w:val="auto"/>
              </w:rPr>
              <w:t>Basic income (loss) per common share:</w:t>
            </w: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(0.32)</w:t>
            </w:r>
          </w:p>
        </w:tc>
        <w:tc>
          <w:tcPr>
            <w:tcW w:w="0" w:type="dxa"/>
            <w:vAlign w:val="bottom"/>
          </w:tcPr>
          <w:p>
            <w:pPr>
              <w:spacing w:after="0"/>
              <w:rPr>
                <w:sz w:val="1"/>
                <w:szCs w:val="1"/>
                <w:color w:val="auto"/>
              </w:rPr>
            </w:pPr>
          </w:p>
        </w:tc>
      </w:tr>
      <w:tr>
        <w:trPr>
          <w:trHeight w:val="222"/>
        </w:trPr>
        <w:tc>
          <w:tcPr>
            <w:tcW w:w="7900" w:type="dxa"/>
            <w:vAlign w:val="bottom"/>
          </w:tcPr>
          <w:p>
            <w:pPr>
              <w:ind w:left="14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(0.01)</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(0.02)</w:t>
            </w:r>
          </w:p>
        </w:tc>
        <w:tc>
          <w:tcPr>
            <w:tcW w:w="3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4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(0.03)</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 per common share:</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(0.02)</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(0.35)</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8"/>
                <w:szCs w:val="18"/>
                <w:color w:val="auto"/>
              </w:rPr>
              <w:t>Diluted income (loss) per common share:</w:t>
            </w: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(0.32)</w:t>
            </w:r>
          </w:p>
        </w:tc>
        <w:tc>
          <w:tcPr>
            <w:tcW w:w="0" w:type="dxa"/>
            <w:vAlign w:val="bottom"/>
          </w:tcPr>
          <w:p>
            <w:pPr>
              <w:spacing w:after="0"/>
              <w:rPr>
                <w:sz w:val="1"/>
                <w:szCs w:val="1"/>
                <w:color w:val="auto"/>
              </w:rPr>
            </w:pPr>
          </w:p>
        </w:tc>
      </w:tr>
      <w:tr>
        <w:trPr>
          <w:trHeight w:val="222"/>
        </w:trPr>
        <w:tc>
          <w:tcPr>
            <w:tcW w:w="7900" w:type="dxa"/>
            <w:vAlign w:val="bottom"/>
          </w:tcPr>
          <w:p>
            <w:pPr>
              <w:ind w:left="14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(0.01)</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(0.02)</w:t>
            </w:r>
          </w:p>
        </w:tc>
        <w:tc>
          <w:tcPr>
            <w:tcW w:w="3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4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(0.03)</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 per common share:</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(0.02)</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(0.35)</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130.9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129.1</w:t>
            </w:r>
          </w:p>
        </w:tc>
        <w:tc>
          <w:tcPr>
            <w:tcW w:w="0" w:type="dxa"/>
            <w:vAlign w:val="bottom"/>
          </w:tcPr>
          <w:p>
            <w:pPr>
              <w:spacing w:after="0"/>
              <w:rPr>
                <w:sz w:val="1"/>
                <w:szCs w:val="1"/>
                <w:color w:val="auto"/>
              </w:rPr>
            </w:pPr>
          </w:p>
        </w:tc>
      </w:tr>
      <w:tr>
        <w:trPr>
          <w:trHeight w:val="222"/>
        </w:trPr>
        <w:tc>
          <w:tcPr>
            <w:tcW w:w="7900" w:type="dxa"/>
            <w:vAlign w:val="bottom"/>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133.6</w:t>
            </w:r>
          </w:p>
        </w:tc>
        <w:tc>
          <w:tcPr>
            <w:tcW w:w="3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79.5</w:t>
            </w:r>
          </w:p>
        </w:tc>
        <w:tc>
          <w:tcPr>
            <w:tcW w:w="4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129.1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Six months</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9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9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29,</w:t>
            </w:r>
          </w:p>
        </w:tc>
        <w:tc>
          <w:tcPr>
            <w:tcW w:w="1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28,</w:t>
            </w:r>
          </w:p>
        </w:tc>
        <w:tc>
          <w:tcPr>
            <w:tcW w:w="0" w:type="dxa"/>
            <w:vAlign w:val="bottom"/>
          </w:tcPr>
          <w:p>
            <w:pPr>
              <w:spacing w:after="0"/>
              <w:rPr>
                <w:sz w:val="1"/>
                <w:szCs w:val="1"/>
                <w:color w:val="auto"/>
              </w:rPr>
            </w:pPr>
          </w:p>
        </w:tc>
      </w:tr>
      <w:tr>
        <w:trPr>
          <w:trHeight w:val="161"/>
        </w:trPr>
        <w:tc>
          <w:tcPr>
            <w:tcW w:w="9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Loss from discontinued operations</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9580" w:type="dxa"/>
            <w:vAlign w:val="bottom"/>
            <w:vMerge w:val="restart"/>
          </w:tcPr>
          <w:p>
            <w:pPr>
              <w:ind w:left="14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Adjustments to reconcile loss from continuing operations to net cash provided by operating activities from continuing operations: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Goodwill impairment charges</w:t>
            </w: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Mark to market on swaps</w:t>
            </w: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 in accrual for unused office space</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Changes in assets and liabilities, net of acquisitions: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580" w:type="dxa"/>
            <w:vAlign w:val="bottom"/>
          </w:tcPr>
          <w:p>
            <w:pPr>
              <w:ind w:left="40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receivable and payable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
        </w:trPr>
        <w:tc>
          <w:tcPr>
            <w:tcW w:w="9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580" w:type="dxa"/>
            <w:vAlign w:val="bottom"/>
            <w:vMerge w:val="restart"/>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contingent acquisition consideration</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580" w:type="dxa"/>
            <w:vAlign w:val="bottom"/>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Proceeds/(payments) from the disposition of discontinued operations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958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9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9580" w:type="dxa"/>
            <w:vAlign w:val="bottom"/>
            <w:vMerge w:val="restart"/>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credit facility</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140"/>
              <w:spacing w:after="0"/>
              <w:rPr>
                <w:sz w:val="20"/>
                <w:szCs w:val="20"/>
                <w:color w:val="auto"/>
              </w:rPr>
            </w:pPr>
            <w:r>
              <w:rPr>
                <w:rFonts w:ascii="Arial" w:cs="Arial" w:eastAsia="Arial" w:hAnsi="Arial"/>
                <w:sz w:val="18"/>
                <w:szCs w:val="18"/>
                <w:color w:val="auto"/>
              </w:rPr>
              <w:t>Repayment under credit facility</w:t>
            </w: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subordinated debt</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958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9580" w:type="dxa"/>
            <w:vAlign w:val="bottom"/>
            <w:vMerge w:val="restart"/>
          </w:tcPr>
          <w:p>
            <w:pPr>
              <w:spacing w:after="0"/>
              <w:rPr>
                <w:sz w:val="20"/>
                <w:szCs w:val="20"/>
                <w:color w:val="auto"/>
              </w:rPr>
            </w:pPr>
            <w:r>
              <w:rPr>
                <w:rFonts w:ascii="Arial" w:cs="Arial" w:eastAsia="Arial" w:hAnsi="Arial"/>
                <w:sz w:val="18"/>
                <w:szCs w:val="18"/>
                <w:color w:val="auto"/>
              </w:rPr>
              <w:t>Net cash flows of continuing operations</w:t>
            </w: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5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cash flows of discontinued operations</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9580" w:type="dxa"/>
            <w:vAlign w:val="bottom"/>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5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580" w:type="dxa"/>
            <w:vAlign w:val="bottom"/>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58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information as of June 28, 2009 and for the three and six months ended June 29, 2008 and June 28, 2009 is unaudited. The condensed consolidated balance sheet as of December 28, 2008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of America. These unaudited condensed consolidated financial statements should be read in conjunction with the consolidated financial statements and the related notes included in the Company's audited annual consolidated financial statements for the year ended December 28, 2008, filed on Form 10-K on March 10, 2009, with the United States Securities and Exchange Commission ("SEC"). Interim operating results are not necessarily indicative of operating results expected in subsequent periods or for the year as a whole.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Fiscal Year</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Company's fiscal year end is on the last Sunday of the year, with interim fiscal periods ending on the last Sunday of the last month of each calendar quarter. There are 52 calendar weeks in the fiscal years ended December 28, 2008 and December 27,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Use of Estimates</w:t>
      </w:r>
    </w:p>
    <w:p>
      <w:pPr>
        <w:spacing w:after="0" w:line="231"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and uncertain tax positions,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Revenue Recognition</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Company generates almost all of its revenue from three different types of contractual arrangements: cost-plus-fee contracts, time-and-materials contracts, and fixed-price contracts.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Revenue on cost-plus-fee contracts is recognized to the extent of allowable costs incurred plus an estimate of the applicable fees earned. The Company considers fixed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 contracts is recognized to the extent of billable rates times hours delivered for services provided, to the extent of material cost for products delivered to customers, and to the extent of expenses incurred on behalf of the customers.</w:t>
      </w:r>
    </w:p>
    <w:p>
      <w:pPr>
        <w:spacing w:after="0" w:line="17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 has three basic categories of fixed price contracts: fixed unit price, fixed price-level of effort, and fixed price-completion. Revenue recognition methods on fixed-price contracts will vary depending on the nature of the work and the contract terms. Revenues on fixed-price service contracts are recorded as work is performed in accordance with Staff Accounting Bulletin 104 "</w:t>
      </w:r>
      <w:r>
        <w:rPr>
          <w:rFonts w:ascii="Arial" w:cs="Arial" w:eastAsia="Arial" w:hAnsi="Arial"/>
          <w:sz w:val="18"/>
          <w:szCs w:val="18"/>
          <w:i w:val="1"/>
          <w:iCs w:val="1"/>
          <w:color w:val="auto"/>
        </w:rPr>
        <w:t>Revenue Recognition</w:t>
      </w:r>
      <w:r>
        <w:rPr>
          <w:rFonts w:ascii="Arial" w:cs="Arial" w:eastAsia="Arial" w:hAnsi="Arial"/>
          <w:sz w:val="18"/>
          <w:szCs w:val="18"/>
          <w:color w:val="auto"/>
        </w:rPr>
        <w:t>" (SAB 104). SAB 104 generally requires revenue to be deferred until all of the following have occurred: (1) there is a contract in place, (2) delivery has occurred, (3) the price is fixed or determinable, and (4) collectibility is reasonably assured. Revenues on fixed-price contracts that require delivery of specific items may be recorded based on a price per unit as units are delivered. Revenue for fixed price contracts in which the Company is paid a specific amount to provide services for a stated period of time is recognized ratably over the service period.</w:t>
      </w:r>
    </w:p>
    <w:p>
      <w:pPr>
        <w:spacing w:after="0" w:line="201"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 portion of the fixed price-completion contracts are within the scope of Statement of Position 81-1 "</w:t>
      </w:r>
      <w:r>
        <w:rPr>
          <w:rFonts w:ascii="Arial" w:cs="Arial" w:eastAsia="Arial" w:hAnsi="Arial"/>
          <w:sz w:val="16"/>
          <w:szCs w:val="16"/>
          <w:i w:val="1"/>
          <w:iCs w:val="1"/>
          <w:color w:val="auto"/>
        </w:rPr>
        <w:t>Accounting for Performance of Construction-Type and</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Production-Type Contracts</w:t>
      </w:r>
      <w:r>
        <w:rPr>
          <w:rFonts w:ascii="Arial" w:cs="Arial" w:eastAsia="Arial" w:hAnsi="Arial"/>
          <w:sz w:val="16"/>
          <w:szCs w:val="16"/>
          <w:color w:val="auto"/>
        </w:rPr>
        <w:t>" (SOP 81-1). For these contracts, revenue is recognized using the percentage-of-completion method based on the ratio of total</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incurred to date compared to estimated total costs to complete the contract. Estimates of costs to complete include material, direct labor, overhead, and allowable general and administrative expenses for government contracts. These cost estimates are reviewed and, if necessary, revised monthly on a contract-by-contract basis. If, as a result of this review, management determines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the Company will not incur a loss on the project, the Company may record revenue equal to cost incurred, at zero margin. In the event that the cost incurred to date may be in excess of the funded contract value, the Company may defer those costs until the associated contract value has been funded by the customer. Once the final estimate of the outcome of the project margin is determined, the Company will record revenue using the percentage-of-completion method of accounting based on the ratio of total costs incurred to date compared to the estimated total costs to complete the project.</w:t>
      </w:r>
    </w:p>
    <w:p>
      <w:pPr>
        <w:spacing w:after="0" w:line="18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our gross margins for the period in which the contract is modified or cancelled.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Material differences may result in the amount and timing of our revenue for any period if management made different judgments or utilized different estimates.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It is the Company's policy to review any arrangement containing software or software deliverables and services against the criteria contained in Statement of Position 97-2 (SOP 97-2),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and related technical practice aids. Under the provisions of SOP 97-2, the Company reviews the contract value of software deliverables and services and determines allocations of the contract value based on Vendor Specific Objective Evidence ("VSOE") or fair value for each of the elements. All software arrangements requiring significant production, modification, or customization of the software are accounted for in conformity with Accounting Research Bulletin 45 "</w:t>
      </w:r>
      <w:r>
        <w:rPr>
          <w:rFonts w:ascii="Arial" w:cs="Arial" w:eastAsia="Arial" w:hAnsi="Arial"/>
          <w:sz w:val="16"/>
          <w:szCs w:val="16"/>
          <w:i w:val="1"/>
          <w:iCs w:val="1"/>
          <w:color w:val="auto"/>
        </w:rPr>
        <w:t>Long-Term Construction-Type Contracts</w:t>
      </w:r>
      <w:r>
        <w:rPr>
          <w:rFonts w:ascii="Arial" w:cs="Arial" w:eastAsia="Arial" w:hAnsi="Arial"/>
          <w:sz w:val="16"/>
          <w:szCs w:val="16"/>
          <w:color w:val="auto"/>
        </w:rPr>
        <w:t>" (ARB 45), using the relevant guidance in SOP 81-1.</w:t>
      </w:r>
    </w:p>
    <w:p>
      <w:pPr>
        <w:spacing w:after="0" w:line="170"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Company's contracts may include the provision of more than one of its services. In these situations, the Company applies the guidance of FASB's Emerging Issues Task Force (EITF) Issue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certain of the Company's contractual arrangements, the Company may also recognize revenue for out-of-pocket expenses in accordance with</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EITF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Depending on the contractual arrangement, these expenses may be reimbursed with or without a fee.</w:t>
      </w:r>
    </w:p>
    <w:p>
      <w:pPr>
        <w:spacing w:after="0" w:line="19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w:t>
      </w:r>
      <w:r>
        <w:rPr>
          <w:rFonts w:ascii="Arial" w:cs="Arial" w:eastAsia="Arial" w:hAnsi="Arial"/>
          <w:sz w:val="16"/>
          <w:szCs w:val="16"/>
          <w:i w:val="1"/>
          <w:iCs w:val="1"/>
          <w:color w:val="auto"/>
        </w:rPr>
        <w:t>Reporting Revenue Gross as a Principal versus Net as an Agent</w:t>
      </w:r>
      <w:r>
        <w:rPr>
          <w:rFonts w:ascii="Arial" w:cs="Arial" w:eastAsia="Arial" w:hAnsi="Arial"/>
          <w:sz w:val="16"/>
          <w:szCs w:val="16"/>
          <w:color w:val="auto"/>
        </w:rPr>
        <w:t>," depending on the specific circumstances of the arrangement. The Company considers the following criteria, among others, for recording revenue on a gross or net basis:</w:t>
      </w:r>
    </w:p>
    <w:p>
      <w:pPr>
        <w:spacing w:after="0" w:line="161" w:lineRule="exact"/>
        <w:rPr>
          <w:sz w:val="20"/>
          <w:szCs w:val="20"/>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compliance with, and the consistent application of, its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 (DCAA).</w:t>
      </w:r>
    </w:p>
    <w:p>
      <w:pPr>
        <w:spacing w:after="0" w:line="17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From time to time, the Company may proceed with work based on client direction prior to the completion and signing of formal contract documents. The Company has a formal review process for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approving any such work. Revenue associated with such work is recognized only when it can be reliably estimated and realization is probable. The Company bases its estimates on previous experiences with the client, communications with the client regarding funding status, and its knowledge of available funding for the contract or program. As of December 28, 2008 and June 28, 2009, approximately $0.8 million and $3.5 million, respectively, of the Company's unbilled accounts receivable balance were under an authorization to proceed or work order from its customers where a formal purchase order had not yet been received.</w:t>
      </w:r>
    </w:p>
    <w:p>
      <w:pPr>
        <w:spacing w:after="0" w:line="14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has restricted cash accounts of approximately $0.4 million as of December 28, 2008, and June 28, 2009, which are required to collateralize a credit card program and a deposit relating to the run out of a now terminated workers compensation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Inventory</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Inventories which are comprised primarily of supplies including parts and materials are stated at the lower of cost or market.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28, 2008 and June 28, 2009, the Company had $1.7 million and $1.8 million of inventories which were reflected in other current assets on the condensed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Liquidity</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 currently carries a significant amount of debt and has historically experienced recurring losses and negative cash flows from continuing operations. Given the Company's highly leveraged liquidity position, any down-turn in its operating earnings or cash flows could impair its ability to comply with the financial covenants of its existing credit facility. Its ability to execute on additional business opportunities may be limited due to its existing borrowing capacity. If the Company believed a covenant violation is more than likely to occur in the near future, it would seek relief from its lenders. This relief, if available, would have some cost to the Company and such relief might not be on terms as favorable as those in its existing Credit Agreement. If the Company were to actually default due to its failure to meet the financial covenants of its Credit Agreement and inability to obtain a waiver from the lenders, the Company's Credit Agreement could require the Company to immediately repay all amounts then outstanding under the Credit Agreement and/or require the Company to pay interest at default rates per the Credit Agreement. In the event the Company was required to repay the amount outstanding under the existing credit facility, it would need to obtain alternative sources of financing to continue its operating activities at existing levels. There can be no assurance that alternative financing would be available on acceptable terms or at all.</w:t>
      </w:r>
    </w:p>
    <w:p>
      <w:pPr>
        <w:spacing w:after="0" w:line="17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June 4, 2009, the Company filed a complaint in the United States District Court for the Northern District of Ohio against the lenders under its Credit Agreement, Field Point III, Ltd. and SPF CDO I, Ltd., both affiliates of Silverpoint Capital LP, and KeyBank National Association seeking equitable relief in the form of reformation of an error in a contract schedule, declaratory relief and damages. The error arises out of the loan agreements, which contain one schedule of the financial covenants, that was erroneously prepared. The Company is specifically seeking reformation of the error in the Minimum Liquidity Ratio Covenant. The Company believes that the facts and the law support its claims.</w:t>
      </w:r>
    </w:p>
    <w:p>
      <w:pPr>
        <w:spacing w:after="0" w:line="170"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KeyBank has agreed to reform the error; however any reformation requires Silverpoint's consent which has not been provided. To date, the Company has complied with this covenant and as of June 28, 2009, the Company is in compliance with all financial covenants. However, as the magnitude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error in the schedule increases in future periods, the Company believes that it will become more challenging to continue to manage its working capital around the error in the Minimum Liquidity Ratio covenant if the error is not corrected or the Company does not take alternative actions. In the event that this occurs, the Company intends to seek relief from the court.</w:t>
      </w:r>
    </w:p>
    <w:p>
      <w:pPr>
        <w:spacing w:after="0" w:line="18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Standards</w:t>
      </w:r>
    </w:p>
    <w:p>
      <w:pPr>
        <w:spacing w:after="0" w:line="225"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The disclosure requirements of SFAS No. 157—</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took effect on January 1, 2008, are presented in Note 9. On January 1, 2009, the Company implemented the previously deferred provisions of SFAS No. 157 for nonfinancial assets and liabilities recorded at fair value, as required.</w:t>
      </w:r>
    </w:p>
    <w:p>
      <w:pPr>
        <w:spacing w:after="0" w:line="194"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The disclosure requirements of SFAS No. 161—</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which took effect on January 1, 2009, are presented in Note 10.</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accounting requirements of SFAS No. 141(R)—</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took effect on January 1, 2009, were adopted but had no impact on the Company's consolidated financial statements.</w:t>
      </w:r>
    </w:p>
    <w:p>
      <w:pPr>
        <w:spacing w:after="0" w:line="186"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The accounting and presentation requirements of SFAS No. 160—</w:t>
      </w:r>
      <w:r>
        <w:rPr>
          <w:rFonts w:ascii="Arial" w:cs="Arial" w:eastAsia="Arial" w:hAnsi="Arial"/>
          <w:sz w:val="18"/>
          <w:szCs w:val="18"/>
          <w:i w:val="1"/>
          <w:iCs w:val="1"/>
          <w:color w:val="auto"/>
        </w:rPr>
        <w:t>Noncontrolling Interests in Consolidated Financial Statements—an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Research Bulletin No. 51</w:t>
      </w:r>
      <w:r>
        <w:rPr>
          <w:rFonts w:ascii="Arial" w:cs="Arial" w:eastAsia="Arial" w:hAnsi="Arial"/>
          <w:sz w:val="18"/>
          <w:szCs w:val="18"/>
          <w:color w:val="auto"/>
        </w:rPr>
        <w:t>, which took effect on January 1, 2009, had no impact on the financial statements as the Company's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were not material.</w:t>
      </w:r>
    </w:p>
    <w:p>
      <w:pPr>
        <w:spacing w:after="0" w:line="194" w:lineRule="exact"/>
        <w:rPr>
          <w:sz w:val="20"/>
          <w:szCs w:val="20"/>
          <w:color w:val="auto"/>
        </w:rPr>
      </w:pPr>
    </w:p>
    <w:p>
      <w:pPr>
        <w:ind w:left="540" w:right="240"/>
        <w:spacing w:after="0" w:line="335" w:lineRule="auto"/>
        <w:rPr>
          <w:sz w:val="20"/>
          <w:szCs w:val="20"/>
          <w:color w:val="auto"/>
        </w:rPr>
      </w:pPr>
      <w:r>
        <w:rPr>
          <w:rFonts w:ascii="Arial" w:cs="Arial" w:eastAsia="Arial" w:hAnsi="Arial"/>
          <w:sz w:val="15"/>
          <w:szCs w:val="15"/>
          <w:color w:val="auto"/>
        </w:rPr>
        <w:t>The disclosure requirements of SFAS No. 165—</w:t>
      </w:r>
      <w:r>
        <w:rPr>
          <w:rFonts w:ascii="Arial" w:cs="Arial" w:eastAsia="Arial" w:hAnsi="Arial"/>
          <w:sz w:val="15"/>
          <w:szCs w:val="15"/>
          <w:i w:val="1"/>
          <w:iCs w:val="1"/>
          <w:color w:val="auto"/>
        </w:rPr>
        <w:t>Subsequent Events</w:t>
      </w:r>
      <w:r>
        <w:rPr>
          <w:rFonts w:ascii="Arial" w:cs="Arial" w:eastAsia="Arial" w:hAnsi="Arial"/>
          <w:sz w:val="15"/>
          <w:szCs w:val="15"/>
          <w:color w:val="auto"/>
        </w:rPr>
        <w:t>, which took effect on June 15, 2009, requiring disclosure of the date through which subsequent events have been evaluated. The Company has adopted SFAS No. 165 and considers its' financial statements issued as of the date of filing with the Securities and Exchange Commission (SEC) and as such, evaluates subsequent events up to and including the date of filing with the SEC.</w:t>
      </w:r>
    </w:p>
    <w:p>
      <w:pPr>
        <w:spacing w:after="0" w:line="142"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As of June 28, 2009, the Company implemented FASB Staff Position FAS 107-1 and APB 28-1, "Interim Disclosures about Fair Value of Financial Instruments," (FSP FAS 107-1 and APB 28-1). FSP FAS 107-1 and APB 28-1, amends FASB Statement No. 107, Disclosures about Fair Value of Financial Instruments, to require disclosures about fair value of financial instruments in interim as well as in annual financial statements. This FSP also amends APB Opinion No. 28, Interim Financial Reporting, to require those disclosures in all interim financial statements. The FSP is effective for periods ending after June 15, 2009. In the second quarter of 2009, the Company implemented FSP FAS 107-1 and APB 28-1. See Note 9, "Fair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Issued But Not Yet Effective</w:t>
      </w:r>
    </w:p>
    <w:p>
      <w:pPr>
        <w:spacing w:after="0" w:line="225"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Other new pronouncements issued but not effective until after June 28, 2009, are not expected to have a significant effect on the company's consolidated financial position or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 xml:space="preserve">The Company performs its annual impairment test for goodwill 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as of the last day of the fiscal year or when evidence of potential impairment exists.</w:t>
      </w:r>
    </w:p>
    <w:p>
      <w:pPr>
        <w:spacing w:after="0" w:line="186"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December 28, 2008 annual impairment assessment and the interim test as of February 28, 2009, the Company identified its reporting units to be its operating segments which are Government Solutions and Public Safety and Security.</w:t>
      </w:r>
    </w:p>
    <w:p>
      <w:pPr>
        <w:spacing w:after="0" w:line="174"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 xml:space="preserve">The Company's testing approach utilizes a discounted cash flow analysis corroborated by comparative market multiples to determine the fair value of its businesses for comparison to their corresponding book values because there are no observable inputs available (Level 3 hierarchy as defined by SFAS 157,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w:t>
      </w:r>
      <w:r>
        <w:rPr>
          <w:rFonts w:ascii="Arial" w:cs="Arial" w:eastAsia="Arial" w:hAnsi="Arial"/>
          <w:sz w:val="18"/>
          <w:szCs w:val="18"/>
          <w:color w:val="auto"/>
        </w:rPr>
        <w:t>). The Company also considers its market capitalization based upon an average of the stock price prior to and subsequent to the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is performed and reconciles the fair value of the Company's reporting units to the Company's market capitalization assuming a control premium. If the book value exceeds the estimated fair value for a business, a potential impairment is indicated and SFAS 142 prescribes the approach for determining the impairment amount, if any.</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Given the continued significant decline in the stock market in general and specifically the Company's stock price and market capitalization in 2009 which declined 39% from an average stock price of $1.29 as of December 28, 2008 to $0.78 as of February 28, 2009, the Company performed an impairment test for goodwill in accordance with SFAS 142 as of February 28, 2009. The test indicated that the book value for the Kratos Government Solutions (KGS) segment exceeded the fair values of these businesses and resulted in the Company recording a charge totaling $41.3 million in its KGS segment in the first quarter of 2009, for the impairment of goodwill. The impairment charge was primarily driven by adverse equity market conditions that caused a decrease in current market multiples and the Company's average stock price as of February 28, 2009, compared with the test performed as of December 28, 2008. The Company's forecasts of growth rates and operating margins had not changed as of February 28, 2009 as compared to the forecasts which were used as of December 28, 2008. The Company reconciles the fair value of its reporting units which is calculated using the income approach to the Company's market capitalization. As a result of this reconciliation, it was noted that investors were requiring a higher rate of return, and therefore, the discount factor which is based upon an estimated market participant weighted average cost of capital (WACC) increased 300 basis points from 14% in the Company's year end impairment test in 2008 as compared to 17% in the Company's 2009 first quarter interim impairment test. This change was the key factor contributing to the $41.3 million goodwill impairment charge that was recorded in the first quarter of 2009.</w:t>
      </w:r>
    </w:p>
    <w:p>
      <w:pPr>
        <w:spacing w:after="0" w:line="17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will continue to evaluate whether a triggering event under SFAS 142 that could be an indication of additional goodwill impairment occurs. If such a triggering event is identified, the Company will perform additional goodwill impairment tests.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tables summarize the changes in the carrying amounts of goodwill and other finite-life intangible assets for the six months ended June 28, 2009 (in millions):</w:t>
      </w:r>
    </w:p>
    <w:p>
      <w:pPr>
        <w:spacing w:after="0" w:line="169"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8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Government</w:t>
            </w:r>
          </w:p>
        </w:tc>
      </w:tr>
      <w:tr>
        <w:trPr>
          <w:trHeight w:val="161"/>
        </w:trPr>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Solutions</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0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Balance as of December 28, 2008</w:t>
            </w:r>
          </w:p>
        </w:tc>
        <w:tc>
          <w:tcPr>
            <w:tcW w:w="13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152.2</w:t>
            </w:r>
          </w:p>
        </w:tc>
        <w:tc>
          <w:tcPr>
            <w:tcW w:w="60" w:type="dxa"/>
            <w:vAlign w:val="bottom"/>
          </w:tcPr>
          <w:p>
            <w:pPr>
              <w:spacing w:after="0"/>
              <w:rPr>
                <w:sz w:val="18"/>
                <w:szCs w:val="18"/>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r>
      <w:tr>
        <w:trPr>
          <w:trHeight w:val="222"/>
        </w:trPr>
        <w:tc>
          <w:tcPr>
            <w:tcW w:w="3480" w:type="dxa"/>
            <w:vAlign w:val="bottom"/>
          </w:tcPr>
          <w:p>
            <w:pPr>
              <w:ind w:left="120"/>
              <w:spacing w:after="0"/>
              <w:rPr>
                <w:sz w:val="20"/>
                <w:szCs w:val="20"/>
                <w:color w:val="auto"/>
              </w:rPr>
            </w:pPr>
            <w:r>
              <w:rPr>
                <w:rFonts w:ascii="Arial" w:cs="Arial" w:eastAsia="Arial" w:hAnsi="Arial"/>
                <w:sz w:val="18"/>
                <w:szCs w:val="18"/>
                <w:color w:val="auto"/>
              </w:rPr>
              <w:t>Purchase accounting adjustments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1"/>
        </w:trPr>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28, 2009</w:t>
            </w:r>
          </w:p>
        </w:tc>
        <w:tc>
          <w:tcPr>
            <w:tcW w:w="13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w:t>
            </w:r>
          </w:p>
        </w:tc>
        <w:tc>
          <w:tcPr>
            <w:tcW w:w="60" w:type="dxa"/>
            <w:vAlign w:val="bottom"/>
            <w:shd w:val="clear" w:color="auto" w:fill="CCEEFF"/>
          </w:tcPr>
          <w:p>
            <w:pPr>
              <w:spacing w:after="0"/>
              <w:rPr>
                <w:sz w:val="18"/>
                <w:szCs w:val="18"/>
                <w:color w:val="auto"/>
              </w:rPr>
            </w:pPr>
          </w:p>
        </w:tc>
      </w:tr>
      <w:tr>
        <w:trPr>
          <w:trHeight w:val="27"/>
        </w:trPr>
        <w:tc>
          <w:tcPr>
            <w:tcW w:w="3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information for finite-lived intangible assets subject to amortization (in millions):</w:t>
      </w:r>
    </w:p>
    <w:p>
      <w:pPr>
        <w:spacing w:after="0" w:line="27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As of December 28, 2008</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4"/>
              </w:rPr>
              <w:t>As of June 28, 2009</w:t>
            </w: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900" w:type="dxa"/>
            <w:vAlign w:val="bottom"/>
          </w:tcPr>
          <w:p>
            <w:pPr>
              <w:spacing w:after="0"/>
              <w:rPr>
                <w:sz w:val="14"/>
                <w:szCs w:val="14"/>
                <w:color w:val="auto"/>
              </w:rPr>
            </w:pPr>
          </w:p>
        </w:tc>
        <w:tc>
          <w:tcPr>
            <w:tcW w:w="108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Gross Value</w:t>
            </w:r>
          </w:p>
        </w:tc>
        <w:tc>
          <w:tcPr>
            <w:tcW w:w="20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Amortization</w:t>
            </w: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Net Value</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Gross Value</w:t>
            </w:r>
          </w:p>
        </w:tc>
        <w:tc>
          <w:tcPr>
            <w:tcW w:w="20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Amortization</w:t>
            </w: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Net Value</w:t>
            </w: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7"/>
              </w:rPr>
              <w:t>Acquired finite-lived intangible assets</w:t>
            </w: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22.1</w:t>
            </w: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36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50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38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backlog</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16"/>
        </w:trPr>
        <w:tc>
          <w:tcPr>
            <w:tcW w:w="2900" w:type="dxa"/>
            <w:vAlign w:val="bottom"/>
          </w:tcPr>
          <w:p>
            <w:pPr>
              <w:ind w:left="120"/>
              <w:spacing w:after="0"/>
              <w:rPr>
                <w:sz w:val="20"/>
                <w:szCs w:val="20"/>
                <w:color w:val="auto"/>
              </w:rPr>
            </w:pPr>
            <w:r>
              <w:rPr>
                <w:rFonts w:ascii="Arial" w:cs="Arial" w:eastAsia="Arial" w:hAnsi="Arial"/>
                <w:sz w:val="18"/>
                <w:szCs w:val="18"/>
                <w:color w:val="auto"/>
              </w:rPr>
              <w:t>Developed technology</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Non-compete agreements</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2900" w:type="dxa"/>
            <w:vAlign w:val="bottom"/>
          </w:tcPr>
          <w:p>
            <w:pPr>
              <w:ind w:left="120"/>
              <w:spacing w:after="0"/>
              <w:rPr>
                <w:sz w:val="20"/>
                <w:szCs w:val="20"/>
                <w:color w:val="auto"/>
              </w:rPr>
            </w:pPr>
            <w:r>
              <w:rPr>
                <w:rFonts w:ascii="Arial" w:cs="Arial" w:eastAsia="Arial" w:hAnsi="Arial"/>
                <w:sz w:val="18"/>
                <w:szCs w:val="18"/>
                <w:color w:val="auto"/>
              </w:rPr>
              <w:t>Trade names</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r>
        <w:trPr>
          <w:trHeight w:val="21"/>
        </w:trPr>
        <w:tc>
          <w:tcPr>
            <w:tcW w:w="2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w:t>
            </w:r>
          </w:p>
        </w:tc>
        <w:tc>
          <w:tcPr>
            <w:tcW w:w="5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r>
      <w:tr>
        <w:trPr>
          <w:trHeight w:val="27"/>
        </w:trPr>
        <w:tc>
          <w:tcPr>
            <w:tcW w:w="29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2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Consolidated amortization expense related to intangible assets subject to amortization was $1.1 million and $1.4 million for the quarters ended June 29, 2008 and June 28, 2009, respectively and $2.2 million and $2.9 million for the six months ended June 28, 2008 and June 28, 2009,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w:t>
      </w:r>
    </w:p>
    <w:p>
      <w:pPr>
        <w:spacing w:after="0" w:line="23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Company had the following equity incentive plans under which shares were available for grant at June 28, 2009: the 1999 Equity Incentive Plan (the "1999 Plan"), the 2000 Non-Statutory Stock Option Plan (the "2000 Plan") and the 2005 Equity Incentive Plan (the "2005 Plan").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Digital Fusion, Inc. 1998, 1999, 2000, and 2005 Stock Option and Stock Incentive Plans.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Company's acquisition of Digital Fusion, Inc. (DFI) on December 24, 2008, the Company assumed all outstanding options under DFI's 1998, 1999, 2000, and 2005 Stock Option and Stock Incentive Plans. No further grants will be made under these plans. Award grants that were outstanding under these plans on December 24, 2008 continue to be governed by their terms and may be exercised for shares of the Company's common stock at any time prior to the expiration of the option pursuant to its terms. Stock options granted under these plans included incentive stock options and non-statutory stock options. All non-statutory options vest upon change in control and were 100% vested on December 24, 2008. With respect to incentive stock options, the qualified stock option plans provide that the exercise price of each such option must be at least equal to 100% of the fair market value of its common stock on the date of grant. Stock options granted under these plans may generally be exercised from one to ten years after the date of grant. Certain of these options had change in control provisions that extended the exercise period for grants for two years from the transaction closing date. Awards granted under these plans generally vest equally over three years; however,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connection with the Company's acquisition of DFI the plans were amended to include immediate vesting of all unvested grants upon any future change in control of the Company. DFI also granted certain options outside of its qualified stock option plans. These non-qualified "out of plan" stock options have been assumed by the Company and expire 10 years from the grant date.</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Company also has a form of Restricted Stock Unit Agreement (the "RSU Agreement") to govern the issuance of restricted stock units ("RSU") to executive officers under the Company's 2005 Plan.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20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Restricted</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356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356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Units</w:t>
            </w:r>
          </w:p>
        </w:tc>
        <w:tc>
          <w:tcPr>
            <w:tcW w:w="120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Grant-Date</w:t>
            </w:r>
          </w:p>
        </w:tc>
      </w:tr>
      <w:tr>
        <w:trPr>
          <w:trHeight w:val="161"/>
        </w:trPr>
        <w:tc>
          <w:tcPr>
            <w:tcW w:w="35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(000's)</w:t>
            </w:r>
          </w:p>
        </w:tc>
        <w:tc>
          <w:tcPr>
            <w:tcW w:w="20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40" w:type="dxa"/>
            <w:vAlign w:val="bottom"/>
          </w:tcPr>
          <w:p>
            <w:pPr>
              <w:spacing w:after="0"/>
              <w:rPr>
                <w:sz w:val="14"/>
                <w:szCs w:val="14"/>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December 28, 2008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2,844</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Grants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1,775</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Cancellations/Forfeitures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r>
      <w:tr>
        <w:trPr>
          <w:trHeight w:val="21"/>
        </w:trPr>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June 28, 2009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4,413</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r>
      <w:tr>
        <w:trPr>
          <w:trHeight w:val="27"/>
        </w:trPr>
        <w:tc>
          <w:tcPr>
            <w:tcW w:w="35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following table shows the amounts recognized in the financial statements for the three and six month periods ended June 29, 2008 and June 28, 2009 for stock-based compensation expense related to employees (in millions, except per share data). The stock-based compensation expense for the three months and six-months ended June 29, 2008 and June 28, 2009 primarily relates to the grant of restricted stock units. In addition, for the three and six months ended June 29, 2008 and June 28, 2009, there was no incremental tax benefit from stock options exercised in the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For the Three</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ind w:left="1060"/>
              <w:spacing w:after="0"/>
              <w:rPr>
                <w:sz w:val="20"/>
                <w:szCs w:val="20"/>
                <w:color w:val="auto"/>
              </w:rPr>
            </w:pPr>
            <w:r>
              <w:rPr>
                <w:rFonts w:ascii="Arial" w:cs="Arial" w:eastAsia="Arial" w:hAnsi="Arial"/>
                <w:sz w:val="14"/>
                <w:szCs w:val="14"/>
                <w:b w:val="1"/>
                <w:bCs w:val="1"/>
                <w:color w:val="auto"/>
              </w:rPr>
              <w:t>For the Six</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Months Ended</w:t>
            </w:r>
          </w:p>
        </w:tc>
        <w:tc>
          <w:tcPr>
            <w:tcW w:w="1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Months Ended</w:t>
            </w:r>
          </w:p>
        </w:tc>
        <w:tc>
          <w:tcPr>
            <w:tcW w:w="1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June 29, 2008</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w w:val="87"/>
              </w:rPr>
              <w:t>June 28, 2009</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June 29, 2008</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w w:val="90"/>
              </w:rPr>
              <w:t>June 28, 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79"/>
              </w:rPr>
              <w:t>0.4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8"/>
                <w:szCs w:val="18"/>
                <w:color w:val="auto"/>
              </w:rPr>
              <w:t>Total cost of employee share-based compensation</w:t>
            </w: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1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included in income (loss) from continuing</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180"/>
              <w:spacing w:after="0"/>
              <w:rPr>
                <w:sz w:val="20"/>
                <w:szCs w:val="20"/>
                <w:color w:val="auto"/>
              </w:rPr>
            </w:pPr>
            <w:r>
              <w:rPr>
                <w:rFonts w:ascii="Arial" w:cs="Arial" w:eastAsia="Arial" w:hAnsi="Arial"/>
                <w:sz w:val="18"/>
                <w:szCs w:val="18"/>
                <w:color w:val="auto"/>
              </w:rPr>
              <w:t>operations, before income tax</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1260" w:type="dxa"/>
            <w:vAlign w:val="bottom"/>
          </w:tcPr>
          <w:p>
            <w:pPr>
              <w:ind w:left="1040"/>
              <w:spacing w:after="0"/>
              <w:rPr>
                <w:sz w:val="20"/>
                <w:szCs w:val="20"/>
                <w:color w:val="auto"/>
              </w:rPr>
            </w:pPr>
            <w:r>
              <w:rPr>
                <w:rFonts w:ascii="Arial" w:cs="Arial" w:eastAsia="Arial" w:hAnsi="Arial"/>
                <w:sz w:val="18"/>
                <w:szCs w:val="18"/>
                <w:color w:val="auto"/>
                <w:w w:val="79"/>
              </w:rPr>
              <w:t>0.4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Amount charged against income (loss) from</w:t>
            </w: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79"/>
              </w:rPr>
              <w:t>0.0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8"/>
                <w:szCs w:val="18"/>
                <w:color w:val="auto"/>
              </w:rPr>
              <w:t>Total charged against operations</w:t>
            </w: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122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w w:val="79"/>
              </w:rPr>
              <w:t>0.4</w:t>
            </w:r>
          </w:p>
        </w:tc>
        <w:tc>
          <w:tcPr>
            <w:tcW w:w="22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6"/>
              </w:rPr>
              <w:t>Total impact on net income (loss) per common share:</w:t>
            </w: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Basic</w:t>
            </w:r>
          </w:p>
        </w:tc>
        <w:tc>
          <w:tcPr>
            <w:tcW w:w="122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900"/>
              <w:spacing w:after="0"/>
              <w:rPr>
                <w:sz w:val="20"/>
                <w:szCs w:val="20"/>
                <w:color w:val="auto"/>
              </w:rPr>
            </w:pPr>
            <w:r>
              <w:rPr>
                <w:rFonts w:ascii="Arial" w:cs="Arial" w:eastAsia="Arial" w:hAnsi="Arial"/>
                <w:sz w:val="18"/>
                <w:szCs w:val="18"/>
                <w:color w:val="auto"/>
              </w:rPr>
              <w:t>(0.00)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August 1999, the Board of Directors approved the 1999 Employee Stock Purchase Plan (the "Purchase Plan"). A total of 4.4 million shares of common stock have been authorized for issuance under the Purchase Plan. The Purchase Plan qualifies as an employee stock purchase plan within the meaning of Section 423 of the Internal Revenue Service Code. The Purchase Plan commenced in November 1999 upon completion of the Company's initial public offering. On November 16, 2005, the Compensation Committee of the Board of Directors elected to suspend all future offerings under the Purchase Plan effective January 1, 2006. On February 27, 2008, the Compensation Committee elected to reinstate offerings under the Purchase Plan effective April 1, 2008.</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Employees who actively participate in the Purchase Plan are eligible to have up to 15% of their earnings for each purchase period withheld pursuant to the Purchase Plan. The amount that was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withheld was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For the six-month period ended June 28, 2009, 0.2 million shares were purchased with a total value of $0.2 million. No shares were purchased under the plan for the six-month period ended June 29, 2008.</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March 31, 2009, the Company issued 1.4 million shares of common stock to the former shareholders of Haverstick Consulting, Inc. in payment of the stock portion of the first holdback consideration pursuant to the Agreement and Plan of Merger, dated November 2, 2007. These shares were issued without registration under the Securities Act of 1933, as amended (the "Securities Act"), in reliance upon the exemption provided by Section 4(2) under the Securities Act and Regulation D there under.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Stockholders' Equity for the periods ended June 29, 2008 and June 28, 2009 is provided below (in millions):</w:t>
      </w:r>
    </w:p>
    <w:p>
      <w:pPr>
        <w:spacing w:after="0" w:line="20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Six</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Six</w:t>
            </w:r>
          </w:p>
        </w:tc>
      </w:tr>
      <w:tr>
        <w:trPr>
          <w:trHeight w:val="149"/>
        </w:trPr>
        <w:tc>
          <w:tcPr>
            <w:tcW w:w="410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Months</w:t>
            </w: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410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June 29,</w:t>
            </w: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June 28,</w:t>
            </w:r>
          </w:p>
        </w:tc>
      </w:tr>
      <w:tr>
        <w:trPr>
          <w:trHeight w:val="161"/>
        </w:trPr>
        <w:tc>
          <w:tcPr>
            <w:tcW w:w="4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Working capital adjustment for Haverstick acquisition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ESPP Plan and RSU settlement in cash</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 for acquisition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r>
      <w:tr>
        <w:trPr>
          <w:trHeight w:val="21"/>
        </w:trPr>
        <w:tc>
          <w:tcPr>
            <w:tcW w:w="4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CCEEFF"/>
          </w:tcPr>
          <w:p>
            <w:pPr>
              <w:spacing w:after="0"/>
              <w:rPr>
                <w:sz w:val="18"/>
                <w:szCs w:val="18"/>
                <w:color w:val="auto"/>
              </w:rPr>
            </w:pPr>
          </w:p>
        </w:tc>
      </w:tr>
      <w:tr>
        <w:trPr>
          <w:trHeight w:val="27"/>
        </w:trPr>
        <w:tc>
          <w:tcPr>
            <w:tcW w:w="4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 has two classes of stock, Series B Convertible Preferred Stock and common stock. There was no issuance, redemption or conversion of the Series B Convertible Preferred Stock for the six months ended June 29, 2008 and June 28, 2009. Common stock issued by the Company for the six months ended June 29, 2008, and June 28, 2009, was as follows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2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Six</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2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Months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29,</w:t>
            </w:r>
          </w:p>
        </w:tc>
        <w:tc>
          <w:tcPr>
            <w:tcW w:w="2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June 28,</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beginning of the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2"/>
              </w:rPr>
              <w:t>Stock issued for employee stock purchase plan, stock options and RSUs exercised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acquisitions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80" w:type="dxa"/>
            <w:vAlign w:val="bottom"/>
            <w:gridSpan w:val="2"/>
            <w:vMerge w:val="restart"/>
          </w:tcPr>
          <w:p>
            <w:pPr>
              <w:ind w:left="1960"/>
              <w:spacing w:after="0"/>
              <w:rPr>
                <w:sz w:val="20"/>
                <w:szCs w:val="20"/>
                <w:color w:val="auto"/>
              </w:rPr>
            </w:pPr>
            <w:r>
              <w:rPr>
                <w:rFonts w:ascii="Arial" w:cs="Arial" w:eastAsia="Arial" w:hAnsi="Arial"/>
                <w:sz w:val="18"/>
                <w:szCs w:val="18"/>
                <w:color w:val="auto"/>
              </w:rPr>
              <w:t>Shares outstanding at end of the period</w:t>
            </w:r>
          </w:p>
        </w:tc>
        <w:tc>
          <w:tcPr>
            <w:tcW w:w="5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080" w:type="dxa"/>
            <w:vAlign w:val="bottom"/>
            <w:gridSpan w:val="2"/>
            <w:vMerge w:val="continue"/>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jc w:val="right"/>
              <w:ind w:right="2192"/>
              <w:spacing w:after="0"/>
              <w:rPr>
                <w:sz w:val="20"/>
                <w:szCs w:val="20"/>
                <w:color w:val="auto"/>
              </w:rPr>
            </w:pPr>
            <w:r>
              <w:rPr>
                <w:rFonts w:ascii="Arial" w:cs="Arial" w:eastAsia="Arial" w:hAnsi="Arial"/>
                <w:sz w:val="18"/>
                <w:szCs w:val="18"/>
                <w:color w:val="auto"/>
              </w:rPr>
              <w:t>14</w:t>
            </w: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tcBorders>
              <w:bottom w:val="single" w:sz="8" w:color="808080"/>
            </w:tcBorders>
          </w:tcPr>
          <w:p>
            <w:pPr>
              <w:spacing w:after="0"/>
              <w:rPr>
                <w:sz w:val="19"/>
                <w:szCs w:val="19"/>
                <w:color w:val="auto"/>
              </w:rPr>
            </w:pPr>
          </w:p>
        </w:tc>
        <w:tc>
          <w:tcPr>
            <w:tcW w:w="6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At the Annual Meeting on June 4, 2009, the stockholders of the Company approved an Amendment to the Amended Certificate of Incorporation to effect a reverse stock split of the Company's common stock. The Amendment provides for not less than one new, post reverse split share of common stock for each ten shares of the existing common stock and not more than one new, post reverse split share of common stock for each twenty shares of existing common stock. As of June 28, 2009, the Amendment for the reverse stock split had not been executed. The Company has one year from the date of the approval, June 4, 2009, to execute the reverse stock split. The Company's Board of Directors approved a 1-for-10 reverse split of its common stock on August 5, 2009. The record date established for the reverse stock split is September 10, 2009 and the reverse stock split will be effective at 11:59 p.m., Eastern Time, on September 10, 2009. The reverse split will reduce the number of shares of Kratos' common stock outstanding from approximately 130.3 million to 13.0 million. Proportional adjustments will be made to Kratos' stock options and other equity incentive awards, equity compensation plans, outstanding warrants and convertible notes. The total number of authorized shares of the Company's capital stock will not be affected by the reverse stock split.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 Company calculates net income (loss) per share 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Under SFAS 128,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basic and diluted earnings per share were as follows: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Three</w:t>
            </w:r>
          </w:p>
        </w:tc>
        <w:tc>
          <w:tcPr>
            <w:tcW w:w="300" w:type="dxa"/>
            <w:vAlign w:val="bottom"/>
          </w:tcPr>
          <w:p>
            <w:pPr>
              <w:spacing w:after="0"/>
              <w:rPr>
                <w:sz w:val="14"/>
                <w:szCs w:val="14"/>
                <w:color w:val="auto"/>
              </w:rPr>
            </w:pPr>
          </w:p>
        </w:tc>
        <w:tc>
          <w:tcPr>
            <w:tcW w:w="1120" w:type="dxa"/>
            <w:vAlign w:val="bottom"/>
            <w:gridSpan w:val="3"/>
          </w:tcPr>
          <w:p>
            <w:pPr>
              <w:jc w:val="right"/>
              <w:ind w:right="77"/>
              <w:spacing w:after="0"/>
              <w:rPr>
                <w:sz w:val="20"/>
                <w:szCs w:val="20"/>
                <w:color w:val="auto"/>
              </w:rPr>
            </w:pPr>
            <w:r>
              <w:rPr>
                <w:rFonts w:ascii="Arial" w:cs="Arial" w:eastAsia="Arial" w:hAnsi="Arial"/>
                <w:sz w:val="14"/>
                <w:szCs w:val="14"/>
                <w:b w:val="1"/>
                <w:bCs w:val="1"/>
                <w:color w:val="auto"/>
              </w:rPr>
              <w:t>For the Six</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Months Ended</w:t>
            </w:r>
          </w:p>
        </w:tc>
        <w:tc>
          <w:tcPr>
            <w:tcW w:w="30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7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29,</w:t>
            </w: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earnings per share)</w:t>
            </w:r>
          </w:p>
        </w:tc>
        <w:tc>
          <w:tcPr>
            <w:tcW w:w="52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June 28, 2009</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June 29, 2008</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5"/>
              </w:rPr>
              <w:t>June 28,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income (loss) from continuing operations available for common shareholders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gridSpan w:val="3"/>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80.9</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130.9</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79.5</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129.1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awards</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Dilutive effect of contingently issuable shares</w:t>
            </w:r>
          </w:p>
        </w:tc>
        <w:tc>
          <w:tcPr>
            <w:tcW w:w="1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and common stock equivalents (C)</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83.8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129.1</w:t>
            </w:r>
          </w:p>
        </w:tc>
        <w:tc>
          <w:tcPr>
            <w:tcW w:w="0" w:type="dxa"/>
            <w:vAlign w:val="bottom"/>
          </w:tcPr>
          <w:p>
            <w:pPr>
              <w:spacing w:after="0"/>
              <w:rPr>
                <w:sz w:val="1"/>
                <w:szCs w:val="1"/>
                <w:color w:val="auto"/>
              </w:rPr>
            </w:pPr>
          </w:p>
        </w:tc>
      </w:tr>
      <w:tr>
        <w:trPr>
          <w:trHeight w:val="27"/>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0.02</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Diluted (A/C)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0.02</w:t>
            </w:r>
          </w:p>
        </w:tc>
        <w:tc>
          <w:tcPr>
            <w:tcW w:w="2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3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8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shares were excluded from the calculation of diluted earnings per share because their inclusion would have been anti-dilutive.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For the Three</w:t>
            </w:r>
          </w:p>
        </w:tc>
        <w:tc>
          <w:tcPr>
            <w:tcW w:w="200" w:type="dxa"/>
            <w:vAlign w:val="bottom"/>
          </w:tcPr>
          <w:p>
            <w:pPr>
              <w:spacing w:after="0"/>
              <w:rPr>
                <w:sz w:val="14"/>
                <w:szCs w:val="14"/>
                <w:color w:val="auto"/>
              </w:rPr>
            </w:pPr>
          </w:p>
        </w:tc>
        <w:tc>
          <w:tcPr>
            <w:tcW w:w="248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88"/>
              </w:rPr>
              <w:t>For the Six</w:t>
            </w:r>
          </w:p>
        </w:tc>
        <w:tc>
          <w:tcPr>
            <w:tcW w:w="1720" w:type="dxa"/>
            <w:vAlign w:val="bottom"/>
          </w:tcPr>
          <w:p>
            <w:pPr>
              <w:spacing w:after="0"/>
              <w:rPr>
                <w:sz w:val="14"/>
                <w:szCs w:val="14"/>
                <w:color w:val="auto"/>
              </w:rPr>
            </w:pPr>
          </w:p>
        </w:tc>
      </w:tr>
      <w:tr>
        <w:trPr>
          <w:trHeight w:val="161"/>
        </w:trPr>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Months Ended</w:t>
            </w:r>
          </w:p>
        </w:tc>
        <w:tc>
          <w:tcPr>
            <w:tcW w:w="200" w:type="dxa"/>
            <w:vAlign w:val="bottom"/>
          </w:tcPr>
          <w:p>
            <w:pPr>
              <w:spacing w:after="0"/>
              <w:rPr>
                <w:sz w:val="14"/>
                <w:szCs w:val="14"/>
                <w:color w:val="auto"/>
              </w:rPr>
            </w:pPr>
          </w:p>
        </w:tc>
        <w:tc>
          <w:tcPr>
            <w:tcW w:w="248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9"/>
              </w:rPr>
              <w:t>Months Ended</w:t>
            </w:r>
          </w:p>
        </w:tc>
        <w:tc>
          <w:tcPr>
            <w:tcW w:w="1720" w:type="dxa"/>
            <w:vAlign w:val="bottom"/>
          </w:tcPr>
          <w:p>
            <w:pPr>
              <w:spacing w:after="0"/>
              <w:rPr>
                <w:sz w:val="14"/>
                <w:szCs w:val="14"/>
                <w:color w:val="auto"/>
              </w:rPr>
            </w:pPr>
          </w:p>
        </w:tc>
      </w:tr>
      <w:tr>
        <w:trPr>
          <w:trHeight w:val="129"/>
        </w:trPr>
        <w:tc>
          <w:tcPr>
            <w:tcW w:w="1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29,</w:t>
            </w: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28,</w:t>
            </w:r>
          </w:p>
        </w:tc>
        <w:tc>
          <w:tcPr>
            <w:tcW w:w="20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29,</w:t>
            </w: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28,</w:t>
            </w: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61"/>
        </w:trPr>
        <w:tc>
          <w:tcPr>
            <w:tcW w:w="174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(In millions)</w:t>
            </w: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4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from stock options and awards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16.7</w:t>
            </w:r>
          </w:p>
        </w:tc>
        <w:tc>
          <w:tcPr>
            <w:tcW w:w="1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Shares from preferred stock</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0" w:type="dxa"/>
            <w:vAlign w:val="bottom"/>
            <w:gridSpan w:val="3"/>
          </w:tcPr>
          <w:p>
            <w:pPr>
              <w:jc w:val="right"/>
              <w:ind w:right="1300"/>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Shares of contingently issuable common stock</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18"/>
                <w:szCs w:val="18"/>
                <w:color w:val="auto"/>
              </w:rPr>
            </w:pPr>
          </w:p>
        </w:tc>
      </w:tr>
      <w:tr>
        <w:trPr>
          <w:trHeight w:val="222"/>
        </w:trPr>
        <w:tc>
          <w:tcPr>
            <w:tcW w:w="174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w w:val="95"/>
              </w:rPr>
              <w:t>Shares of common stock from convertible debt</w:t>
            </w: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1300"/>
              <w:spacing w:after="0"/>
              <w:rPr>
                <w:sz w:val="20"/>
                <w:szCs w:val="20"/>
                <w:color w:val="auto"/>
              </w:rPr>
            </w:pPr>
            <w:r>
              <w:rPr>
                <w:rFonts w:ascii="Arial" w:cs="Arial" w:eastAsia="Arial" w:hAnsi="Arial"/>
                <w:sz w:val="18"/>
                <w:szCs w:val="18"/>
                <w:color w:val="auto"/>
              </w:rPr>
              <w:t>0.9</w:t>
            </w:r>
          </w:p>
        </w:tc>
        <w:tc>
          <w:tcPr>
            <w:tcW w:w="1720" w:type="dxa"/>
            <w:vAlign w:val="bottom"/>
          </w:tcPr>
          <w:p>
            <w:pPr>
              <w:spacing w:after="0"/>
              <w:rPr>
                <w:sz w:val="19"/>
                <w:szCs w:val="19"/>
                <w:color w:val="auto"/>
              </w:rPr>
            </w:pPr>
          </w:p>
        </w:tc>
      </w:tr>
      <w:tr>
        <w:trPr>
          <w:trHeight w:val="424"/>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31" w:lineRule="exact"/>
        <w:rPr>
          <w:sz w:val="20"/>
          <w:szCs w:val="20"/>
          <w:color w:val="auto"/>
        </w:rPr>
      </w:pPr>
    </w:p>
    <w:p>
      <w:pPr>
        <w:jc w:val="both"/>
        <w:ind w:right="520" w:firstLine="341"/>
        <w:spacing w:after="0" w:line="256" w:lineRule="auto"/>
        <w:rPr>
          <w:sz w:val="20"/>
          <w:szCs w:val="20"/>
          <w:color w:val="auto"/>
        </w:rPr>
      </w:pPr>
      <w:r>
        <w:rPr>
          <w:rFonts w:ascii="Arial" w:cs="Arial" w:eastAsia="Arial" w:hAnsi="Arial"/>
          <w:sz w:val="18"/>
          <w:szCs w:val="18"/>
          <w:color w:val="auto"/>
        </w:rPr>
        <w:t>As of December 28, 2008, the Company had $12.8 million of unrecognized tax benefits. During the first quarter of 2009, this amount was reduced by $0.3 million relating to the expiration of statutes of limitations. The reduction in unrecognized tax benefits was recorded as a tax benefit from discontinued operations for $0.3 million. There were no changes in unrecognized tax benefits during the second quarter of 2009 resulting in unrecognized tax benefits at June 28, 2009 of $12.5 million.</w:t>
      </w:r>
    </w:p>
    <w:p>
      <w:pPr>
        <w:spacing w:after="0" w:line="197"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The Company recorded $0.1 million during the period ended June 29, 2008. There were no material amounts recorded during the period ended June 28, 2009.</w:t>
      </w:r>
    </w:p>
    <w:p>
      <w:pPr>
        <w:spacing w:after="0" w:line="139"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 xml:space="preserve">The Company believes that it is reasonably possible that as much as $3.5 million of the FASB Interpretation No. 48, </w:t>
      </w:r>
      <w:r>
        <w:rPr>
          <w:rFonts w:ascii="Arial" w:cs="Arial" w:eastAsia="Arial" w:hAnsi="Arial"/>
          <w:sz w:val="18"/>
          <w:szCs w:val="18"/>
          <w:i w:val="1"/>
          <w:iCs w:val="1"/>
          <w:color w:val="auto"/>
        </w:rPr>
        <w:t>Accounting for Uncertainty in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(FIN 48) tax liabilities will expire within 12 months of June 28, 2009 due to the expiration of various applicable statutes of limitations and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a pending income tax refund claim.</w:t>
      </w:r>
    </w:p>
    <w:p>
      <w:pPr>
        <w:spacing w:after="0" w:line="194"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net deferred tax asset.</w:t>
      </w:r>
    </w:p>
    <w:p>
      <w:pPr>
        <w:spacing w:after="0" w:line="197" w:lineRule="exact"/>
        <w:rPr>
          <w:sz w:val="20"/>
          <w:szCs w:val="20"/>
          <w:color w:val="auto"/>
        </w:rPr>
      </w:pPr>
    </w:p>
    <w:p>
      <w:pPr>
        <w:ind w:right="440" w:firstLine="341"/>
        <w:spacing w:after="0" w:line="332" w:lineRule="auto"/>
        <w:rPr>
          <w:sz w:val="20"/>
          <w:szCs w:val="20"/>
          <w:color w:val="auto"/>
        </w:rPr>
      </w:pPr>
      <w:r>
        <w:rPr>
          <w:rFonts w:ascii="Arial" w:cs="Arial" w:eastAsia="Arial" w:hAnsi="Arial"/>
          <w:sz w:val="16"/>
          <w:szCs w:val="16"/>
          <w:color w:val="auto"/>
        </w:rPr>
        <w:t>A reconciliation of total income tax provision to the amount computed by applying the statutory federal income tax rate of 35% to loss from continuing operations before income tax provision for the three and six months ended June 29, 2008 and June 28, 2009 is as follows (in millions):</w:t>
      </w:r>
    </w:p>
    <w:p>
      <w:pPr>
        <w:spacing w:after="0" w:line="122"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For the Three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26"/>
              <w:spacing w:after="0"/>
              <w:rPr>
                <w:sz w:val="20"/>
                <w:szCs w:val="20"/>
                <w:color w:val="auto"/>
              </w:rPr>
            </w:pPr>
            <w:r>
              <w:rPr>
                <w:rFonts w:ascii="Arial" w:cs="Arial" w:eastAsia="Arial" w:hAnsi="Arial"/>
                <w:sz w:val="14"/>
                <w:szCs w:val="14"/>
                <w:b w:val="1"/>
                <w:bCs w:val="1"/>
                <w:color w:val="auto"/>
                <w:w w:val="85"/>
              </w:rPr>
              <w:t>For the Six</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Months Ended</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26"/>
              <w:spacing w:after="0"/>
              <w:rPr>
                <w:sz w:val="20"/>
                <w:szCs w:val="20"/>
                <w:color w:val="auto"/>
              </w:rPr>
            </w:pPr>
            <w:r>
              <w:rPr>
                <w:rFonts w:ascii="Arial" w:cs="Arial" w:eastAsia="Arial" w:hAnsi="Arial"/>
                <w:sz w:val="14"/>
                <w:szCs w:val="14"/>
                <w:b w:val="1"/>
                <w:bCs w:val="1"/>
                <w:color w:val="auto"/>
                <w:w w:val="89"/>
              </w:rPr>
              <w:t>Months Ended</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June 29,</w:t>
            </w:r>
          </w:p>
        </w:tc>
        <w:tc>
          <w:tcPr>
            <w:tcW w:w="66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96"/>
              </w:rPr>
              <w:t>June 28,</w:t>
            </w:r>
          </w:p>
        </w:tc>
        <w:tc>
          <w:tcPr>
            <w:tcW w:w="200" w:type="dxa"/>
            <w:vAlign w:val="bottom"/>
          </w:tcPr>
          <w:p>
            <w:pPr>
              <w:spacing w:after="0"/>
              <w:rPr>
                <w:sz w:val="11"/>
                <w:szCs w:val="11"/>
                <w:color w:val="auto"/>
              </w:rPr>
            </w:pPr>
          </w:p>
        </w:tc>
        <w:tc>
          <w:tcPr>
            <w:tcW w:w="74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99"/>
              </w:rPr>
              <w:t>June 29,</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28, 2009</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tax expense (benefit) at federal statutory rate</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(0.1)</w:t>
            </w:r>
          </w:p>
        </w:tc>
        <w:tc>
          <w:tcPr>
            <w:tcW w:w="1280" w:type="dxa"/>
            <w:vAlign w:val="bottom"/>
            <w:gridSpan w:val="2"/>
            <w:shd w:val="clear" w:color="auto" w:fill="CCEEFF"/>
          </w:tcPr>
          <w:p>
            <w:pPr>
              <w:jc w:val="right"/>
              <w:ind w:right="80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(14.2)</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rPr>
              <w:t>State taxes, net of federal tax benefit and valuation</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180"/>
              <w:spacing w:after="0"/>
              <w:rPr>
                <w:sz w:val="20"/>
                <w:szCs w:val="20"/>
                <w:color w:val="auto"/>
              </w:rPr>
            </w:pPr>
            <w:r>
              <w:rPr>
                <w:rFonts w:ascii="Arial" w:cs="Arial" w:eastAsia="Arial" w:hAnsi="Arial"/>
                <w:sz w:val="18"/>
                <w:szCs w:val="18"/>
                <w:color w:val="auto"/>
              </w:rPr>
              <w:t>allowance</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goodwill impairment charges</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3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federal valuation allowance</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(0.5)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3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tcPr>
          <w:p>
            <w:pPr>
              <w:jc w:val="right"/>
              <w:ind w:right="806"/>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Fusion,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24, 2008, the Company acquired Huntsville, Alabama based Digital Fusion, Inc. (DFI) in a stock for stock transaction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$37.0 million. DFI provides Command, Control, Communications, Computing, Intelligence, Surveillance, and Reconnaissance (C4ISR) and technical engineering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Unmanned Aerial Vehicle (UAV) products and technology and has significant engineering, modeling and simulation capabilities. The acquisition of DFI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provides Kratos with new customers and an expanded contract vehicle portfolio, in addition to expanding the range of service offerings to existing Kratos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customers. Principal customers of DFI include the Army Aviation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Missile Research, Development and Engineering Center (AMRDEC), Army Space and Missile Defense Command/Army Forces Strategic Command ARSTRAT), NASA Marshall Space Flight Center, and certain classified customers. The aforementioned factors are the primary reason for the acquisition and the amount subsequently assigned to goodwill.</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purchase price of $37.0 million includes direct transaction costs of $0.9 million. The Company issued 22.9 million shares to DFI shareholders and assumed DFI options which are now exercisable for approximately 10.0 million shares of Kratos common stock. The value of the purchase price related to the common stock issued was derived from the number of shares of Kratos common stock issued of 22.9 million, based on 12.8 million shares of DFI common stock outstanding and the exchange ratio of 1.7933 for each DFI share, at a price of $1.27 per share, the average closing price of Kratos shares of common stock on the announcement date and for the two days prior to and two days subsequent to the public announcement of the merger on November 24, 2008. The Company assumed DFI options valued at the exchange ratio of 1.7933 for each DFI option. The fair value of the assumed options that was allocated to goodwill based upon the Black-Scholes pricing model was $7.0 million. The fair value of unvested options which are related to future service will be expensed as the service is performed over the weighted average vesting period of 1.2 years. The results of operations of DFI are included in the accompanying condensed consolidated financial statements for the six months ended June 28, 2009.</w:t>
      </w:r>
    </w:p>
    <w:p>
      <w:pPr>
        <w:spacing w:after="0" w:line="17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$0.9 million, to the fair value of the assets acquired and liabilities assumed at the date of acquisition (in millions):</w:t>
      </w:r>
    </w:p>
    <w:p>
      <w:pPr>
        <w:spacing w:after="0" w:line="194"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vMerge w:val="restart"/>
          </w:tcPr>
          <w:p>
            <w:pPr>
              <w:ind w:left="1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(9.0)</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(0.9)</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is not tax deductible with the exception of approximately $3.6 million which was tax deductible to DFI.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 Technologies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On June 28, 2008, the Company acquired San Diego-based SYS Technologies (SYS). SYS provides a range of C4ISR and net-centric solutions to federal, state, local and other customers. The combination of SYS and Kratos creates a broad, complementary set of offerings, and positions the organization to deliver proven capabilities to a wider spectrum of customers in the areas of highly- specialized engineering and IT solutions and services, specifically in the areas of weapon systems life cycle support and extension, military range operations, missile and weapon system testing, and C4ISR. The amount of goodwill assigned in the allocation of purchase price is primarily attributable to the aforementioned advantages of this acquisition.</w:t>
      </w:r>
    </w:p>
    <w:p>
      <w:pPr>
        <w:spacing w:after="0" w:line="170"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purchase price of $55.9 million includes direct transaction costs of $2.4 million and estimated restructuring costs to be paid by Kratos. The value of the purchase price related to the common stock issued was derived from the number of shares of Kratos common stock issued of 25.3 million, based 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20.1 million shares of SYS common stock outstanding and the exchange ratio of 1.2582 for each SYS share, at a price of $2.022 per share, the average closing price of Kratos common stock on the announcement date and for the two days prior to and two days subsequent to the public announcement of the merger on February 21, 2008. Following the closing of the acquisition, the Company implemented a plan to restructure and/or exit certain business activities of SYS. The plan included a comprehensive assessment of personnel, relocation of personnel, facility consolidation and exit strategies for certain lines of business. The plan provided for approximately $2.0 million of restructuring costs associated with personnel, and additional costs of $0.5 million for facilities consolidation. The restructuring costs are primarily associated with the businesses sold and are accounted for in discontinued operations in the accompanying condensed consolidated financial statements. As of June 28, 2009, approximately $1.0 million of the restructuring and facilities consolidation costs have been paid.</w:t>
      </w:r>
    </w:p>
    <w:p>
      <w:pPr>
        <w:spacing w:after="0" w:line="159"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addition, the Company identified three business units of SYS that were not core to its business strategy and/or have been dilutive to profitability. The Company believes the divestiture of these businesses will slightly reduce revenues going forward and increase profitability and cash flow. The sale of these businesses was completed in the quarter ended March 29, 2009 for an aggregate cash consideration of approximately $0.4 million. These businesses have been classified as discontinued operations in the accompanying Condensed Consolidated Financial Statements.</w:t>
      </w:r>
    </w:p>
    <w:p>
      <w:pPr>
        <w:spacing w:after="0" w:line="167"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$2.4 million, to the fair value of the assets acquired and liabilities assumed at the date of acquisition (in millions):</w:t>
      </w:r>
    </w:p>
    <w:p>
      <w:pPr>
        <w:spacing w:after="0" w:line="194"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13.6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40.1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1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69.9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(13.2)</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55.9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is not tax deductible with the exception of approximately $6.7 million which was tax deductible to SYS.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tables summarize the supplemental statement of operations information on an unaudited pro forma basis as if the acquisitions of SYS and DFI had occurred on January 1, 2008, and include adjustments that were directly attributable to the transactions or were not expected to have a continuing impact on the Company. The pro forma results are for illustrative purposes only for the applicable period and do not purport to be indicative of the actual results which would have occurred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had the transaction been completed as of the beginning of the period, nor are they indicative of results of operations which may occur in the future (all amounts, except per share amounts are in millions):</w:t>
      </w:r>
    </w:p>
    <w:p>
      <w:pPr>
        <w:spacing w:after="0" w:line="169"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SYS</w:t>
            </w:r>
          </w:p>
        </w:tc>
        <w:tc>
          <w:tcPr>
            <w:tcW w:w="180" w:type="dxa"/>
            <w:vAlign w:val="bottom"/>
          </w:tcPr>
          <w:p>
            <w:pPr>
              <w:spacing w:after="0"/>
              <w:rPr>
                <w:sz w:val="12"/>
                <w:szCs w:val="12"/>
                <w:color w:val="auto"/>
              </w:rPr>
            </w:pPr>
          </w:p>
        </w:tc>
        <w:tc>
          <w:tcPr>
            <w:tcW w:w="7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rPr>
              <w:t>DFI</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84"/>
              </w:rPr>
              <w:t>Ended</w:t>
            </w:r>
          </w:p>
        </w:tc>
        <w:tc>
          <w:tcPr>
            <w:tcW w:w="6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June 29, 2008</w:t>
            </w:r>
          </w:p>
        </w:tc>
        <w:tc>
          <w:tcPr>
            <w:tcW w:w="60" w:type="dxa"/>
            <w:vAlign w:val="bottom"/>
          </w:tcPr>
          <w:p>
            <w:pPr>
              <w:spacing w:after="0"/>
              <w:rPr>
                <w:sz w:val="12"/>
                <w:szCs w:val="12"/>
                <w:color w:val="auto"/>
              </w:rPr>
            </w:pPr>
          </w:p>
        </w:tc>
        <w:tc>
          <w:tcPr>
            <w:tcW w:w="8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Pro forma</w:t>
            </w:r>
          </w:p>
        </w:tc>
        <w:tc>
          <w:tcPr>
            <w:tcW w:w="9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Pro forma</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June 29, 2008</w:t>
            </w:r>
          </w:p>
        </w:tc>
        <w:tc>
          <w:tcPr>
            <w:tcW w:w="60" w:type="dxa"/>
            <w:vAlign w:val="bottom"/>
          </w:tcPr>
          <w:p>
            <w:pPr>
              <w:spacing w:after="0"/>
              <w:rPr>
                <w:sz w:val="12"/>
                <w:szCs w:val="12"/>
                <w:color w:val="auto"/>
              </w:rPr>
            </w:pPr>
          </w:p>
        </w:tc>
      </w:tr>
      <w:tr>
        <w:trPr>
          <w:trHeight w:val="161"/>
        </w:trPr>
        <w:tc>
          <w:tcPr>
            <w:tcW w:w="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As Reported</w:t>
            </w:r>
          </w:p>
        </w:tc>
        <w:tc>
          <w:tcPr>
            <w:tcW w:w="200" w:type="dxa"/>
            <w:vAlign w:val="bottom"/>
            <w:gridSpan w:val="2"/>
          </w:tcPr>
          <w:p>
            <w:pPr>
              <w:spacing w:after="0"/>
              <w:rPr>
                <w:sz w:val="14"/>
                <w:szCs w:val="14"/>
                <w:color w:val="auto"/>
              </w:rPr>
            </w:pPr>
          </w:p>
        </w:tc>
        <w:tc>
          <w:tcPr>
            <w:tcW w:w="9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Adjustments</w:t>
            </w:r>
          </w:p>
        </w:tc>
        <w:tc>
          <w:tcPr>
            <w:tcW w:w="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Adjustments</w:t>
            </w:r>
          </w:p>
        </w:tc>
        <w:tc>
          <w:tcPr>
            <w:tcW w:w="160" w:type="dxa"/>
            <w:vAlign w:val="bottom"/>
          </w:tcPr>
          <w:p>
            <w:pPr>
              <w:spacing w:after="0"/>
              <w:rPr>
                <w:sz w:val="14"/>
                <w:szCs w:val="14"/>
                <w:color w:val="auto"/>
              </w:rPr>
            </w:pPr>
          </w:p>
        </w:tc>
        <w:tc>
          <w:tcPr>
            <w:tcW w:w="94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90"/>
              </w:rPr>
              <w:t>Pro forma</w:t>
            </w:r>
          </w:p>
        </w:tc>
        <w:tc>
          <w:tcPr>
            <w:tcW w:w="60" w:type="dxa"/>
            <w:vAlign w:val="bottom"/>
          </w:tcPr>
          <w:p>
            <w:pPr>
              <w:spacing w:after="0"/>
              <w:rPr>
                <w:sz w:val="14"/>
                <w:szCs w:val="14"/>
                <w:color w:val="auto"/>
              </w:rPr>
            </w:pPr>
          </w:p>
        </w:tc>
      </w:tr>
      <w:tr>
        <w:trPr>
          <w:trHeight w:val="210"/>
        </w:trPr>
        <w:tc>
          <w:tcPr>
            <w:tcW w:w="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Pro forma net income</w:t>
            </w: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Basic shares outstanding or issued for acquisition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22.9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132.0</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Basic pro forma net loss per share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Diluted pro forma net loss per share</w:t>
            </w: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r>
        <w:trPr>
          <w:trHeight w:val="778"/>
        </w:trPr>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Six Months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Six Months</w:t>
            </w:r>
          </w:p>
        </w:tc>
        <w:tc>
          <w:tcPr>
            <w:tcW w:w="60" w:type="dxa"/>
            <w:vAlign w:val="bottom"/>
          </w:tcPr>
          <w:p>
            <w:pPr>
              <w:spacing w:after="0"/>
              <w:rPr>
                <w:sz w:val="24"/>
                <w:szCs w:val="24"/>
                <w:color w:val="auto"/>
              </w:rPr>
            </w:pPr>
          </w:p>
        </w:tc>
      </w:tr>
      <w:tr>
        <w:trPr>
          <w:trHeight w:val="149"/>
        </w:trPr>
        <w:tc>
          <w:tcPr>
            <w:tcW w:w="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SYS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DFI</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June 29, 2008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Pro forma</w:t>
            </w:r>
          </w:p>
        </w:tc>
        <w:tc>
          <w:tcPr>
            <w:tcW w:w="180" w:type="dxa"/>
            <w:vAlign w:val="bottom"/>
          </w:tcPr>
          <w:p>
            <w:pPr>
              <w:spacing w:after="0"/>
              <w:rPr>
                <w:sz w:val="12"/>
                <w:szCs w:val="12"/>
                <w:color w:val="auto"/>
              </w:rPr>
            </w:pPr>
          </w:p>
        </w:tc>
        <w:tc>
          <w:tcPr>
            <w:tcW w:w="7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Pro forma</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29, 2008</w:t>
            </w:r>
          </w:p>
        </w:tc>
        <w:tc>
          <w:tcPr>
            <w:tcW w:w="60" w:type="dxa"/>
            <w:vAlign w:val="bottom"/>
          </w:tcPr>
          <w:p>
            <w:pPr>
              <w:spacing w:after="0"/>
              <w:rPr>
                <w:sz w:val="12"/>
                <w:szCs w:val="12"/>
                <w:color w:val="auto"/>
              </w:rPr>
            </w:pPr>
          </w:p>
        </w:tc>
      </w:tr>
      <w:tr>
        <w:trPr>
          <w:trHeight w:val="161"/>
        </w:trPr>
        <w:tc>
          <w:tcPr>
            <w:tcW w:w="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As Reported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60" w:type="dxa"/>
            <w:vAlign w:val="bottom"/>
            <w:gridSpan w:val="5"/>
          </w:tcPr>
          <w:p>
            <w:pPr>
              <w:jc w:val="center"/>
              <w:ind w:left="62"/>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Pro forma</w:t>
            </w:r>
          </w:p>
        </w:tc>
        <w:tc>
          <w:tcPr>
            <w:tcW w:w="60" w:type="dxa"/>
            <w:vAlign w:val="bottom"/>
          </w:tcPr>
          <w:p>
            <w:pPr>
              <w:spacing w:after="0"/>
              <w:rPr>
                <w:sz w:val="14"/>
                <w:szCs w:val="14"/>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6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Pro forma net income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or issued for acquisition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60" w:type="dxa"/>
            <w:vAlign w:val="bottom"/>
            <w:shd w:val="clear" w:color="auto" w:fill="CCEEFF"/>
          </w:tcPr>
          <w:p>
            <w:pPr>
              <w:spacing w:after="0"/>
              <w:rPr>
                <w:sz w:val="18"/>
                <w:szCs w:val="18"/>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w w:val="90"/>
              </w:rPr>
              <w:t>Basic and diluted pro forma net income (loss) per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decline in revenues for the three and six months ended June 28, 2009 as compared to the pro forma amounts for the three and six months ended June 29, 2008, which was expected by the Company, is primarily due to the impact of the conversion of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It is not uncommon in defense contracting for a company that has acquired other companies to experience a conversion from prime to subcontractor status in connection with legacy small business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In connection with two prior business acquisitions, Madison Research Corporation (MRC) and Haverstick Consulting, Inc. (Haverstick), the Company has agreed to make additional future payments to sellers contingent upon achievement of specific performance-based milestones by the acquired entities. Pursuant to the provisions of SFAS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 such amounts are accrued, and therefore, recorded by the Company when the contingency is resolved beyond a reasonable doubt and the additional consideration becomes payable.</w:t>
      </w:r>
    </w:p>
    <w:p>
      <w:pPr>
        <w:spacing w:after="0" w:line="16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resolved all outstanding indemnification obligations related to the MRC holdback and made the final payment of $2.4 million in March 2009. The stock portion of the Haverstick holdback payment of 1.4 million shares and the cash payment of $0.6 million was made in March 2009. The other current liabilities on the accompanying condensed consolidated balance sheet as of June 28, 2009 includes $0.6 million for the final Haverstick cash holdback and the Haverstick common stock holdback consideration of $3.7 million is reflected as additional paid in capital for contingent consideration in the accompanying condensed consolidated financial statements.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contingent acquisition consideration as of December 28, 2008 and June 28, 2009 is summarized in the following table (in millions):</w:t>
      </w:r>
    </w:p>
    <w:p>
      <w:pPr>
        <w:spacing w:after="0" w:line="298"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Haverstick</w:t>
            </w:r>
          </w:p>
        </w:tc>
        <w:tc>
          <w:tcPr>
            <w:tcW w:w="6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MRC</w:t>
            </w:r>
          </w:p>
        </w:tc>
        <w:tc>
          <w:tcPr>
            <w:tcW w:w="4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4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11.4</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Principal and interest cash payments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(2.4)</w:t>
            </w: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(3.0)</w:t>
            </w: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stock</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(3.7)</w:t>
            </w:r>
          </w:p>
        </w:tc>
      </w:tr>
      <w:tr>
        <w:trPr>
          <w:trHeight w:val="222"/>
        </w:trPr>
        <w:tc>
          <w:tcPr>
            <w:tcW w:w="4320" w:type="dxa"/>
            <w:vAlign w:val="bottom"/>
          </w:tcPr>
          <w:p>
            <w:pPr>
              <w:ind w:left="120"/>
              <w:spacing w:after="0"/>
              <w:rPr>
                <w:sz w:val="20"/>
                <w:szCs w:val="20"/>
                <w:color w:val="auto"/>
              </w:rPr>
            </w:pPr>
            <w:r>
              <w:rPr>
                <w:rFonts w:ascii="Arial" w:cs="Arial" w:eastAsia="Arial" w:hAnsi="Arial"/>
                <w:sz w:val="18"/>
                <w:szCs w:val="18"/>
                <w:color w:val="auto"/>
                <w:w w:val="96"/>
              </w:rPr>
              <w:t>Post acquisition adjustments and interest accruals, net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(0.1)</w:t>
            </w: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(0.4)</w:t>
            </w:r>
          </w:p>
        </w:tc>
      </w:tr>
      <w:tr>
        <w:trPr>
          <w:trHeight w:val="21"/>
        </w:trPr>
        <w:tc>
          <w:tcPr>
            <w:tcW w:w="4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28, 2009</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r>
      <w:tr>
        <w:trPr>
          <w:trHeight w:val="27"/>
        </w:trPr>
        <w:tc>
          <w:tcPr>
            <w:tcW w:w="4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On July 7, 2007, the Company entered into a definitive agreement with an affiliate of Platinum Equity to sell the Company's wireless deployment business. Platinum Equity is a Los Angeles based private equity firm whose portfolio includes service and distribution businesses in a number of equity sectors. The total consideration for the acquisition was $24.0 million including $18.0 million in cash at closing, subject to post closing working capital adjustments, and an aggregate $6.0 million in a three-year earn-out arrangement through 2010. The transaction included a Transition Services Agreement for the transition of certain services for a period of nine months. The assets sold to an affiliate of Platinum Equity included all of the Company's wireless deployment business, and the Wireless Facilities name. The transaction closed on July 24, 2007.</w:t>
      </w:r>
    </w:p>
    <w:p>
      <w:pPr>
        <w:spacing w:after="0" w:line="17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On September 25, 2007, in accordance with the acquisition agreement, the Company provided its working capital calculation to Platinum Equity. On July 16, 2008, the Company came to an agreement with Platinum Equity on a working capital adjustment of $5.0 million. In connection with that resolution, the earn-out arrangement was terminated. The adjustment was to be paid in installments with the first amount of $2.5 million due on July 31, 2008 and payments of</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$0.5 million monthly thereafter until paid in full in December 2008. The Company did not make the scheduled $2.5 million payment due as of July 31, 2008. Payments of $1.0 million were made in August and September of 2008, with an additional $0.5 million paid in December 2008. In March of 2009, the Company paid $1.5 million of the working capital adjustment. As of June 28, 2009, the balance of $1.0 million plus accrued interest on the outstanding balance has been reflected in other current liabilities. On August 3, 2009, Platinum Equity agreed to reduce the accrued interest by approximately $0.2 million. On August 4, 2009, the Company paid $1.3 million in full settlement of amounts due to Platinum Equity.</w:t>
      </w:r>
    </w:p>
    <w:p>
      <w:pPr>
        <w:spacing w:after="0" w:line="17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 xml:space="preserve">During the due diligence process related to the acquisition of SYS, senior management identified three business units of SYS which were non-core to Kratos' base national security and public security businesses. These businesses provided video surveillance and information analysis products, digital broadcasting products and incident response management systems. In December 2008, after evaluating these businesses further, a decision was made to dispose of and sell all three business units. In accordance with SFAS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(SFAS144), these business units were classified as held for sale and reported in discontinued operations as of and for the year ended December 28, 2008, and the six months ended June 28, 2009, respectively. The Company recorded a $4.5 million impairment charge in the fourth quarter of 2008 primarily related to the impairment of goodwill and intangibles allocated to these businesses. In the first quarter of 2009, all three of the businesses were sold for an aggregate cash consideration of approximately $0.4 million.</w:t>
      </w:r>
    </w:p>
    <w:p>
      <w:pPr>
        <w:spacing w:after="0" w:line="19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On June 24, 2009, as a result of the continued operating losses in the Southeast division of the Company's Public Safety and Security segment, the Company's Board of Directors approved a plan to sell and dispose of the Southeast division. In accordance with SFAS 144 this business unit was classified as held for sale and reported in discontinued operations in the accompanying Condensed Consolidated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Financial Statements. The Company recorded a $2.0 million impairment charge in the second quarter of 2009 related to management's estimate of the fair value of the business.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8"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3"/>
          </w:tcPr>
          <w:p>
            <w:pPr>
              <w:jc w:val="center"/>
              <w:ind w:right="42"/>
              <w:spacing w:after="0"/>
              <w:rPr>
                <w:sz w:val="20"/>
                <w:szCs w:val="20"/>
                <w:color w:val="auto"/>
              </w:rPr>
            </w:pPr>
            <w:r>
              <w:rPr>
                <w:rFonts w:ascii="Arial" w:cs="Arial" w:eastAsia="Arial" w:hAnsi="Arial"/>
                <w:sz w:val="14"/>
                <w:szCs w:val="14"/>
                <w:b w:val="1"/>
                <w:bCs w:val="1"/>
                <w:color w:val="auto"/>
                <w:w w:val="89"/>
              </w:rPr>
              <w:t>For the Three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3"/>
          </w:tcPr>
          <w:p>
            <w:pPr>
              <w:jc w:val="center"/>
              <w:ind w:right="22"/>
              <w:spacing w:after="0"/>
              <w:rPr>
                <w:sz w:val="20"/>
                <w:szCs w:val="20"/>
                <w:color w:val="auto"/>
              </w:rPr>
            </w:pPr>
            <w:r>
              <w:rPr>
                <w:rFonts w:ascii="Arial" w:cs="Arial" w:eastAsia="Arial" w:hAnsi="Arial"/>
                <w:sz w:val="14"/>
                <w:szCs w:val="14"/>
                <w:b w:val="1"/>
                <w:bCs w:val="1"/>
                <w:color w:val="auto"/>
                <w:w w:val="88"/>
              </w:rPr>
              <w:t>For the Six</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22"/>
              <w:spacing w:after="0"/>
              <w:rPr>
                <w:sz w:val="20"/>
                <w:szCs w:val="20"/>
                <w:color w:val="auto"/>
              </w:rPr>
            </w:pPr>
            <w:r>
              <w:rPr>
                <w:rFonts w:ascii="Arial" w:cs="Arial" w:eastAsia="Arial" w:hAnsi="Arial"/>
                <w:sz w:val="14"/>
                <w:szCs w:val="14"/>
                <w:b w:val="1"/>
                <w:bCs w:val="1"/>
                <w:color w:val="auto"/>
                <w:w w:val="89"/>
              </w:rPr>
              <w:t>Months Ended</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42"/>
              <w:spacing w:after="0"/>
              <w:rPr>
                <w:sz w:val="20"/>
                <w:szCs w:val="20"/>
                <w:color w:val="auto"/>
              </w:rPr>
            </w:pPr>
            <w:r>
              <w:rPr>
                <w:rFonts w:ascii="Arial" w:cs="Arial" w:eastAsia="Arial" w:hAnsi="Arial"/>
                <w:sz w:val="14"/>
                <w:szCs w:val="14"/>
                <w:b w:val="1"/>
                <w:bCs w:val="1"/>
                <w:color w:val="auto"/>
                <w:w w:val="89"/>
              </w:rPr>
              <w:t>Months Ended</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4100" w:type="dxa"/>
            <w:vAlign w:val="bottom"/>
          </w:tcPr>
          <w:p>
            <w:pPr>
              <w:spacing w:after="0"/>
              <w:rPr>
                <w:sz w:val="11"/>
                <w:szCs w:val="11"/>
                <w:color w:val="auto"/>
              </w:rPr>
            </w:pPr>
          </w:p>
        </w:tc>
        <w:tc>
          <w:tcPr>
            <w:tcW w:w="98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June 29,</w:t>
            </w: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28,</w:t>
            </w:r>
          </w:p>
        </w:tc>
        <w:tc>
          <w:tcPr>
            <w:tcW w:w="200" w:type="dxa"/>
            <w:vAlign w:val="bottom"/>
          </w:tcPr>
          <w:p>
            <w:pPr>
              <w:spacing w:after="0"/>
              <w:rPr>
                <w:sz w:val="11"/>
                <w:szCs w:val="11"/>
                <w:color w:val="auto"/>
              </w:rPr>
            </w:pPr>
          </w:p>
        </w:tc>
        <w:tc>
          <w:tcPr>
            <w:tcW w:w="98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June 29,</w:t>
            </w: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28,</w:t>
            </w:r>
          </w:p>
        </w:tc>
        <w:tc>
          <w:tcPr>
            <w:tcW w:w="180" w:type="dxa"/>
            <w:vAlign w:val="bottom"/>
          </w:tcPr>
          <w:p>
            <w:pPr>
              <w:spacing w:after="0"/>
              <w:rPr>
                <w:sz w:val="11"/>
                <w:szCs w:val="11"/>
                <w:color w:val="auto"/>
              </w:rPr>
            </w:pPr>
          </w:p>
        </w:tc>
      </w:tr>
      <w:tr>
        <w:trPr>
          <w:trHeight w:val="161"/>
        </w:trPr>
        <w:tc>
          <w:tcPr>
            <w:tcW w:w="41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4"/>
                <w:szCs w:val="14"/>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center"/>
              <w:ind w:left="24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20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242"/>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222"/>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loss before taxes</w:t>
            </w:r>
          </w:p>
        </w:tc>
        <w:tc>
          <w:tcPr>
            <w:tcW w:w="4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(2.6)</w:t>
            </w:r>
          </w:p>
        </w:tc>
        <w:tc>
          <w:tcPr>
            <w:tcW w:w="4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w:t>
            </w:r>
          </w:p>
        </w:tc>
        <w:tc>
          <w:tcPr>
            <w:tcW w:w="4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(0.9)</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(0.4)</w:t>
            </w: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Net loss after taxes</w:t>
            </w:r>
          </w:p>
        </w:tc>
        <w:tc>
          <w:tcPr>
            <w:tcW w:w="420" w:type="dxa"/>
            <w:vAlign w:val="bottom"/>
          </w:tcPr>
          <w:p>
            <w:pPr>
              <w:jc w:val="center"/>
              <w:ind w:left="242"/>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440" w:type="dxa"/>
            <w:vAlign w:val="bottom"/>
          </w:tcPr>
          <w:p>
            <w:pPr>
              <w:jc w:val="center"/>
              <w:ind w:left="202"/>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(2.8)</w:t>
            </w:r>
          </w:p>
        </w:tc>
        <w:tc>
          <w:tcPr>
            <w:tcW w:w="440" w:type="dxa"/>
            <w:vAlign w:val="bottom"/>
          </w:tcPr>
          <w:p>
            <w:pPr>
              <w:jc w:val="center"/>
              <w:ind w:left="24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(0.5)</w:t>
            </w:r>
          </w:p>
        </w:tc>
        <w:tc>
          <w:tcPr>
            <w:tcW w:w="440" w:type="dxa"/>
            <w:vAlign w:val="bottom"/>
          </w:tcPr>
          <w:p>
            <w:pPr>
              <w:jc w:val="center"/>
              <w:ind w:left="22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(3.4)</w:t>
            </w:r>
          </w:p>
        </w:tc>
      </w:tr>
    </w:tbl>
    <w:p>
      <w:pPr>
        <w:spacing w:after="0" w:line="20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Following is a summary of the assets and liabilities of discontinued operations which are in other current assets, other assets, other current liabilities and other long-term liabilities in the accompanying condensed consolidated balance sheets as of December 28, 2008 and June 28, 2009 (in millions):</w:t>
      </w:r>
    </w:p>
    <w:p>
      <w:pPr>
        <w:spacing w:after="0" w:line="12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December 28,</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Impairment allowance</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40" w:type="dxa"/>
            <w:vAlign w:val="bottom"/>
            <w:vMerge w:val="restart"/>
          </w:tcPr>
          <w:p>
            <w:pPr>
              <w:spacing w:after="0"/>
              <w:rPr>
                <w:sz w:val="20"/>
                <w:szCs w:val="20"/>
                <w:color w:val="auto"/>
              </w:rPr>
            </w:pPr>
            <w:r>
              <w:rPr>
                <w:rFonts w:ascii="Arial" w:cs="Arial" w:eastAsia="Arial" w:hAnsi="Arial"/>
                <w:sz w:val="18"/>
                <w:szCs w:val="18"/>
                <w:color w:val="auto"/>
              </w:rPr>
              <w:t>Non-current assets of discontinued operations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vMerge w:val="continue"/>
          </w:tcPr>
          <w:p>
            <w:pPr>
              <w:spacing w:after="0"/>
              <w:rPr>
                <w:sz w:val="17"/>
                <w:szCs w:val="17"/>
                <w:color w:val="auto"/>
              </w:rPr>
            </w:pPr>
          </w:p>
        </w:tc>
        <w:tc>
          <w:tcPr>
            <w:tcW w:w="220" w:type="dxa"/>
            <w:vAlign w:val="bottom"/>
          </w:tcPr>
          <w:p>
            <w:pPr>
              <w:jc w:val="right"/>
              <w:ind w:right="15"/>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40" w:type="dxa"/>
            <w:vAlign w:val="bottom"/>
            <w:vMerge w:val="restart"/>
          </w:tcPr>
          <w:p>
            <w:pPr>
              <w:spacing w:after="0"/>
              <w:rPr>
                <w:sz w:val="20"/>
                <w:szCs w:val="20"/>
                <w:color w:val="auto"/>
              </w:rPr>
            </w:pPr>
            <w:r>
              <w:rPr>
                <w:rFonts w:ascii="Arial" w:cs="Arial" w:eastAsia="Arial" w:hAnsi="Arial"/>
                <w:sz w:val="18"/>
                <w:szCs w:val="18"/>
                <w:color w:val="auto"/>
              </w:rPr>
              <w:t>Non-current unrecognized tax benefits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220" w:type="dxa"/>
            <w:vAlign w:val="bottom"/>
          </w:tcPr>
          <w:p>
            <w:pPr>
              <w:jc w:val="right"/>
              <w:ind w:right="15"/>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40" w:type="dxa"/>
            <w:vAlign w:val="bottom"/>
            <w:vMerge w:val="restart"/>
          </w:tcPr>
          <w:p>
            <w:pPr>
              <w:spacing w:after="0"/>
              <w:rPr>
                <w:sz w:val="20"/>
                <w:szCs w:val="20"/>
                <w:color w:val="auto"/>
              </w:rPr>
            </w:pPr>
            <w:r>
              <w:rPr>
                <w:rFonts w:ascii="Arial" w:cs="Arial" w:eastAsia="Arial" w:hAnsi="Arial"/>
                <w:sz w:val="18"/>
                <w:szCs w:val="18"/>
                <w:color w:val="auto"/>
                <w:w w:val="99"/>
              </w:rPr>
              <w:t>Non-current liabilities of discontinued operations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40" w:type="dxa"/>
            <w:vAlign w:val="bottom"/>
            <w:vMerge w:val="continue"/>
          </w:tcPr>
          <w:p>
            <w:pPr>
              <w:spacing w:after="0"/>
              <w:rPr>
                <w:sz w:val="18"/>
                <w:szCs w:val="18"/>
                <w:color w:val="auto"/>
              </w:rPr>
            </w:pP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Credit Agreement</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has a credit facility of $85.0 million with KeyBank National Association ("KeyBank") as administrative agent. This credit facility provides for two term loans consisting of a first lien term note of $50.0 million and a second lien term note of $10.0 million, as well as a first lien $25.0 million revolving line of credit, and is collateralized by the assets of the Company and its subsidiaries. KeyBank holds the revolving line of credit and the second lien term note. Field Point III, Ltd. and SPF CDO I, Ltd., both affiliates of Silverpoint Capital LP ("Silverpoint"), hold the first lien term note. The $10.0 million term loan has a five and one half-year term with principal payments of $25,000 required quarterly beginning on March 31, 2008 through March 31, 2013 with the final balance of $9.5 million due on June 30, 2013. The $50.0 million term loan has a five year term with principal payments of $0.6 million required quarterly beginning on March 31, 2008, $1.3 million in 2009, $2.5 million in 2010, and $4.1 million in 2011 and 2012. The term loans have a provision which states that once the full amount of the note has been borrowed, the notes cannot be paid down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reborrowed again. The revolving line of credit has a four year term which expires on December 31, 2011. All loans under the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All rates are subject to a LIBOR floor of 4.25% and a "prime rate" floor of 5.25%.</w:t>
      </w:r>
    </w:p>
    <w:p>
      <w:pPr>
        <w:spacing w:after="0" w:line="167"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of June 28, 2009, the Company's outstanding balance on the facility was $75.2 million and the weighted average interest rate on the debt borrowed during the quarter and six months ended June 28, 2009 was 10.53%, with $45.0 million on the first lien term loan, $9.8 million on the second lien term loan and</w:t>
      </w:r>
    </w:p>
    <w:p>
      <w:pPr>
        <w:ind w:right="140"/>
        <w:spacing w:after="0" w:line="302" w:lineRule="auto"/>
        <w:rPr>
          <w:sz w:val="20"/>
          <w:szCs w:val="20"/>
          <w:color w:val="auto"/>
        </w:rPr>
      </w:pPr>
      <w:r>
        <w:rPr>
          <w:rFonts w:ascii="Arial" w:cs="Arial" w:eastAsia="Arial" w:hAnsi="Arial"/>
          <w:sz w:val="16"/>
          <w:szCs w:val="16"/>
          <w:color w:val="auto"/>
        </w:rPr>
        <w:t>$20.4 million on the revolving line of credit. As of June 28, 2009, the unused line of credit under the revolving line of credit, net of $1.4 million in outstanding letters of credit, was approximately $3.2 million. The only restriction on the use of these funds is that the Company must be in compliance with covenants of the credit facility. The Company was in compliance with all covenants under the credit facility as of June 28, 2009.</w:t>
      </w:r>
    </w:p>
    <w:p>
      <w:pPr>
        <w:spacing w:after="0" w:line="163"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color w:val="auto"/>
        </w:rPr>
        <w:t>On June 4, 2009, the Company filed a complaint in the United States District Court for the Northern District of Ohio against the lenders under its credit agreement, Field Point III, Ltd. and SPF CDO I, Ltd., both affiliates of Silverpoint, and KeyBank National Association seeking equitable relief in the form of reformation of an error in a contract schedule, declaratory relief and damages. The error resulted from the erroneous preparation of a schedule to the loan documents consisting of calculations relating to a financial covenant. The Company is specifically seeking reformation of the error in the Minimum Liquidity Ratio covenant.</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KeyBank has agreed to reform the error, however, any reformation requires Silverpoint's consent which has not been provided. To date, the Company has met this covenant without the requested reformation. However, because the magnitude of the error in the schedule increases in future periods, the Company believes that it will become more challenging to continue to manage around the error in the Minimum Liquidity Ratio covenant unless the error is corrected or the Company takes alternative actions. In the event that this occurs, the Company intends to seek relief from the court.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Subordinated Notes</w:t>
      </w:r>
    </w:p>
    <w:p>
      <w:pPr>
        <w:spacing w:after="0" w:line="23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of December 28, 2008, the Company had outstanding convertible notes payable totaling $3.1 million which were acquired as a result of the SYS acquisition, of which $0.8 million was payable to related parties. The convertible notes payable are unsecured and subordinated to the Company's bank debt and bear interest at 10% per annum payable quarterly. Principal was due February 14, 2009 and the notes were convertible at any time into shares of common stock at a conversion rate of $2.86 per share. In February 2009, in the interest of preserving cash due to the current macroeconomic conditions, the Company provided each note holder with the option to:</w:t>
      </w:r>
    </w:p>
    <w:p>
      <w:pPr>
        <w:spacing w:after="0" w:line="210"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 per share or the Kratos closing share value on February 13, 2009; or</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convert the principal balance into Kratos shares at the lower of the existing conversion price of $2.86 or the Kratos closing share value on February 13, 2009 less a 10% discount.</w:t>
      </w:r>
    </w:p>
    <w:p>
      <w:pPr>
        <w:spacing w:after="0" w:line="186"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of June 28, 2009, $2.1 million of the notes had been paid and $1.0 million of the notes had been extended to August 14, 2010, $25,000 of which is payable to a related party. The balance of the outstanding notes of $1.0 million, which is potentially convertible into common stock of Kratos at $1.02 per share or approximately 944,000 shares, is reflected in long-term debt in the accompanying condensed consolidated balance sheets.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 on the convertible notes was approximately $24,000 and $84,000 for the three and six month period ended June 28, 2009.</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defines fair value, establishes a market-based framework or hierarchy for measuring fair value, and expands disclosures about fair value measurements. SFAS 157 is applicable whenever another accounting pronouncement requires or permits assets and liabilities to be measured at fair value, but does not require any new fair value measurements.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hierarchy established in SFAS 157 prioritizes the inputs used in valuation techniques into three levels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liabilities—includes quoted prices for similar instruments, quoted prices for identical or similar instruments in inactive markets, and amounts derived from valuation models where all significant inputs are observable in active markets; and</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8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table presents assets and liabilities measured and recorded at fair value on the Company's balance sheet on a recurring basis and their level within the fair value hierarchy as of June 28, 2009:</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Significant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other</w:t>
            </w: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3520" w:type="dxa"/>
            <w:vAlign w:val="bottom"/>
          </w:tcPr>
          <w:p>
            <w:pPr>
              <w:spacing w:after="0"/>
              <w:rPr>
                <w:sz w:val="12"/>
                <w:szCs w:val="12"/>
                <w:color w:val="auto"/>
              </w:rPr>
            </w:pPr>
          </w:p>
        </w:tc>
        <w:tc>
          <w:tcPr>
            <w:tcW w:w="12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Total Carrying</w:t>
            </w:r>
          </w:p>
        </w:tc>
        <w:tc>
          <w:tcPr>
            <w:tcW w:w="140" w:type="dxa"/>
            <w:vAlign w:val="bottom"/>
          </w:tcPr>
          <w:p>
            <w:pPr>
              <w:spacing w:after="0"/>
              <w:rPr>
                <w:sz w:val="12"/>
                <w:szCs w:val="12"/>
                <w:color w:val="auto"/>
              </w:rPr>
            </w:pPr>
          </w:p>
        </w:tc>
        <w:tc>
          <w:tcPr>
            <w:tcW w:w="72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6"/>
              </w:rPr>
              <w:t>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unobservable</w:t>
            </w:r>
          </w:p>
        </w:tc>
      </w:tr>
      <w:tr>
        <w:trPr>
          <w:trHeight w:val="149"/>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Value</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inputs</w:t>
            </w:r>
          </w:p>
        </w:tc>
        <w:tc>
          <w:tcPr>
            <w:tcW w:w="6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5"/>
              </w:rPr>
              <w:t>inputs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3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5"/>
              </w:rPr>
              <w:t>June 28, 2009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60" w:type="dxa"/>
            <w:vAlign w:val="bottom"/>
          </w:tcPr>
          <w:p>
            <w:pPr>
              <w:spacing w:after="0"/>
              <w:rPr>
                <w:sz w:val="14"/>
                <w:szCs w:val="14"/>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(interest rates swaps)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significant Level 2 observable inputs utilized to value the Company's derivative financial instruments are based upon calculations provided by an investment advisor and is validated with the use of a nationally recognized financial reporting service.</w:t>
      </w:r>
    </w:p>
    <w:p>
      <w:pPr>
        <w:spacing w:after="0" w:line="186" w:lineRule="exact"/>
        <w:rPr>
          <w:sz w:val="20"/>
          <w:szCs w:val="20"/>
          <w:color w:val="auto"/>
        </w:rPr>
      </w:pPr>
    </w:p>
    <w:p>
      <w:pPr>
        <w:ind w:right="660" w:firstLine="351"/>
        <w:spacing w:after="0" w:line="306" w:lineRule="auto"/>
        <w:rPr>
          <w:sz w:val="20"/>
          <w:szCs w:val="20"/>
          <w:color w:val="auto"/>
        </w:rPr>
      </w:pPr>
      <w:r>
        <w:rPr>
          <w:rFonts w:ascii="Arial" w:cs="Arial" w:eastAsia="Arial" w:hAnsi="Arial"/>
          <w:sz w:val="16"/>
          <w:szCs w:val="16"/>
          <w:color w:val="auto"/>
        </w:rPr>
        <w:t>Carrying amounts and the related estimated fair values of the Company's financial instruments not measured at fair value on a recurring basis at December 28, 2008 and June 28, 2009 are presented in the following table. The carrying value of all other financial instruments, including cash and cash equivalents and short-term debt, approximated their estimated fair values at December 28, 2008 and June 28, 2009.</w:t>
      </w:r>
    </w:p>
    <w:p>
      <w:pPr>
        <w:spacing w:after="0" w:line="210"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28, 2008</w:t>
            </w: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June 28,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0"/>
              </w:rPr>
              <w:t>Carrying</w:t>
            </w: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$ 76.0</w:t>
            </w:r>
          </w:p>
        </w:tc>
        <w:tc>
          <w:tcPr>
            <w:tcW w:w="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$73.4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$ 71.1</w:t>
            </w:r>
          </w:p>
        </w:tc>
        <w:tc>
          <w:tcPr>
            <w:tcW w:w="700" w:type="dxa"/>
            <w:vAlign w:val="bottom"/>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88"/>
              </w:rPr>
              <w:t>$68.6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Long-Term Debt—The fair value of the long-term debt was calculated based on interest rates available for debt with terms and due dates similar to the Company's existing debt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 xml:space="preserve">In the first quarter of 2009, the Company adopted SFAS 161, </w:t>
      </w:r>
      <w:r>
        <w:rPr>
          <w:rFonts w:ascii="Arial" w:cs="Arial" w:eastAsia="Arial" w:hAnsi="Arial"/>
          <w:sz w:val="16"/>
          <w:szCs w:val="16"/>
          <w:i w:val="1"/>
          <w:iCs w:val="1"/>
          <w:color w:val="auto"/>
        </w:rPr>
        <w:t>Disclosures about Derivative Instruments and Hedging Activities—an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133 </w:t>
      </w:r>
      <w:r>
        <w:rPr>
          <w:rFonts w:ascii="Arial" w:cs="Arial" w:eastAsia="Arial" w:hAnsi="Arial"/>
          <w:sz w:val="16"/>
          <w:szCs w:val="16"/>
          <w:color w:val="auto"/>
        </w:rPr>
        <w:t>(SFAS 161), which requires enhanced qualitative disclosures about the Company's objectives and strategies for using derivatives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quantitative disclosures about the fair value amounts of gains and losses on derivative instruments.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uses derivative financial instruments, in particular, interest rate swaps, to reduce the Company's exposure to its variable rate debt. The primary objective of the interest rate swaps is to eliminate the variability of cash flows and interest rate risk for payments made on variable rate debt, the sole source of which is due to changes in the benchmark three month LIBOR interest rate. Changes in the cash flows of the interest rate swap are expected to exactly offset the changes in cash flows (i.e., changes in interest rate payments) attributable to fluctuations in the three month LIBOR on the variable-rate debt.</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records derivatives at their fair value. The classification of gains and losses resulting from changes in the fair values of derivatives is dependent on the Company's intended use of the derivative and its resulting designation. Adjustments to reflect changes in fair values of derivatives that the Company consider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 aggregate notional amount of outstanding interest rate swap contracts at June 28, 2009 was $65.0 million.</w:t>
      </w:r>
    </w:p>
    <w:p>
      <w:pPr>
        <w:spacing w:after="0" w:line="172" w:lineRule="exact"/>
        <w:rPr>
          <w:sz w:val="20"/>
          <w:szCs w:val="20"/>
          <w:color w:val="auto"/>
        </w:rPr>
      </w:pPr>
    </w:p>
    <w:p>
      <w:pPr>
        <w:ind w:right="100" w:firstLine="348"/>
        <w:spacing w:after="0" w:line="284" w:lineRule="auto"/>
        <w:rPr>
          <w:sz w:val="20"/>
          <w:szCs w:val="20"/>
          <w:color w:val="auto"/>
        </w:rPr>
      </w:pPr>
      <w:r>
        <w:rPr>
          <w:rFonts w:ascii="Arial" w:cs="Arial" w:eastAsia="Arial" w:hAnsi="Arial"/>
          <w:sz w:val="16"/>
          <w:szCs w:val="16"/>
          <w:color w:val="auto"/>
        </w:rPr>
        <w:t>The Company's derivative financial instruments, which are cash flow hedges, were considered ineffective as a result of the interest rate floor that occurred with the first amendment of the Company's credit facility in March 2008. The effect of marking the derivative instruments to market for the three and six months ended June 29, 2008 was income of $1.3 million and $0.6 million, respectively, and for the three and six months ended June 28, 2009 was an expense of</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$0.2 million; all of which is reflected in other income/expense in the accompanying condensed consolidated statements of operations. The fair value of the Company's derivative liabilities as of December 28, 2008 and June 28, 2009 was $1.7 million and $1.9 million, respectively, and is carried in other long-term liabilities in the accompanying condensed consolidated balance sheets. See Note 9 for further discussion on the fair value measurements related to the Company's derivative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Significant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our key customers for the periods presented and the percentage of net sales made to such customers (in millions):</w:t>
      </w:r>
    </w:p>
    <w:p>
      <w:pPr>
        <w:spacing w:after="0" w:line="298"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Key Customers</w:t>
            </w:r>
          </w:p>
        </w:tc>
        <w:tc>
          <w:tcPr>
            <w:tcW w:w="1660" w:type="dxa"/>
            <w:vAlign w:val="bottom"/>
          </w:tcPr>
          <w:p>
            <w:pPr>
              <w:spacing w:after="0"/>
              <w:rPr>
                <w:sz w:val="14"/>
                <w:szCs w:val="14"/>
                <w:color w:val="auto"/>
              </w:rPr>
            </w:pPr>
          </w:p>
        </w:tc>
        <w:tc>
          <w:tcPr>
            <w:tcW w:w="24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118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June 29, 2008</w:t>
            </w: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June 28, 2009</w:t>
            </w:r>
          </w:p>
        </w:tc>
        <w:tc>
          <w:tcPr>
            <w:tcW w:w="240" w:type="dxa"/>
            <w:vAlign w:val="bottom"/>
          </w:tcPr>
          <w:p>
            <w:pPr>
              <w:spacing w:after="0"/>
              <w:rPr>
                <w:sz w:val="12"/>
                <w:szCs w:val="12"/>
                <w:color w:val="auto"/>
              </w:rPr>
            </w:pPr>
          </w:p>
        </w:tc>
        <w:tc>
          <w:tcPr>
            <w:tcW w:w="124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4"/>
              </w:rPr>
              <w:t>June 29, 2008</w:t>
            </w:r>
          </w:p>
        </w:tc>
        <w:tc>
          <w:tcPr>
            <w:tcW w:w="9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June 28, 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U.S. Navy</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w w:val="84"/>
              </w:rPr>
              <w:t>$24.1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7"/>
              </w:rPr>
              <w:t>$31.0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5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84"/>
              </w:rPr>
              <w:t>$46.1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84"/>
              </w:rPr>
              <w:t>$57.0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U.S. Army</w:t>
            </w:r>
          </w:p>
        </w:tc>
        <w:tc>
          <w:tcPr>
            <w:tcW w:w="2200" w:type="dxa"/>
            <w:vAlign w:val="bottom"/>
            <w:gridSpan w:val="2"/>
          </w:tcPr>
          <w:p>
            <w:pPr>
              <w:jc w:val="right"/>
              <w:ind w:right="66"/>
              <w:spacing w:after="0"/>
              <w:rPr>
                <w:sz w:val="20"/>
                <w:szCs w:val="20"/>
                <w:color w:val="auto"/>
              </w:rPr>
            </w:pPr>
            <w:r>
              <w:rPr>
                <w:rFonts w:ascii="Arial" w:cs="Arial" w:eastAsia="Arial" w:hAnsi="Arial"/>
                <w:sz w:val="18"/>
                <w:szCs w:val="18"/>
                <w:color w:val="auto"/>
              </w:rPr>
              <w:t>$14.5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w w:val="97"/>
              </w:rPr>
              <w:t>$18.3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540" w:type="dxa"/>
            <w:vAlign w:val="bottom"/>
          </w:tcPr>
          <w:p>
            <w:pPr>
              <w:jc w:val="right"/>
              <w:ind w:right="62"/>
              <w:spacing w:after="0"/>
              <w:rPr>
                <w:sz w:val="20"/>
                <w:szCs w:val="20"/>
                <w:color w:val="auto"/>
              </w:rPr>
            </w:pPr>
            <w:r>
              <w:rPr>
                <w:rFonts w:ascii="Arial" w:cs="Arial" w:eastAsia="Arial" w:hAnsi="Arial"/>
                <w:sz w:val="18"/>
                <w:szCs w:val="18"/>
                <w:color w:val="auto"/>
                <w:w w:val="84"/>
              </w:rPr>
              <w:t>$27.0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640" w:type="dxa"/>
            <w:vAlign w:val="bottom"/>
          </w:tcPr>
          <w:p>
            <w:pPr>
              <w:jc w:val="right"/>
              <w:ind w:right="159"/>
              <w:spacing w:after="0"/>
              <w:rPr>
                <w:sz w:val="20"/>
                <w:szCs w:val="20"/>
                <w:color w:val="auto"/>
              </w:rPr>
            </w:pPr>
            <w:r>
              <w:rPr>
                <w:rFonts w:ascii="Arial" w:cs="Arial" w:eastAsia="Arial" w:hAnsi="Arial"/>
                <w:sz w:val="18"/>
                <w:szCs w:val="18"/>
                <w:color w:val="auto"/>
                <w:w w:val="84"/>
              </w:rPr>
              <w:t>$36.7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21.2%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customers are all part of the Kratos Government Services segment. The Company's top five customers accounted for approximately 68% and 67% of total revenue for the three and six months ended June 29, 2008 and for approximately 65% and 64% for the three and six months ended June 28, 2009, respectively. Total revenue from the federal government for the three and six months ended June 29, 2008 was $54.3 million and $105.2 million, respectively, and for the three and six months ended June 28, 2009 was $78.4 million and $149.8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operates in two principal business segments: Kratos Government Solutions (KGS) and Public Safety and Security (PSS). The Company organizes its business segments based on the nature of the services offered. In the following table, total operating income of the business segments is reconciled to the corresponding consolidated amount. The reconciling item "Unallocated Corporate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income (expense), net" includes costs for certain stock-based compensation programs (including stock-based compensation costs for stock options and restricted stock units), the effects of items not considered part of management's evaluation of segment operating performance,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Revenues and operating income generated by the Company's current reporting segments for the three and six months ended June 29, 2008 and June 28, 2009 are as follows (in millions):</w:t>
      </w:r>
    </w:p>
    <w:p>
      <w:pPr>
        <w:spacing w:after="0" w:line="169"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6"/>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June 29,</w:t>
            </w:r>
          </w:p>
        </w:tc>
        <w:tc>
          <w:tcPr>
            <w:tcW w:w="7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June 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June 29,</w:t>
            </w: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28,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82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2008</w:t>
            </w:r>
          </w:p>
        </w:tc>
        <w:tc>
          <w:tcPr>
            <w:tcW w:w="7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2008</w:t>
            </w:r>
          </w:p>
        </w:tc>
        <w:tc>
          <w:tcPr>
            <w:tcW w:w="7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83.2</w:t>
            </w:r>
          </w:p>
        </w:tc>
        <w:tc>
          <w:tcPr>
            <w:tcW w:w="1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4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5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69.5</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90.6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135.0</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 (32.7)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3640" w:type="dxa"/>
            <w:vAlign w:val="bottom"/>
          </w:tcPr>
          <w:p>
            <w:pPr>
              <w:ind w:left="120"/>
              <w:spacing w:after="0"/>
              <w:rPr>
                <w:sz w:val="20"/>
                <w:szCs w:val="20"/>
                <w:color w:val="auto"/>
              </w:rPr>
            </w:pPr>
            <w:r>
              <w:rPr>
                <w:rFonts w:ascii="Arial" w:cs="Arial" w:eastAsia="Arial" w:hAnsi="Arial"/>
                <w:sz w:val="18"/>
                <w:szCs w:val="18"/>
                <w:color w:val="auto"/>
                <w:w w:val="96"/>
              </w:rPr>
              <w:t>Unallocated Corporate income (expense), net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(34.9)</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the six months ended June 28, 2009, the operating loss of the KGS segment includes a non-cash charge of $41.3 million related to goodwill impairment.</w:t>
      </w:r>
    </w:p>
    <w:p>
      <w:pPr>
        <w:spacing w:after="0" w:line="243"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ind w:right="158"/>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20" w:type="dxa"/>
            <w:vAlign w:val="bottom"/>
            <w:gridSpan w:val="3"/>
          </w:tcPr>
          <w:p>
            <w:pPr>
              <w:jc w:val="center"/>
              <w:ind w:left="922"/>
              <w:spacing w:after="0" w:line="149" w:lineRule="exact"/>
              <w:rPr>
                <w:sz w:val="20"/>
                <w:szCs w:val="20"/>
                <w:color w:val="auto"/>
              </w:rPr>
            </w:pPr>
            <w:r>
              <w:rPr>
                <w:rFonts w:ascii="Arial" w:cs="Arial" w:eastAsia="Arial" w:hAnsi="Arial"/>
                <w:sz w:val="14"/>
                <w:szCs w:val="14"/>
                <w:b w:val="1"/>
                <w:bCs w:val="1"/>
                <w:color w:val="auto"/>
                <w:w w:val="85"/>
              </w:rPr>
              <w:t>December 28,</w:t>
            </w:r>
          </w:p>
        </w:tc>
        <w:tc>
          <w:tcPr>
            <w:tcW w:w="20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ind w:right="158"/>
              <w:spacing w:after="0"/>
              <w:rPr>
                <w:sz w:val="20"/>
                <w:szCs w:val="20"/>
                <w:color w:val="auto"/>
              </w:rPr>
            </w:pPr>
            <w:r>
              <w:rPr>
                <w:rFonts w:ascii="Arial" w:cs="Arial" w:eastAsia="Arial" w:hAnsi="Arial"/>
                <w:sz w:val="14"/>
                <w:szCs w:val="14"/>
                <w:b w:val="1"/>
                <w:bCs w:val="1"/>
                <w:color w:val="auto"/>
                <w:w w:val="83"/>
              </w:rPr>
              <w:t>2008</w:t>
            </w:r>
          </w:p>
        </w:tc>
        <w:tc>
          <w:tcPr>
            <w:tcW w:w="70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89"/>
              </w:rPr>
              <w:t>2009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activities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12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other public companies ("Issuers") that conducted IPOs of their common stock in the late 1990s and 2000. These complaints have been consolidated into an action captioned In re Initial Public Offering Securities Litigation, 21 MC 92 (the "IPO Cases").</w:t>
      </w:r>
    </w:p>
    <w:p>
      <w:pPr>
        <w:spacing w:after="0" w:line="18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Briefing on the class certification motion was completed in May 2008. That motion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Notice was sent to the settlement classes on July 2, 2009. The settlement fairness hearing has been scheduled for September 10, 2009. Following the hearing, if the Court determines that the settlement is fair to the class members, the settlement will be approved and the case against the Company and its individual defendants will be dismissed with prejudice. There can be no assurance that this proposed settlement will be approved and implemented in its current form, or at all. Due to the inherent uncertainties of litigation and because the settlement approval process is at a preliminary stage, the ultimate outcome of the matter is uncertain.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Securities Litigation</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 to trade at artificially inflated levels. Based on these allegations, the lawsuits alleged that Defendants violated the Securities Exchange Act of 1934, and the plaintiffs sought unspecified damages. These actions were consolidated into a single action—In re Wireless Facilities, Inc. Securities Litigation, Master File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In June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January 13, 2009, following a motion by the parties, the Court granted final approval of the proposed settlement terms, issued its final judgment on the matter, and entered an order dismissing the case with prejudice.</w:t>
      </w:r>
    </w:p>
    <w:p>
      <w:pPr>
        <w:spacing w:after="0" w:line="17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total amount of $12 million. The Company's directors' and officers' liability insurers paid the settlement amount in accordance with the Company's insurance policies, less the applicable retention or co-insurance obligations that were paid directly by the Company. The Company's amount of payment toward the settlement was approximately $2.4 million. In the fourth quarter of 2008, the Company paid $3.0 million related to this matter, of which $1.0 million was from its restricted cash account. The Company received $0.6 million from the insurance carriers for this payment in the first quarter of 2009. Despite the settlement reached in this action, the Company believes that the allegations lacked merit.</w:t>
      </w:r>
    </w:p>
    <w:p>
      <w:pPr>
        <w:spacing w:after="0" w:line="17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Plaintiffs filed a notice of appeal of the personal jurisdictional order. Plaintiffs' opening appellate brief is due on September 25, 2009. The parties have conferred and discussed the Court's personal jurisdictional order, notice of appeal, and appellate briefing schedule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September 10,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8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07-CV-0680 BTM(RBB) (the "Hameed Action"), against several of the Company's current and former officers and directors. The allegations in this derivative complaint mirrored the amended allegations in the 2004 federal derivative action. Pursuant to a Court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In August 2008, and before defendants had responded to the complaint, Plaintiff voluntarily dismissed the Hameed Action pursuant to Federal Rule of Civil Procedure 41(a). The Company believes that the allegations lacked merit and intended to vigorously defend all claims asserted.</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April 2009, the parties notified the Court of the status of the federal action and the court continued the stay for an additional six months. The Court also ordered the parties to file an updated status report in October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$0.7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Securities Litigation</w:t>
      </w:r>
    </w:p>
    <w:p>
      <w:pPr>
        <w:spacing w:after="0" w:line="231"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were consolidated into a single action, In re Wireless Facilities, Inc. Securities Litigation II, Master File 07-CV-0482-BTM-NLS. The consolidated class action complaint was filed on November 19, 2007. In March 2008, following a voluntary mediation of the matter, the parties reached a tentative agreement to settle the class action. In May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December 19, 2008, following a motion by the parties, the Court granted final approval of the proposed settlement terms, issued its final judgment on the matter, and entered an order dismissing the case with prejudice.</w:t>
      </w:r>
    </w:p>
    <w:p>
      <w:pPr>
        <w:spacing w:after="0" w:line="174"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amount of $4.5 million. The Company's directors' and officers' liability insurers paid the settlement amount, less the applicable retention or co-insurance obligations and contributions that were paid directly by the Company. In July 2008, the Company paid $1.8 million related to the settlement of this litigation. Despite the settlement reached in this action, the Company believes that the allegations lacked merit.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Investigations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$0.5 million for his back wages, vacation pay and certain other benefits. The Company filed an appeal on the matter on July 20, 2006 and is challenging the basis for the award on several theories. The Company has accrued approximately $0.5 million as of June 28, 2009,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March 28, 2007, three plaintiffs, on behalf of a purported class of similarly situated employees and contractors, filed a lawsuit against the Company in the Superior Court of the State of California, Alameda County. The suit alleged various violations of the California Labor Code and sought payments for allegedly unpaid straight time and overtime, meal period pay and associated penalties. The Company and the plaintiffs agreed to venue for the suit in San Diego County. Although the Company believed that the allegations lack merit, it agreed with the plaintiffs to settle their claims for an aggregate amount in the range of $0.3 million to $0.5 million, to include individual and incentive awards, attorneys' fees and administrative costs. The court granted final approval of the settlement 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April 17, 2009 and the Company has paid a total of $0.3 million in accordance with the final settlement.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May 3, 2007, Kratos announced that it had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Kratos promptly reported to the SEC the discovery of the theft. The SEC initiated an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investigation and that it did not intend to recommend any enforcement action by the SEC against the Company. Kratos has cooperated with, and continues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recovered $0.6 million from its insurance carrier related to the theft of options, and is in the process of liquidating the remaining assets which approximate $0.1 million in value. Kratos' directors' and officers' liability insurers agreed to reimburse it for $4.1 million in the third and fourth quarters of 2008 related to fees previously incurred on the ongoing investigation by the U.S. Attorney's Office as well as fees previously incurred on the SEC investigation.</w:t>
      </w:r>
    </w:p>
    <w:p>
      <w:pPr>
        <w:spacing w:after="0" w:line="17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June 4, 2009, the Company filed a complaint in the United States District Court for the Northern District of Ohio against the lenders under its Credit Agreement, Field Point III, Ltd. and SPF CDO I, Ltd., both affiliates of Silverpoint Capital LP ("Silverpoint"), and KeyBank National Association ("KeyBank") seeking equitable relief in the form of reformation of an error in a contract schedule, declaratory relief and damages. The error resulted from the erroneous preparation of a schedule to the loan documents consisting of calculations related to a financial covenant. The Company is specifically seeking reformation of the error in the Minimum Liquidity Ratio covenant. The Company believes that the facts and the law support its claims.</w:t>
      </w:r>
    </w:p>
    <w:p>
      <w:pPr>
        <w:spacing w:after="0" w:line="170"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KeyBank has agreed to reform the error, however, any reformation requires Silverpoint's consent which has not been provided. To date, the Company has met this covenant. As of June 28, 2009, the Company is in compliance with all financial covenants. However, as the magnitude of the error in the schedule increases in future periods, the Company believes that it will become more challenging to continue to manage around the error in the Minimum Liquidity Ratio covenant if the error is not corrected or the Company does not take alternative actions. In the event that this occurs, the Company intends to seek relief from the court.</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obtain court approval of the proposed litigation settlement or to ultimately settle the litigation; failure to successfully consummate acquisitions or integrate acquired operations; and competition in the marketplace which could reduce revenues and profit margins.</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assume no obligation to update any of the forward-looking statements after the filing of this Quarterly Report on Form 10-Q to conform such statements to actual results or to changes in our expectations.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stock-based compensation expense, amortization expense, certain legal fees and accrual for unused office space, may be considered non-GAAP financial measures. We believe this information is useful to investors because it provides a basis for measuring the operating performance of our business and our cash flow, excluding the effect of items that would normally be included in the most directly comparable measures calculated and presented in accordance with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in Item 1A "Risk Factors" and the audited consolidated financial statements and related notes included in our Annual Report filed on Form 10-K for the year ended December 28, 2008 and other reports and filings made with the Securities and Exchange Commission.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an innovative provider of mission critical engineering, information technology (IT) services and warfighter solutions. We work primarily for the U.S. government and federal government agencies, but we also perform work for state and local agencies and commercial customers. Our principal services are related to, but are not limited to, Command, Control, Communications, Computing, Intelligence, Surveillance and Reconnaissance (C4ISR); weapons systems lifecycle support and sustainment; military weapon range operations and technical services; missile, rocket and weapons system test and evaluation; missile and rocket mission launch services; public safety, security and surveillance systems; modeling and simulation; unmanned aerial vehicle (UAV) products and technology; advanced network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engineering and information technology services; and advanced information technology services. We offer our customers solutions and expertise to support their mission-critical needs by leveraging our skills across our core service areas.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derive a substantial portion of our revenue from contracts performed for federal government agencies, including the U.S. Department of Defense (DOD), with the majority of our revenue currently generated from the delivery of mission-critical warfighter solutions, advanced engineering services, system integration and system sustainment services to defense and other non-DOD and civilian government agencies. We believe our diversified and stable client base, strong client relationships, broad array of contract vehicles, considerable employee base possessing government security clearances, extensive list of past performance qualifications, and significant management and operational capabilities position us for continued growth.</w:t>
      </w:r>
    </w:p>
    <w:p>
      <w:pPr>
        <w:spacing w:after="0" w:line="170"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Prior to 2008, we were also an independent provider of outsourced engineering and network deployment services, security systems engineering and integration services and other technical services for the wireless communications industry, the U.S. government and enterprise customers. In 2006 and 2007, we undertook a transformation strategy whereby we divested our commercial wireless-related businesses and chose to pursue business with the federal government, primarily the DOD, through strategic acquisitions. On September 12, 2007, we changed our name from Wireless Facilities, Inc. to Kratos Defense &amp; Security Solutions, Inc. Our new name reflects our revised focus as a defense contractor and security systems integrator for the federal government and for state and local agencies. In connection with our name change, we changed our NASDAQ Global Market trading symbol to "KTOS".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Reporting Segments</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operate in two principal business segments: Kratos Government Solutions (KGS) and Public Safety and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Quarterly Report are presented in a manner consistent with our operating structure. For additional information regarding our operating segments, see Note 12 of Notes to Condensed Consolidated Financial Statements. From a customer and solutions perspective, we view our business as an integrated whole, leveraging skills and assets wherever possible.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Kratos Government Solutions segment provides engineering, information technology and weapons systems to federal, state, and local government agencies, but primarily the DOD. Our work includes weapon systems sustainment, lifecycle support and extension; C4ISR services; military range operations and technical services; missile, rocket, and weapons systems test and evaluation; mission launch services; modeling and simulation, unmanned aerial vehicle (UAV) products and technology, and advanced network engineering and information technology services; public safety, security and surveillance systems integration. Our KGS segment also provides public safety, security and surveillance systems products and services to the homeland security market with products and services aimed at supporting first responders.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Public Safety and Security segment provides system design, deployment, integration, monitoring and support services for public safety, security and surveillance networks for state and local governments and commercial customers. Public safety and security networks have been traditionally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segregated into systems such as voice, data, access control, video surveillance, temperature control and fire and life safety. We provide services that combine such systems and offer integrated solutions on an Ethernet-based platform. We also offer solutions that combine voice, data, electronic security and building automation systems with fixed or wireless connectivity solutions. Our target markets are retail, healthcare, education, sports and entertainment, municipal government, correctional facilities and other public facilities. Our commitments to these markets and our ability to provide feature-rich, cost-effective solutions have allowed us to become one of the larger independent integrators for these types of systems. We maintain regional office locations comprised of Kratos Mid Atlantic, Kratos Southeast, and Kratos Southwest.</w:t>
      </w:r>
    </w:p>
    <w:p>
      <w:pPr>
        <w:spacing w:after="0" w:line="198"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On June 24, 2009, as a result of the continued losses in the Southeast division of PSS, our Board of Directors approved a plan to sell and dispose of this division. The business unit was classified as held for sale and reported in discontinued operations in the accompanying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On June 28, 2008, we completed our acquisition of SYS, a San Diego-based company. The acquisition enhances our position as a premier mid-tier federal, state and local government contractor in the United States in the areas of C4ISR, IT services and public safety and homeland security solutions. The merger creates a broad, complementary set of business offerings, and positions us to deliver capabilities to a wider spectrum of customers.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issued 25.3 million shares to SYS shareholders in the acquisition, for a total purchase price of $55.9 million including direct transaction costs of</w:t>
      </w:r>
    </w:p>
    <w:p>
      <w:pPr>
        <w:spacing w:after="0" w:line="3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$2.4 million. Each share of SYS common stock was converted into the right to receive 1.2582 shares of Kratos common stock. The value of the Kratos common stock issued in the acquisition was derived from the number of shares of Kratos common stock issued, or 25.3 million, at a price of $2.022 per share, the average closing price of Kratos shares of common stock for the two days prior to, including, and the two days subsequent to the public announcement of the acquisition on February 21, 2008. Following the closing of the acquisition, we implemented a plan to restructure and/or exit certain business activities of SYS. The plan included a comprehensive assessment of personnel, relocation of personnel, facility consolidation and exit strategies for certain lines of business. The plan provided for approximately $2.0 million of restructuring costs associated with personnel, and additional costs of $0.5 million for facilities consolidation. The restructuring costs are primarily associated with the businesses sold and are accounted for in discontinued operations in the accompanying condensed consolidated financial statements.</w:t>
      </w:r>
    </w:p>
    <w:p>
      <w:pPr>
        <w:spacing w:after="0" w:line="17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we identified three business units of SYS that were not core to our business strategy and/or have been dilutive to profitability. We completed the sale of these businesses in the first quarter of 2009 for an aggregate cash consideration of approximately $0.4 million. We expect the divestiture of these businesses to slightly reduce revenues going forward, and increase profitability and cash flow. These businesses have been classified as discontinued operations in our condensed consolidated financial statements for the three and six months ended as of June 29, 2008 and June 28, 2009.</w:t>
      </w:r>
    </w:p>
    <w:p>
      <w:pPr>
        <w:spacing w:after="0" w:line="167" w:lineRule="exact"/>
        <w:rPr>
          <w:sz w:val="20"/>
          <w:szCs w:val="20"/>
          <w:color w:val="auto"/>
        </w:rPr>
      </w:pPr>
    </w:p>
    <w:p>
      <w:pPr>
        <w:jc w:val="both"/>
        <w:ind w:right="280" w:firstLine="351"/>
        <w:spacing w:after="0" w:line="294" w:lineRule="auto"/>
        <w:rPr>
          <w:sz w:val="20"/>
          <w:szCs w:val="20"/>
          <w:color w:val="auto"/>
        </w:rPr>
      </w:pPr>
      <w:r>
        <w:rPr>
          <w:rFonts w:ascii="Arial" w:cs="Arial" w:eastAsia="Arial" w:hAnsi="Arial"/>
          <w:sz w:val="16"/>
          <w:szCs w:val="16"/>
          <w:color w:val="auto"/>
        </w:rPr>
        <w:t>On December 24, 2008 we acquired Huntsville, Alabama based Digital Fusion, Inc. (DFI). DFI provides C4ISR and technical engineering services, UAV products and technology and has significant engineering, exotic sensor and modeling and simulation capabilities. The acquisition of DFI provides us with new customers and an expanded contract vehicle portfolio, in addition to expanding the range of service offerings to our existing customers. Principal customers of DFI include the Army Aviation and Missile Research, Development and Engineering Center (AMRDEC), Army Space and Missile Defense Command/Army Forces Strategic Command (ARSTRAT), NASA Marshall Space Flight Center, and certain classified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total stock for stock transaction was valued at approximately $37.0 million, including transaction costs of $0.9 million. We issued 22.9 million shares to DFI shareholders and assumed outstanding DFI options, which resulted in the assumption of options to acquire approximately 10.0 million Kratos shares. The value of the purchase price related to the common stock issued was derived from the number of shares of Kratos common stock issued of 22.9 million, based on 12.8 million shares of DFI common stock outstanding and the exchange ratio of 1.7933 for each DFI share, at a price of $1.27 per share, the average closing price of Kratos shares of common stock for the two days prior to, including, and the two days subsequent to the public announcement of the merger on November 24, 2008. The fair value of the options assumed that were allocated to goodwill based upon the Black-Scholes pricing model was $7.0 million. The fair value of unvested options which are related to future service will be expensed as the service is performed.</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a complete description of our business and a discussion of our complete critical accounting matters, please refer to Item 7, "Management's Discussion and Analysis of Financial Condition and Results of Operations," in our 2008 Annual Report on Form 10-K filed with the Securities and Exchange Commission on March 10, 2009.</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28, 2009, we consider the following factors to be important in understanding our financial statements.</w:t>
      </w:r>
    </w:p>
    <w:p>
      <w:pPr>
        <w:spacing w:after="0" w:line="225"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 xml:space="preserve">Kratos Government Solutions'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 Our Public Security and Safety contracts are primarily fixed-price contracts whereby revenue is recognized using the percentage-of-completion method of accounting under the provisions of Statement of Position (SOP) 81-1, </w:t>
      </w:r>
      <w:r>
        <w:rPr>
          <w:rFonts w:ascii="Arial" w:cs="Arial" w:eastAsia="Arial" w:hAnsi="Arial"/>
          <w:sz w:val="15"/>
          <w:szCs w:val="15"/>
          <w:i w:val="1"/>
          <w:iCs w:val="1"/>
          <w:color w:val="auto"/>
        </w:rPr>
        <w:t>Accounting for Performance of</w:t>
      </w:r>
      <w:r>
        <w:rPr>
          <w:rFonts w:ascii="Arial" w:cs="Arial" w:eastAsia="Arial" w:hAnsi="Arial"/>
          <w:sz w:val="15"/>
          <w:szCs w:val="15"/>
          <w:color w:val="auto"/>
        </w:rPr>
        <w:t xml:space="preserve"> </w:t>
      </w:r>
      <w:r>
        <w:rPr>
          <w:rFonts w:ascii="Arial" w:cs="Arial" w:eastAsia="Arial" w:hAnsi="Arial"/>
          <w:sz w:val="15"/>
          <w:szCs w:val="15"/>
          <w:i w:val="1"/>
          <w:iCs w:val="1"/>
          <w:color w:val="auto"/>
        </w:rPr>
        <w:t>Construction Type and Certain Production Type Contracts</w:t>
      </w:r>
      <w:r>
        <w:rPr>
          <w:rFonts w:ascii="Arial" w:cs="Arial" w:eastAsia="Arial" w:hAnsi="Arial"/>
          <w:sz w:val="15"/>
          <w:szCs w:val="15"/>
          <w:color w:val="auto"/>
        </w:rPr>
        <w:t>. For contracts offered on a time and material basis, we recognize revenues as services are performed.</w:t>
      </w:r>
    </w:p>
    <w:p>
      <w:pPr>
        <w:spacing w:after="0" w:line="15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w:t>
      </w:r>
    </w:p>
    <w:p>
      <w:pPr>
        <w:spacing w:after="0" w:line="194"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We believe that our Kratos Government Solutions segment will build and expand our customer relationships within the DOD, Department of Homeland Security and other non-DoD state and local agencies by taking advantage of the significant opportunities for companies with substantial expertise in advanced engineering and information technology. We believe we will experience continued growth in revenues and operating income from this operating segment. The acquisitions of Haverstick on December 31, 2007, SYS on June 28, 2008, and DFI on December 24, 2008 resulted in the addition of over 1,000 highly skilled technical professionals and engineers with expertise in the areas of military weapons and target range support as well as targets and missile operations and maintenance.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29, 2008 to the Three Months Ended June 28, 2009</w:t>
      </w:r>
    </w:p>
    <w:p>
      <w:pPr>
        <w:spacing w:after="0" w:line="225" w:lineRule="exact"/>
        <w:rPr>
          <w:sz w:val="20"/>
          <w:szCs w:val="20"/>
          <w:color w:val="auto"/>
        </w:rPr>
      </w:pPr>
    </w:p>
    <w:p>
      <w:pPr>
        <w:ind w:right="320" w:firstLine="351"/>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$21.1 million from $69.5 million for the three months ended June 29, 2008 to $90.6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28, 2009. This increase was primarily due to $32.4 million in aggregate revenues from SYS and DFI, which were acquired on June 28, 2008 and December 24, 2008, respectively, and partially offset by reductions in our commercial and public safety &amp; security system integration business, which were negatively impacted by the current adverse economic environment, the substantial completion of a weapons system contract, and the planned reductions of acquired small business set aside contract work, pass through work and other contract work in our Government Solutions segment. Revenues by operating segment for the three months ended June 29, 2008 and June 28, 2009 are as follows (in millions):</w:t>
      </w:r>
    </w:p>
    <w:p>
      <w:pPr>
        <w:spacing w:after="0" w:line="157"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8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61"/>
        </w:trPr>
        <w:tc>
          <w:tcPr>
            <w:tcW w:w="4220" w:type="dxa"/>
            <w:vAlign w:val="bottom"/>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Government Solutions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$ 59.2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r>
      <w:tr>
        <w:trPr>
          <w:trHeight w:val="21"/>
        </w:trPr>
        <w:tc>
          <w:tcPr>
            <w:tcW w:w="4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$ 69.5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r>
      <w:tr>
        <w:trPr>
          <w:trHeight w:val="27"/>
        </w:trPr>
        <w:tc>
          <w:tcPr>
            <w:tcW w:w="4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$57.0 million for the three months ended June 29, 2008 to $73.2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28, 2009. The $16.2 million increase in cost of revenues was primarily a result of the increase in aggregate cost of revenues of $26.9 million from SYS and DFI, partially offset by reduced costs related to reductions in our commercial and public safety &amp; security system integration business, which were negatively impacted by the current adverse economic environment, the substantial completion of a weapons system contract, and costs associated with the planned reductions of acquired small business set aside contract work, pass through work and other contract work in our government solutions business. Gross margin increased from 18.0% for the three months ended June 29, 2008 to 19.2% for the three months ended June 28, 2009. The increase in gross margin primarily resulted from a reduction in pass through work which has a lower margin and improved operating performance in the Government Solutions segment.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Recovery of Unauthorized Issuance of Stock Options and Adjustment to the Liability for Unused Office Space. </w:t>
      </w:r>
      <w:r>
        <w:rPr>
          <w:rFonts w:ascii="Arial" w:cs="Arial" w:eastAsia="Arial" w:hAnsi="Arial"/>
          <w:sz w:val="16"/>
          <w:szCs w:val="16"/>
          <w:color w:val="auto"/>
        </w:rPr>
        <w:t>In the second quarter of 2008, our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carrier agreed to reimburse us for $0.6 million related to the theft of stock options and common stock by our former stock option administrator which occurred in 2002 and 2003. In addition, we reevaluated our excess facility accrual for obligations under facility leases and determined that a portion of our corporate facility would be used commencing in the third quarter of 2008. This change in estimate was primarily attributable to our acquisition of SYS which occurred on June 28, 2008. As a result we recorded a $0.6 million reversal in our excess facility accrual in the second quarter of 2008.</w:t>
      </w:r>
    </w:p>
    <w:p>
      <w:pPr>
        <w:spacing w:after="0" w:line="170"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Selling, general and administrative expenses (SG&amp;A) increased from $10.5 million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June 29, 2008 to $13.1 million for the three months ended June 28, 2009. The increase was primarily a result of $2.5 million in increased costs as a result of the SYS and DFI acquisitions. As a percentage of revenues, SG&amp;A decreased from 15.1% to 14.5%. Excluding amortization of intangibles of $1.1 million for the three months ended June 29, 2008 and amortization of intangibles of $1.4 million for the three months ended June 28, 2009, SG&amp;A decreased as a percentage of revenues from 13.5% to 12.9% for the three months ended June 29, 2008 and June 28, 2009, respectively, reflecting leverage on our increased revenues.</w:t>
      </w:r>
    </w:p>
    <w:p>
      <w:pPr>
        <w:spacing w:after="0" w:line="15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(R&amp;D) increased from zero for the three months ended June 29, 2008 to</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for the three months ended June 28, 2009 as a result of the R&amp;D expenses incurred by SYS and DFI, which were acquired on June 28, 2008 and December 24, 2008, respectively.</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$1.2 million to $3.2 million for the three months ended June 29, 2008 and June 28, 2009,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expense of $2.0 million is primarily related to a $1.5 million increase in the non-cash charge to mark the derivative swap related to our credit facility to market. We had recorded non-cash income related to this swap of $1.3 million for the three months ended June 29, 2008 as compared to an expense of $0.2 million for the three months ended June 28, 2009. The increase in interest expense of $0.5 million from $2.5 million to $3.0 million in the three months ended June 28, 2009 was primarily related to an increase in interest expense for this derivative instrument and interest related to the subordinated debt which we assumed related to the SYS acquisition.</w:t>
      </w:r>
    </w:p>
    <w:p>
      <w:pPr>
        <w:spacing w:after="0" w:line="198"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decreased from a provision of $0.4 million, or a 20.0% rate, on income of $2.0 million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in the second quarter of 2008 to a provision of $0.3 million, or a 50% rate, on income before income taxes of $0.6 million. The provision for the second quarter of 2008 was primarily due to the increase in the deferred tax liability related to the temporary differences on indefinite life intangibles that were not offset by deferred tax assets due to the full valuation allowance we have recorded on these assets and certain state taxes. The tax provision in the second quarter of 2009 was primarily due to state taxes for certain states that are filed on a stand-alone basis and minimum taxes that we are subject to regardless of our income.</w:t>
      </w:r>
    </w:p>
    <w:p>
      <w:pPr>
        <w:spacing w:after="0" w:line="198" w:lineRule="exact"/>
        <w:rPr>
          <w:sz w:val="20"/>
          <w:szCs w:val="20"/>
          <w:color w:val="auto"/>
        </w:rPr>
      </w:pPr>
    </w:p>
    <w:p>
      <w:pPr>
        <w:ind w:right="220" w:firstLine="351"/>
        <w:spacing w:after="0" w:line="284" w:lineRule="auto"/>
        <w:rPr>
          <w:sz w:val="20"/>
          <w:szCs w:val="20"/>
          <w:color w:val="auto"/>
        </w:rPr>
      </w:pPr>
      <w:r>
        <w:rPr>
          <w:rFonts w:ascii="Arial" w:cs="Arial" w:eastAsia="Arial" w:hAnsi="Arial"/>
          <w:sz w:val="16"/>
          <w:szCs w:val="16"/>
          <w:i w:val="1"/>
          <w:iCs w:val="1"/>
          <w:color w:val="auto"/>
        </w:rPr>
        <w:t xml:space="preserve">Loss from Discontinued Operations. </w:t>
      </w:r>
      <w:r>
        <w:rPr>
          <w:rFonts w:ascii="Arial" w:cs="Arial" w:eastAsia="Arial" w:hAnsi="Arial"/>
          <w:sz w:val="16"/>
          <w:szCs w:val="16"/>
          <w:color w:val="auto"/>
        </w:rPr>
        <w:t>Loss from discontinued operations increased from $0.8 million to $2.8 million for the three months ended June 29,</w:t>
      </w:r>
      <w:r>
        <w:rPr>
          <w:rFonts w:ascii="Arial" w:cs="Arial" w:eastAsia="Arial" w:hAnsi="Arial"/>
          <w:sz w:val="16"/>
          <w:szCs w:val="16"/>
          <w:i w:val="1"/>
          <w:iCs w:val="1"/>
          <w:color w:val="auto"/>
        </w:rPr>
        <w:t xml:space="preserve"> </w:t>
      </w:r>
      <w:r>
        <w:rPr>
          <w:rFonts w:ascii="Arial" w:cs="Arial" w:eastAsia="Arial" w:hAnsi="Arial"/>
          <w:sz w:val="16"/>
          <w:szCs w:val="16"/>
          <w:color w:val="auto"/>
        </w:rPr>
        <w:t>2008 and June 28, 2009, respectively. The loss in 2009 was primarily due to an impairment of assets related to the Southeast division of PSS of $2.0 million recorded to reflect management's estimates of fair value of this business. Revenues generated by these businesses were approximately $2.9 million and</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$1.3 million for the three months ended June 29, 2008 and June 28, 2009, respectively. Losses before taxes were $0.6 million for the three months ended June 29, 2008 and $0.6 million excluding the impairment charge for the three months ended June 28, 2009. Tax expense was $0.2 million for the three months ended June 29, 2008 and June 28, 2009 primarily related to foreign exchange adjustments and additional interest accrued for certain foreign tax contingencies.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Six Months Ended June 29, 2008 to the Six Months Ended June 28, 2009</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$38.2 million from $135.0 million for the six months ended June 29, 2008 to $173.2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28, 2009. This increase was primarily due to $62.2 million in revenues from SYS and DFI, which were acquired on June 28, 2008 and December 24, 2008, respectively, partially offset by aggregate reductions in our commercial and public safety &amp; security system integration business, which were negatively impacted by the current adverse economic environment, the substantial completion of a weapons system contract, and the planned reductions of acquired small business set aside contract work, pass through work and other contract work in our Government Solutions segment. Revenues by operating segment for the six months ended June 29, 2008 and June 28, 2009 are as follows (in millions):</w:t>
      </w:r>
    </w:p>
    <w:p>
      <w:pPr>
        <w:spacing w:after="0" w:line="157"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8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4"/>
                <w:szCs w:val="14"/>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Government Solutions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r>
      <w:tr>
        <w:trPr>
          <w:trHeight w:val="21"/>
        </w:trPr>
        <w:tc>
          <w:tcPr>
            <w:tcW w:w="2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r>
      <w:tr>
        <w:trPr>
          <w:trHeight w:val="27"/>
        </w:trPr>
        <w:tc>
          <w:tcPr>
            <w:tcW w:w="2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0"/>
        </w:trPr>
        <w:tc>
          <w:tcPr>
            <w:tcW w:w="2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$110.3 million for the six months ended June 29, 2008 to $138.6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28, 2009. The $28.3 million increase in cost of revenues was primarily a result of the increase in cost of revenues of $51.3 million from SYS and DFI, partially offset by reduced costs related to reductions in our commercial and public safety &amp; security system integration business, which were negatively impacted by the current adverse economic environment, the substantial completion of a weapons systems contract, and costs associated with the planned reductions of acquired small business set aside contract work, pass through work and other contract work in our government solutions business. Gross margin increased from 18.3% to 20.0% for the six months ended June 29, 2008 and June 28, 2009, respectively. The increase in gross margin primarily resulted from a reduction in pass through work which has a lower margin and improved operating performance in the Government Solutions segment.</w:t>
      </w:r>
    </w:p>
    <w:p>
      <w:pPr>
        <w:spacing w:after="0" w:line="17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increased from $21.7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29, 2008 to $26.7 million for the six months ended June 28, 2009. The increase was a result of $5.4 million in increased costs from the SYS and DFI acquisitions offset partially by cost reduction efforts implemented. As a percentage of revenues, SG&amp;A decreased from 16.1% to 15.4%. Excluding amortization of intangibles of $2.2 million for the six months ended June 29, 2008 and amortization of intangibles of $2.9 million for the six months ended June 28, 2009, SG&amp;A decreased as a percentage of revenues from 14.4% to 13.7% for the six months ended June 29, 2008 and June 28, 2009, respectively, reflecting leverage on our increased revenues.</w:t>
      </w:r>
    </w:p>
    <w:p>
      <w:pPr>
        <w:spacing w:after="0" w:line="19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 xml:space="preserve">Recovery of Unauthorized Issuance of Stock Options and Adjustment to the Liability for Unused Office Space. </w:t>
      </w:r>
      <w:r>
        <w:rPr>
          <w:rFonts w:ascii="Arial" w:cs="Arial" w:eastAsia="Arial" w:hAnsi="Arial"/>
          <w:sz w:val="16"/>
          <w:szCs w:val="16"/>
          <w:color w:val="auto"/>
        </w:rPr>
        <w:t>In the second quarter of 2008, our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carrier agreed to reimburse us for $0.6 million related to the theft of stock options and common stock by our former stock option administrator which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occurred in 2002 and 2003. In addition, we reevaluated our excess facility accrual for obligations under facility leases and determined that a portion of our corporate facility will be used commencing in the third quarter of 2008. This change in estimate was primarily attributable to our acquisition of SYS which occurred on June 28, 2008. As a result we recorded a $0.6 million reversal in our excess facility accrual in the second quarter of 2008. For the six months ended June 28, 2009 we recorded an expense of $0.6 million in our excess facility accrual as a result of the consolidation of space at our corporate headquarters following the sale of the SYS commercial businesses and as a result of the cancellation of a sublease of one of our tenants due to financial difficulties.</w:t>
      </w:r>
    </w:p>
    <w:p>
      <w:pPr>
        <w:spacing w:after="0" w:line="154"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(R&amp;D) increased from zero for the six months ended June 29, 2008 to</w:t>
      </w:r>
      <w:r>
        <w:rPr>
          <w:rFonts w:ascii="Arial" w:cs="Arial" w:eastAsia="Arial" w:hAnsi="Arial"/>
          <w:sz w:val="18"/>
          <w:szCs w:val="18"/>
          <w:i w:val="1"/>
          <w:iCs w:val="1"/>
          <w:color w:val="auto"/>
        </w:rPr>
        <w:t xml:space="preserve"> </w:t>
      </w:r>
      <w:r>
        <w:rPr>
          <w:rFonts w:ascii="Arial" w:cs="Arial" w:eastAsia="Arial" w:hAnsi="Arial"/>
          <w:sz w:val="18"/>
          <w:szCs w:val="18"/>
          <w:color w:val="auto"/>
        </w:rPr>
        <w:t>$0.9 million for the six months ended June 28, 2009 as a result of the R&amp;D expenses incurred by SYS and DFI, which were acquired on June 28, 2008 and December 24, 2008, respectively.</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The impairment charge of $41.3 million is primarily driven by adverse equity market conditions that caused a decrease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 multiples and our average stock price as of February 28, 2009, compared with the impairment test performed as of December 28, 2008. In our analysis, we use the income approach and validate its reasonableness by considering our market capitalization based upon an average of our stock price for a period prior to and subsequent to the date we perform our analysis. The average market price of our stock as of February 28, 2009 was $0.78 which equates to a 39% drop in our average stock price and corresponding market capitalization from December 28, 2008 which had an average stock price of $1.29. We reconcile the fair value of our reporting units which is calculated using the income approach to our market capitalization. As a result of this reconciliation, it was noted that investors were requiring a higher rate of return, and therefore, our discount factor which is based upon an estimated market participant weighted average cost of capital (WACC) increased 300 basis points from 14% in our year end impairment test in 2008 as compared to 17% in our 2009 first quarter interim impairment test. This change was the key factor contributing to the $41.3 million goodwill impairment charge that we recorded in the first quarter of 2009.</w:t>
      </w:r>
    </w:p>
    <w:p>
      <w:pPr>
        <w:spacing w:after="0" w:line="174"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Our forecasts of growth rates and operating margins had not changed as of February 28, 2009 as compared to the forecasts which were used as of December 28, 2008. Our historical growth rates and operating results are not indicative of our future growth rates and operating results as a consequence of our transformation of the Company from a commercial wireless service provider to a U.S. government defense contractor. The decline in revenues on a pro forma basis after considering recent acquisitions,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acquired companies is not uncommon in the government defense contractor industry for companies that have been acquisitive. Our projected growth rates take into consideration this anticipated impact on small business awards. Our contracts are long term in nature and are supported by significant backlog. Because our contracts are of a long term nature, a majority of our receivables are with agencies within the U. S. government or we are a subcontractor to a customer whose receivables are with the agencies within the U.S. government, we are not subject to significant short term changes in operating cash flow. Moreover, because of the nature of our current business we do not have significant capital expenditure requirements. Additionally, our contract base is highly diversified and the loss of any one contract would not impact revenues by more than 3%. In addition, we did not assume a recovery of the global or national economy in our cash flow projections in either analysis.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increased from $3.9 million to $5.7 million for the six months ended June 29, 2008 and June 28, 2009,</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increase in expense of $1.8 million is primarily related to a $1.1 million increase in other expense primarily related to the non-cash charges to mark the derivative related to our credit facility to market. The increase in interest expense of $0.7 million was primarily related to an increase in interest expense for this derivative instrument as well as interest expense on the subordinated debt which we assumed related to the SYS acquisition.</w:t>
      </w:r>
    </w:p>
    <w:p>
      <w:pPr>
        <w:spacing w:after="0" w:line="16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decreased from a provision of $0.9 million, or a 300% rate, on income of $0.3 million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for the six months ended June 29, 2008 to a provision of $0.6 million, or a negative 0.1% rate, on a loss before income taxes of $40.6 million. The provision for the six months ended June 29, 2008 was primarily due to the increase in the deferred tax liability related to the temporary differences on indefinite life intangibles that were not offset by deferred tax assets due to the full valuation allowance we have recorded on these assets and certain state taxes. The tax provision in the six months ended June 28, 2009 was primarily due to state taxes for certain states that are filed on a stand-alone basis and minimum taxes that we are subject to regardless of our income.</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Loss from Discontinued Operations. </w:t>
      </w:r>
      <w:r>
        <w:rPr>
          <w:rFonts w:ascii="Arial" w:cs="Arial" w:eastAsia="Arial" w:hAnsi="Arial"/>
          <w:sz w:val="16"/>
          <w:szCs w:val="16"/>
          <w:color w:val="auto"/>
        </w:rPr>
        <w:t>Loss from discontinued operations increased from $0.5 million to $3.4 million for the six months ended June 29, 2008</w:t>
      </w:r>
      <w:r>
        <w:rPr>
          <w:rFonts w:ascii="Arial" w:cs="Arial" w:eastAsia="Arial" w:hAnsi="Arial"/>
          <w:sz w:val="16"/>
          <w:szCs w:val="16"/>
          <w:i w:val="1"/>
          <w:iCs w:val="1"/>
          <w:color w:val="auto"/>
        </w:rPr>
        <w:t xml:space="preserve"> </w:t>
      </w:r>
      <w:r>
        <w:rPr>
          <w:rFonts w:ascii="Arial" w:cs="Arial" w:eastAsia="Arial" w:hAnsi="Arial"/>
          <w:sz w:val="16"/>
          <w:szCs w:val="16"/>
          <w:color w:val="auto"/>
        </w:rPr>
        <w:t>and June 28, 2009, respectively. In 2009, $2.0 million of the loss was related to the impairment of assets related to the Southeast division of PSS recorded to reflect managements estimate of the fair value of this business. Revenues generated by these businesses were approximately $5.5 million and $2.6 million for the six months ended June 29, 2008 and June 28, 2009, respectively. Losses before taxes were $1.4 million for the six months ended June 29, 2008 and $1.8 million excluding the impairment charge for the six months ended June 28, 2009. For the six months ended June 29, 2008 and June 28, 2009, we recognized a tax benefit of $0.9 million and $0.4 million, respectively, primarily related to the expiration of the statute of limitations for certain foreign tax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As of June 28, 2009, our backlog was approximately $640 million, of which $130 million was funded.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(GWAC) contracts, or General Services Administration (GSA) schedules beyond awarded or funded task orders, but our unfunded backlog does include estimates of revenue beyond awarded or funded task orders for other types of indefinite delivery, indefinite quantity (IDIQ)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United States government contracts included in backlog, whether or not funded, may be terminated at the convenience of the United States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As of June 28, 2009, we had consolidated cash and cash equivalents of $4.0 million, consolidated long-term and short-term debt of $76.2 million, and consolidated stockholders' equity of $102.9 million. Our principal sources of liquidity are cash flows from operations and borrowings under our credit facility.</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operating cash flow is used to finance trade accounts receivable, fund capital expenditures, our ongoing operations, litigation and government inquiries,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97"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Six months</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Six months</w:t>
            </w:r>
          </w:p>
        </w:tc>
      </w:tr>
      <w:tr>
        <w:trPr>
          <w:trHeight w:val="149"/>
        </w:trPr>
        <w:tc>
          <w:tcPr>
            <w:tcW w:w="65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 June 29,</w:t>
            </w: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ended June 28,</w:t>
            </w:r>
          </w:p>
        </w:tc>
      </w:tr>
      <w:tr>
        <w:trPr>
          <w:trHeight w:val="161"/>
        </w:trPr>
        <w:tc>
          <w:tcPr>
            <w:tcW w:w="6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Cash provided by operating activities from continuing operations for the six months ended June 28, 2009 increased by $9.0 million from the six months ended June 29, 2008, primarily as a result of increased cash collections on our accounts receivable balances resulting in the reduction of our Days Sales Outstanding from 107 days for the year ended December 28, 2008, to 90 days for the six months ended June 28, 2009, partially offset by payments related to accrued liabilities.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provided by (used in) investing activities from continuing operations are summarized as follows (in millions):</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Six months</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 June 29,</w:t>
            </w: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ended June 28,</w:t>
            </w: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Proceeds/(payments) from the disposition of discontinued operations</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26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60" w:type="dxa"/>
            <w:vAlign w:val="bottom"/>
            <w:vMerge w:val="continue"/>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Cash paid for acquisitions and contingent acquisition consideration accounted for the most significant outlays for investing activities for the six months ended June 28, 2009 as a result of the implementation of our strategies to diversify our business while focusing on our core competencies. Cash paid for acquisitions for the six months ended June 29, 2008 relates to transaction costs paid for the Haverstick acquisition. Cash paid for contingent acquisition consideration for the six months ended June 28, 2009 relates to the final holdback payment of $2.4 million for the MRC acquisition and to the first holdback payment of $0.6 million related to the Haverstick acquisition. For the six months ended June 29, 2008 we received proceeds of $2.3 million from the settlement of the working capital amount owed by LCC on the sale of our domestic wireless engineering operations. For the six months ended June 28, 2009, we paid</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$1.5 million to Platinum Equity related to the working capital adjustment for the sale of our domestic wireless deployment business which was partially offset by proceeds of $0.4 million related to the sale of the discontinued SYS commercial businesses. Capital expenditures were $0.3 million for the six months ended June 29, 2008 and $0.2 million for the six months ended June 28, 2009. On August 3, 2009, Platinum Equity agreed to reduce the accrued interest by approximately $0.2 million. On August 4, 2009, the Company paid $1.3 million in full settlement of amounts due to Platinum Equity.</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provided by (used in) financing activities from continuing operations are summarized as follows (in millions):</w:t>
      </w:r>
    </w:p>
    <w:p>
      <w:pPr>
        <w:spacing w:after="0" w:line="208"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Six months</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Six months</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 June 29,</w:t>
            </w: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ended June 28,</w:t>
            </w:r>
          </w:p>
        </w:tc>
        <w:tc>
          <w:tcPr>
            <w:tcW w:w="0" w:type="dxa"/>
            <w:vAlign w:val="bottom"/>
          </w:tcPr>
          <w:p>
            <w:pPr>
              <w:spacing w:after="0"/>
              <w:rPr>
                <w:sz w:val="1"/>
                <w:szCs w:val="1"/>
                <w:color w:val="auto"/>
              </w:rPr>
            </w:pPr>
          </w:p>
        </w:tc>
      </w:tr>
      <w:tr>
        <w:trPr>
          <w:trHeight w:val="161"/>
        </w:trPr>
        <w:tc>
          <w:tcPr>
            <w:tcW w:w="7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Arial" w:cs="Arial" w:eastAsia="Arial" w:hAnsi="Arial"/>
                <w:sz w:val="18"/>
                <w:szCs w:val="18"/>
                <w:color w:val="auto"/>
              </w:rPr>
              <w:t>Payments of subordinated debt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credit facility</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Arial" w:cs="Arial" w:eastAsia="Arial" w:hAnsi="Arial"/>
                <w:sz w:val="18"/>
                <w:szCs w:val="18"/>
                <w:color w:val="auto"/>
              </w:rPr>
              <w:t>Repayments under credit facility</w:t>
            </w: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80" w:type="dxa"/>
            <w:vAlign w:val="bottom"/>
            <w:vMerge w:val="restart"/>
          </w:tcPr>
          <w:p>
            <w:pPr>
              <w:ind w:left="26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80" w:type="dxa"/>
            <w:vAlign w:val="bottom"/>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The decrease in cash in financing activities of $9.8 million from the six months ended June 29, 2008 to June 28, 2009 primarily relates to payments of $2.1 million on the subordinated debt we assumed in the SYS acquisition and principal payments under the terms of our Credit Facility.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discontinued operations are summarized as follows (in millions):</w:t>
      </w:r>
    </w:p>
    <w:p>
      <w:pPr>
        <w:spacing w:after="0" w:line="208"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Six months ended June 29,</w:t>
            </w:r>
          </w:p>
        </w:tc>
        <w:tc>
          <w:tcPr>
            <w:tcW w:w="2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Six months ended June 28,</w:t>
            </w:r>
          </w:p>
        </w:tc>
      </w:tr>
      <w:tr>
        <w:trPr>
          <w:trHeight w:val="161"/>
        </w:trPr>
        <w:tc>
          <w:tcPr>
            <w:tcW w:w="3520" w:type="dxa"/>
            <w:vAlign w:val="bottom"/>
          </w:tcPr>
          <w:p>
            <w:pPr>
              <w:spacing w:after="0"/>
              <w:rPr>
                <w:sz w:val="14"/>
                <w:szCs w:val="14"/>
                <w:color w:val="auto"/>
              </w:rPr>
            </w:pPr>
          </w:p>
        </w:tc>
        <w:tc>
          <w:tcPr>
            <w:tcW w:w="122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of discontinued operations</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r>
    </w:tbl>
    <w:p>
      <w:pPr>
        <w:spacing w:after="0" w:line="20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cash flow used by discontinued operations increased by $1.1 million primarily as a result of the use of cash by the SYS commercial businesses which were sold during the first quarter of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connection with our historical business acquisitions, we have agreed to make additional future payments to sellers based on final purchase price adjustments and the expiration of certain indemnification obligations. Pursuant to the provisions of SFAS 141, such amounts are accrued, and therefore, recorded when the contingency is resolved beyond a reasonable doubt and, hence, the additional consideration becomes payable. As of June 28, 2009, we have approximately $0.6 million of cash holdback and 1.4 million shares of stock holdback that is due to be released in September 2009, subject to indemnity rights due to the Haverstick acquisition.</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a credit facility of $85.0 million with KeyBank National Association ("KeyBank") as administrative agent. This credit facility provides for two term loans consisting of a first lien term note of $50.0 million and a second lien term note of $10.0 million, as well as a first lien $25.0 million revolving line of credit. KeyBank holds the revolving line of credit and the second lien term note. Field Point III, Ltd. and SPF CDO I, Ltd., both affiliates of Silverpoint Capital LP ("Silverpoint"), holds the first lien term note. The $10.0 million term loan has a five and one half-year term with principal payments of $25,000 required quarterly beginning on March 31, 2008 through March 31, 2013 with the final balance of $9.5 million due on June 30, 2013. The $50.0 million term loan has a five year term with principal payments of $0.6 million required quarterly beginning on March 31, 2008, $1.3 million in 2009, $2.5 million in 2010, and $4.1 million in 2011 and 2012. The term loans have a provision which states that once the full amount of the note has been borrowed, the notes cannot be paid down and reborrowed again. The revolving line of credit has a four year term which expires on December 31, 2011. All loans under the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All rates are subject to a LIBOR floor of 4.25% and a "prime rate" floor of 5.25%.</w:t>
      </w:r>
    </w:p>
    <w:p>
      <w:pPr>
        <w:spacing w:after="0" w:line="18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of June 28, 2009, our outstanding balance on the facility was $75.2 million and the weighted average interest rate on the debt as of June 28, 2009 was 10.53%. As of June 28, 2009, the unused line of credit under the revolving line of credit was approximately $3.2 million. The only restriction on the use of these funds is that we must be in compliance with covenants of the credit facility. We were in compliance with all covenants under the credit facility as of June 28, 2009.</w:t>
      </w:r>
    </w:p>
    <w:p>
      <w:pPr>
        <w:spacing w:after="0" w:line="197" w:lineRule="exact"/>
        <w:rPr>
          <w:sz w:val="20"/>
          <w:szCs w:val="20"/>
          <w:color w:val="auto"/>
        </w:rPr>
      </w:pPr>
    </w:p>
    <w:p>
      <w:pPr>
        <w:ind w:right="180" w:firstLine="341"/>
        <w:spacing w:after="0" w:line="255" w:lineRule="auto"/>
        <w:rPr>
          <w:sz w:val="20"/>
          <w:szCs w:val="20"/>
          <w:color w:val="auto"/>
        </w:rPr>
      </w:pPr>
      <w:r>
        <w:rPr>
          <w:rFonts w:ascii="Arial" w:cs="Arial" w:eastAsia="Arial" w:hAnsi="Arial"/>
          <w:sz w:val="18"/>
          <w:szCs w:val="18"/>
          <w:color w:val="auto"/>
        </w:rPr>
        <w:t>As of December 28, 2008, we had outstanding convertible notes payable totaling $3.1 million which were acquired as a result of the SYS acquisition, of which $0.8 million was payable to related parties. The convertible notes payable are unsecured and subordinated to our bank debt and bear interest at 10% per annum payable quarterly. Principal was due February 14, 2009 and the notes were convertible at any time into shares of common stock at a conversion rate of $2.86 per share. In February 2009, in the interest of preserving cash due to the current macroeconomic conditions, the Company provided each note holder with the option to:</w:t>
      </w:r>
    </w:p>
    <w:p>
      <w:pPr>
        <w:spacing w:after="0" w:line="21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 per share or the Kratos closing share value on February 13, 2009; or</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Convert the principal balance into Kratos shares at the lower of the existing conversion price of $2.86 or the Kratos closing share value on February 13, 2009 less a 10% discount.</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June 28, 2009, $2.1 million of the notes had been paid and $1.0 million of the notes had been extended to August 14, 2010. The balance of the outstanding notes of $1.0 million, which is potentially convertible into common stock of Kratos at $1.02 per share or approximately 944,000 shares, is reflected in long-term debt in the accompanying condensed consolidated balance sheets.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 on the convertible notes was approximately $24,000 and $84,000 for the three and six month period ended June 28, 2009, respectively.</w:t>
      </w:r>
    </w:p>
    <w:p>
      <w:pPr>
        <w:spacing w:after="0" w:line="24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July 16, 2008, we came to an agreement with Platinum Equity on a working capital adjustment of $5.0 million related to the sale of our wireless deployment business. In connection with that resolution, the earn-out arrangement was terminated. The adjustment was to be paid in installments with the first amount of $2.5 million due on July 31, 2008 and payments of $0.5 million monthly thereafter until paid in full in December 2008. We did not make the scheduled $2.5 million payment due as of July 31, 2008. Payments of $1.0 million were made in August and September of 2008, with an additional $0.5 million paid in December 2008. In March 2009, we paid $1.5 million of the working capital adjustment. As of June 28, 2009, the balance of $1.0 million plus accrued interest on the outstanding balance has been reflected in other current liabilities in the accompanying condensed consolidated balance sheets. On August 3, 2009, Platinum Equity agreed to reduce the accrued interest by approximately $0.2 million. On August 4, 2009, the Company paid $1.3 million in full settlement of amounts due to Platinum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intend to fund our cash requirements with cash flows from operating activities, borrowings under our current credit facilities and potential future credit facilities. We believe these sources should be sufficient to meet our cash needs for at least the next 12 months. We expect that the acquired businesses of SYS and DFI, which were not included in our 2008 cash flows until the date of acquisition, will contribute additional working capital and cash flows.</w:t>
      </w:r>
    </w:p>
    <w:p>
      <w:pPr>
        <w:spacing w:after="0" w:line="16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2008, we paid approximately $4.8 million related to the 2004 and 2007 securities litigation settlements, as discussed in Note 13—Legal Matters to the unaudited consolidated financial statements included in Item 1 of Part I of this Quarterly Report. This amount was partially funded by $2.2 million from the restricted cash account we were required to fund as a result of the first amendment to our current credit facility. We also funded $5.5 million in 2008 for legal fees incurred on our internal stock option investigation which we completed in 2007. In addition, if we become subject to significant judgments, settlements, or fines related to the matters discussed in Note 13—Legal Matters, or any other matters, or incur legal fees in excess of our current expectations, we could be required to make significant payments that could materially and adversely affect our financial condition, potentially impacting our ability to access the capital markets and our compliance with our debt covenants.</w:t>
      </w:r>
    </w:p>
    <w:p>
      <w:pPr>
        <w:spacing w:after="0" w:line="17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discussed in Part II, Item 1A, "Risk Factors" of this Quarterly Report on Form 10-Q,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or if there changes in the status of litigation that results in payment of significant settlements or increased accruals for contingent liabilities, we may experience, in the future, a significant long-term negative impact to our financial results and cash flows from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operations. In such a situation, we could fall out of compliance with our financial and other covenants which, if not waived, could limit our liquidity and capital resources and we could be unable to make a scheduled debt payment. We currently carry a significant amount of debt and have experienced recurring losses and negative cash flows from continuing operations. Given the highly leveraged liquidity position, any down-turn in our operating earnings or cash flows could impair our ability to comply with the financial covenants of our existing credit facility. Our ability to execute on additional business opportunities may be limited due to existing borrowing capacity. If we believe a covenant violation is more than likely to occur in the near future, we would seek relief from our lenders. This relief, if available, would have some cost to us and such relief might not be on terms as favorable as those in the existing credit agreement. If we were to actually default due to our failure to meet the financial covenants of our credit agreement and inability to obtain a waiver from the lenders, our credit agreement could require us to immediately repay all amounts then outstanding under the credit agreement and/or require us to pay interest at default rates per the credit agreement.</w:t>
      </w:r>
    </w:p>
    <w:p>
      <w:pPr>
        <w:spacing w:after="0" w:line="16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the event we were required to repay the amount outstanding under the existing credit facility, we would need to obtain alternative sources of financing to continue our operating activities at existing levels. There can be no assurance that alternative financing would be available on acceptable terms or at all.</w:t>
      </w:r>
    </w:p>
    <w:p>
      <w:pPr>
        <w:spacing w:after="0" w:line="13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credit agreements contain covenants which impose certain restrictions on our ability to, among other things, incur additional debt, pay dividends, make investments or sell assets. Additionally, certain non-recurring cash inflows such as proceeds from asset sales, insurance recoveries, and equity offerings may have to be used to pay down indebtedness and may not be reborrowed. In addition, the credit agreements contain certain financial covenants which are defined by the terms of the agreements. As of June 28, 2009, we were in compliance with all financial covenants under the credit agreements.</w:t>
      </w:r>
    </w:p>
    <w:p>
      <w:pPr>
        <w:spacing w:after="0" w:line="167"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On June 4, 2009, the Company filed a complaint in the United States District Court for the Northern District of Ohio against the lenders under its credit agreement, Field Point III, Ltd. and SPF CDO I, Ltd., both affiliates of Silverpoint, and KeyBank National Association seeking equitable relief in the form of reformation of an error in a contract schedule, declaratory relief and damages. The error resulted from the erroneous preparation of a schedule to the loan documents consisting of calculations relating to a financial covenant. The Company is specifically seeking reformation of the error in the Minimum Liquidity Ratio covenant.</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KeyBank has agreed to reform the error; however, any reformation requires Silverpoint's consent, which has not been provided. To date, the Company has met this covenant without the requested reformation. However, because the magnitude of the error in the schedule increases in future periods, the Company believes that it will become more challenging to continue to manage around the error in the Minimum Liquidity Ratio covenant unless the error is corrected or the Company takes alternative actions. In the event that this occurs, the Company intends to seek relief from the court.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There have been no significant changes to our Critical Accounting Policies or Estimates during 2009. Refer to our Critical Accounting Policies and Estimates in Form 10-K for the year ended December 28, 2008, as filed with the Securities and Exchange Commission on March 10, 2009.</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Goodwill and Purchased Intangibles. </w:t>
      </w:r>
      <w:r>
        <w:rPr>
          <w:rFonts w:ascii="Arial" w:cs="Arial" w:eastAsia="Arial" w:hAnsi="Arial"/>
          <w:sz w:val="16"/>
          <w:szCs w:val="16"/>
          <w:color w:val="auto"/>
        </w:rPr>
        <w:t>We perform our impairment test for goodwill in accordance with SFAS 142,</w:t>
      </w:r>
      <w:r>
        <w:rPr>
          <w:rFonts w:ascii="Arial" w:cs="Arial" w:eastAsia="Arial" w:hAnsi="Arial"/>
          <w:sz w:val="16"/>
          <w:szCs w:val="16"/>
          <w:i w:val="1"/>
          <w:iCs w:val="1"/>
          <w:color w:val="auto"/>
        </w:rPr>
        <w:t xml:space="preserve"> Goodwill and Other Intangible Asset</w:t>
      </w:r>
      <w:r>
        <w:rPr>
          <w:rFonts w:ascii="Arial" w:cs="Arial" w:eastAsia="Arial" w:hAnsi="Arial"/>
          <w:sz w:val="16"/>
          <w:szCs w:val="16"/>
          <w:color w:val="auto"/>
        </w:rPr>
        <w:t>s.</w:t>
      </w:r>
      <w:r>
        <w:rPr>
          <w:rFonts w:ascii="Arial" w:cs="Arial" w:eastAsia="Arial" w:hAnsi="Arial"/>
          <w:sz w:val="16"/>
          <w:szCs w:val="16"/>
          <w:i w:val="1"/>
          <w:iCs w:val="1"/>
          <w:color w:val="auto"/>
        </w:rPr>
        <w:t xml:space="preserve"> </w:t>
      </w:r>
      <w:r>
        <w:rPr>
          <w:rFonts w:ascii="Arial" w:cs="Arial" w:eastAsia="Arial" w:hAnsi="Arial"/>
          <w:sz w:val="16"/>
          <w:szCs w:val="16"/>
          <w:color w:val="auto"/>
        </w:rPr>
        <w:t>We assess goodwill for impairment at the reporting unit level, which is defined as an operating segment or one level below an operating segment, referred to as a component. We determine our reporting units by fist identifying our operating segments, and then assess whether any components of these segments constitute a business for which discrete financial information is available and where segment management regularly reviews the operating results of that component. We aggregate components within an operating segment that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similar economic characteristics. For our December 28, 2008 annual impairment assessment and our interim test as of February 28, 2009, we identified our reporting units to be our operating segments which are Government Solutions and Public Safety and Security.</w:t>
      </w:r>
    </w:p>
    <w:p>
      <w:pPr>
        <w:spacing w:after="0" w:line="186"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perform impairment tests for goodwill as of the last day of our fiscal year, or when evidence of potential impairment exists. When it is determined that impairment has occurred, a charge to operations is recorded. In order to test for potential impairment, we use the income approach, specifically the discounted cash flow (DCF) method, to derive the fair value of each of our reporting units and in order to validate the reasonableness of the income approach, we consider the market approach, which estimates the fair value of our reporting units based upon comparable market prices to validate the reasonableness of the implied multiples from the income approach. We also consider our market capitalization based upon an average of our stock price prior to and subsequent to the date we perform our analysis and reconcile the fair value of our reporting units to our market capitalization assuming a control premium.</w:t>
      </w:r>
    </w:p>
    <w:p>
      <w:pPr>
        <w:spacing w:after="0" w:line="17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applying the income approach to our impairment test for goodwill, we make assumptions about the amount and timing of future expected cash flows, terminal growth rates, appropriate discount rates, and the control premium a controlling shareholder could be expected to pay:</w:t>
      </w:r>
    </w:p>
    <w:p>
      <w:pPr>
        <w:spacing w:after="0" w:line="153" w:lineRule="exact"/>
        <w:rPr>
          <w:sz w:val="20"/>
          <w:szCs w:val="20"/>
          <w:color w:val="auto"/>
        </w:rPr>
      </w:pPr>
    </w:p>
    <w:p>
      <w:pPr>
        <w:ind w:left="1080" w:hanging="532"/>
        <w:spacing w:after="0" w:line="288"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 and the transformation of the Company from a commercial wireless service provider to a U.S. government defense contractor. The decline in revenues on a pro forma basis after considering recent acquisitions,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the acquired companies is not uncommon in the government defense contractor industry for companies that have been acquisitive. Our projected growth rates take into consideration this anticipated impact on small business awards.</w:t>
      </w:r>
    </w:p>
    <w:p>
      <w:pPr>
        <w:spacing w:after="0" w:line="173" w:lineRule="exact"/>
        <w:rPr>
          <w:rFonts w:ascii="Arial" w:cs="Arial" w:eastAsia="Arial" w:hAnsi="Arial"/>
          <w:sz w:val="16"/>
          <w:szCs w:val="16"/>
          <w:color w:val="auto"/>
        </w:rPr>
      </w:pPr>
    </w:p>
    <w:p>
      <w:pPr>
        <w:ind w:left="1080" w:right="40"/>
        <w:spacing w:after="0" w:line="287" w:lineRule="auto"/>
        <w:rPr>
          <w:rFonts w:ascii="Arial" w:cs="Arial" w:eastAsia="Arial" w:hAnsi="Arial"/>
          <w:sz w:val="16"/>
          <w:szCs w:val="16"/>
          <w:color w:val="auto"/>
        </w:rPr>
      </w:pPr>
      <w:r>
        <w:rPr>
          <w:rFonts w:ascii="Arial" w:cs="Arial" w:eastAsia="Arial" w:hAnsi="Arial"/>
          <w:sz w:val="16"/>
          <w:szCs w:val="16"/>
          <w:color w:val="auto"/>
        </w:rPr>
        <w:t>The current economic conditions have negatively impacted our Public Safety and Security reporting unit's projected growth rates and cash flows as customers have delayed or cancelled capital expenditures related to the systems we provide. However, this reporting unit has no goodwill, it is significantly smaller than our Government Solutions segment (for the quarter ended March 28, 2009, it generated 11.3% of our total consolidated revenues) and our goodwill impairment analysis is not materially affected by changes in the expected cash flows for this reporting unit. Current economic conditions have not significantly impacted our estimates of cash flows in our Government Solutions reporting unit which primarily provides services to the federal government and the DOD. Our contracts are long term in nature and are supported by significant backlog. Because our contracts are of a long term nature, a majority of our receivables are with agencies within the U. S. government or we are a subcontractor to a customer whose receivables are with the agencies within the U.S. government, we are not subject to significant short term changes in operating cash flow. As a result of our current business model, we do not have significant capital expenditure requirements. Additionally, our contract base is highly diversified and the loss of any one contract would not impact annual revenues by more than 3%.</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spacing w:after="0" w:line="212"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183" w:lineRule="exact"/>
        <w:rPr>
          <w:rFonts w:ascii="Arial" w:cs="Arial" w:eastAsia="Arial" w:hAnsi="Arial"/>
          <w:sz w:val="16"/>
          <w:szCs w:val="16"/>
          <w:color w:val="auto"/>
        </w:rPr>
      </w:pPr>
    </w:p>
    <w:p>
      <w:pPr>
        <w:ind w:left="1080" w:right="320" w:hanging="532"/>
        <w:spacing w:after="0" w:line="29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We use an estimated control premium in reconciling the aggregate value of our reporting units to our market capitalization. As discussed in Statement of Financial Accounting Standards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(SFAS 142), control premiums may effectively cause a company's aggregate fair value of its reporting unit(s) to exceed its current market capitalization 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7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To test the sensitivity of our results to other outcomes that were reasonably likely to occur, we sensitized our forecasts for changes to revenue growth rates and operating margins, discount rates and long-term growth rates. None of these sensitized forecasts resulted in different conclusions with respect to goodwill impairment.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methodology for evaluating goodwill and intangibles for impairment is consistent with the methodology we have used in prior periods.</w:t>
      </w:r>
    </w:p>
    <w:p>
      <w:pPr>
        <w:spacing w:after="0" w:line="225"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a result of the assumptions used in our analyses, several factors could result in impairment of our $110.2 million goodwill and $29.3 million long-lived intangibles in future periods, including but not limited to:</w:t>
      </w:r>
    </w:p>
    <w:p>
      <w:pPr>
        <w:spacing w:after="0" w:line="199" w:lineRule="exact"/>
        <w:rPr>
          <w:sz w:val="20"/>
          <w:szCs w:val="20"/>
          <w:color w:val="auto"/>
        </w:rPr>
      </w:pPr>
    </w:p>
    <w:p>
      <w:pPr>
        <w:ind w:left="1080" w:right="1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government solutions reporting unit;</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decreases in available government funding, including budgetary constraints affecting federal government spending generally, or specific departments or agencies;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 and</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It is not possible at this time to determine if an impairment charge would result from these factors, or, if it does, whether such charge would be material.</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 xml:space="preserve">In September 2006, the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which is effective for fiscal years beginning after November 15, 2007 and for interim periods within those years. This statement defines fair value, establishes a framework for measuring fair value and expands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FASB Staff Positions (FSP) 157-1, 157-2, and 157-3.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157-3 clarifies the principles in SFAS 157 on the fair value measurement of assets when the market for that asset is not active. The Company adopted SFAS 157 as of January 1, 2008. Refer to Note 9 to the Condensed Consolidated Financial Statements for additional discussion on fair value measurements.</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December 2007, the FASB issued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financial statements to evaluate the nature and financial effects of the business combination. SFAS 141R is effective for financial statements issued for fiscal years beginning after December 15, 2008. Accordingly, any business combinations we engaged in were previously recorded and disclosed according to SFAS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until December 28, 2008. The Company has adopted SFAS 141R as of December 29, 2008 and we expect SFAS 141R will have an impact on our consolidated financial statements, but the nature and magnitude of the effects will depend upon the nature, terms and size of the acquisitions we consummate after the effective date of December 29, 2008.</w:t>
      </w:r>
    </w:p>
    <w:p>
      <w:pPr>
        <w:spacing w:after="0" w:line="172"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In December 2007, the FASB issued SFAS 160, "</w:t>
      </w:r>
      <w:r>
        <w:rPr>
          <w:rFonts w:ascii="Arial" w:cs="Arial" w:eastAsia="Arial" w:hAnsi="Arial"/>
          <w:sz w:val="15"/>
          <w:szCs w:val="15"/>
          <w:i w:val="1"/>
          <w:iCs w:val="1"/>
          <w:color w:val="auto"/>
        </w:rPr>
        <w:t>Noncontrolling Interests in Consolidated Financial Statements—an amendment of Accounting Research</w:t>
      </w:r>
      <w:r>
        <w:rPr>
          <w:rFonts w:ascii="Arial" w:cs="Arial" w:eastAsia="Arial" w:hAnsi="Arial"/>
          <w:sz w:val="15"/>
          <w:szCs w:val="15"/>
          <w:color w:val="auto"/>
        </w:rPr>
        <w:t xml:space="preserve"> </w:t>
      </w:r>
      <w:r>
        <w:rPr>
          <w:rFonts w:ascii="Arial" w:cs="Arial" w:eastAsia="Arial" w:hAnsi="Arial"/>
          <w:sz w:val="15"/>
          <w:szCs w:val="15"/>
          <w:i w:val="1"/>
          <w:iCs w:val="1"/>
          <w:color w:val="auto"/>
        </w:rPr>
        <w:t>Bulletin 51</w:t>
      </w:r>
      <w:r>
        <w:rPr>
          <w:rFonts w:ascii="Arial" w:cs="Arial" w:eastAsia="Arial" w:hAnsi="Arial"/>
          <w:sz w:val="15"/>
          <w:szCs w:val="15"/>
          <w:color w:val="auto"/>
        </w:rPr>
        <w:t>," (SFAS 160). SFAS 160 addresses the accounting and reporting standards for ownership interests in subsidiaries held by parties other than the parent,</w:t>
      </w:r>
      <w:r>
        <w:rPr>
          <w:rFonts w:ascii="Arial" w:cs="Arial" w:eastAsia="Arial" w:hAnsi="Arial"/>
          <w:sz w:val="15"/>
          <w:szCs w:val="15"/>
          <w:i w:val="1"/>
          <w:iCs w:val="1"/>
          <w:color w:val="auto"/>
        </w:rPr>
        <w:t xml:space="preserve"> </w:t>
      </w:r>
      <w:r>
        <w:rPr>
          <w:rFonts w:ascii="Arial" w:cs="Arial" w:eastAsia="Arial" w:hAnsi="Arial"/>
          <w:sz w:val="15"/>
          <w:szCs w:val="15"/>
          <w:color w:val="auto"/>
        </w:rPr>
        <w:t>the amount of consolidated net income attributable to the parent and to the noncontrolling interest, changes in a parent's ownership interest, and the valuation of retained noncontrolling equity investments when a subsidiary is deconsolidated. SFAS 160 also establishes disclosure requirements that clearly identify and distinguish between the interests of the parent and the interests of the noncontrolling owners. SFAS 160 is effective for fiscal years beginning after December 15, 2008. The Company has adopted SFAS 160 as of December 29, 2008 and the adoption did not have a material impact on our consolidated financial statements.</w:t>
      </w:r>
    </w:p>
    <w:p>
      <w:pPr>
        <w:spacing w:after="0" w:line="159"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March 2008, the FASB issued SFAS 161, "</w:t>
      </w:r>
      <w:r>
        <w:rPr>
          <w:rFonts w:ascii="Arial" w:cs="Arial" w:eastAsia="Arial" w:hAnsi="Arial"/>
          <w:sz w:val="16"/>
          <w:szCs w:val="16"/>
          <w:i w:val="1"/>
          <w:iCs w:val="1"/>
          <w:color w:val="auto"/>
        </w:rPr>
        <w:t>Disclosures about Derivative Instruments and Hedging Activities, an amendment of FASB Statement 133</w:t>
      </w:r>
      <w:r>
        <w:rPr>
          <w:rFonts w:ascii="Arial" w:cs="Arial" w:eastAsia="Arial" w:hAnsi="Arial"/>
          <w:sz w:val="16"/>
          <w:szCs w:val="16"/>
          <w:color w:val="auto"/>
        </w:rPr>
        <w:t>" (SFAS 161). This statement is 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133 as well as related 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The Company has adopted SFAS 161 as of December 29, 2008 and the statement did not have a significant impact on the Company's consolidated financial statements (Refer to Note 10).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May 2009, the FASB issued SFAS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(SFAS 165). SFAS 165 establishes general standards of accounting for and disclosure of events that occur after the balance sheet date but before financial statements are issued or are available to be issued. It requires the disclosure of the date through which an entity has evaluated subsequent events and the basis for selecting that date, that is, whether that date represents the date the financial statements were issued or were available to be issued. SFAS 165 is effective for interim or annual financial periods ending after June 15, 2009. The Company has adopted SFAS 165 as of June 28, 2009 and the adoption did not have a material impact on our consolidated financial statements.</w:t>
      </w:r>
    </w:p>
    <w:p>
      <w:pPr>
        <w:spacing w:after="0" w:line="170"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of June 28, 2009, the Company implemented FASB Staff Position FAS 107-1 and APB 28-1, "Interim Disclosures about Fair Value of Financial Instruments," (FSP FAS 107-1 and APB 28-1). FSP FAS 107-1 and APB 28-1, amends FASB Statement No. 107, Disclosures about Fair Value of Financial Instruments, to require disclosures about fair value of financial instruments in interim as well as in annual financial statements. This FSP also amends APB Opinion No. 28, Interim Financial Reporting, to require those disclosures in all interim financial statements. The FSP is effective for periods ending after June 15, 2009. In the second quarter of 2009, the Company implemented FSP FAS 107-1 and APB 28-1.</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exposed to market risk in connection with changes in interest rates, primarily in connection with outstanding balances under our credit facility with KeyBank Capital Markets. Based on our average outstanding balances during the six months ended June 28, 2009 a 1% change in the LIBOR rate would not impact our financial position and results of operations as a result of the 4.25% LIBOR floor rate on our credit facility.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are contracted with investment grade counterparties to reduce exposure to nonperformance on such instruments.</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Cash and cash equivalents as of June 28, 2009 were $4.0 million and are primarily invested in money market interest bearing accounts. A hypothetical 10% adverse change in the average interest rate on our money market cash investments and short-term investments would have had no material effect on net income for the six month period ended June 28, 2009.</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2"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foregoing, our Principal Executive Officer and Principal Financial Officer concluded that our disclosure controls and procedures were effective at the reasonable assurance level as of June 28, 2009.</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28, 2009 that has materially affected, or is reasonably likely to materially affect, our internal control over financial reporting.</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240" w:firstLine="351"/>
        <w:spacing w:after="0" w:line="252" w:lineRule="auto"/>
        <w:rPr>
          <w:sz w:val="20"/>
          <w:szCs w:val="20"/>
          <w:color w:val="auto"/>
        </w:rPr>
      </w:pPr>
      <w:r>
        <w:rPr>
          <w:rFonts w:ascii="Arial" w:cs="Arial" w:eastAsia="Arial" w:hAnsi="Arial"/>
          <w:sz w:val="18"/>
          <w:szCs w:val="18"/>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205"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Plaintiffs filed second consolidated amended complaints in the six focus cases on August 14, 2007, and, on September 27, 2007, again moved for class certification. On November 12, 2007, certain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Briefing on the class certification motion was completed in May 2008. That motion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Notice was sent to the settlement classes on July 2, 2009. The settlement fairness hearing has been scheduled for September 10, 2009. Following the hearing, if the Court determines that the settlement is fair to the class members, the settlement will be approved and the case against the Company and its individual defendants will be dismissed with prejudice. There can be no assurance that this proposed settlement will be approved and implemented in its current form, or at all. Due to the inherent uncertainties of litigation and because the settlement approval process is at a preliminary stage, the ultimate outcome of the matter is uncertain.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Securities Litigation</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 to trade at artificially inflated levels. Based on these allegations, the lawsuits alleged that Defendants violated the Securities Exchange Act of 1934, and the plaintiffs sought unspecified damages. These actions were consolidated into a single action—In re Wireless Facilities, Inc. Securities Litigation, Master File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In June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January 13, 2009, following a motion by the parties, the Court granted final approval of the proposed settlement terms, issued its final judgment on the matter, and entered an order dismissing the case with prejudice.</w:t>
      </w:r>
    </w:p>
    <w:p>
      <w:pPr>
        <w:spacing w:after="0" w:line="185"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total amount of $12 million. The Company's directors' and officers' liability insurers paid the settlement amount in accordance with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Company's insurance policies, less the applicable retention or co-insurance obligations that were paid directly by the Company. The Company's amount of payment toward the settlement was approximately $2.4 million. In the fourth quarter of 2008, the Company paid $3.0 million related to this matter, of which $1.0 million was from its restricted cash account. The Company received $0.6 million from the insurance carriers for this payment in the first quarter of 2009. Despite the settlement reached in this action, the Company believes that the allegations lacked merit.</w:t>
      </w:r>
    </w:p>
    <w:p>
      <w:pPr>
        <w:spacing w:after="0" w:line="167"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Plaintiffs filed a notice of appeal of the personal jurisdictional order. Plaintiffs' opening appellate brief is due on September 25, 2009. The parties have conferred and discussed the Court's personal jurisdictional order, notice of appeal, and appellate briefing schedule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September 10,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07-CV-0680 BTM(RBB) (the "Hameed Action"), against several of the Company's current and former officers and directors. The allegations in this derivative complaint mirrored the amended allegations in the 2004 federal derivative action. Pursuant to a Court order and agreement of the parties, the defendants' responses to the complaint in the Hameed Action were stayed until the Court ruled on the motion to dismiss for lack of personal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jurisdiction in the 2004 derivative litigation. As noted above, on February 26, 2008, the Court ruled that it lacked personal jurisdiction over five of the non-California defendants named in the 2004 derivative action, including three that were also named in the Hameed Action. In August 2008, and before defendants had responded to the complaint, Plaintiff voluntarily dismissed the Hameed Action pursuant to Federal Rule of Civil Procedure 41(a). The Company believes that the allegations lacked merit and intended to vigorously defend all claims asserted.</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April 2009, the parties notified the Court of the status of the federal action and the court continued the stay for an additional six months. The Court also ordered the parties to file an updated status report in October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$0.7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Securities Litigation</w:t>
      </w:r>
    </w:p>
    <w:p>
      <w:pPr>
        <w:spacing w:after="0" w:line="231"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were consolidated into a single action, In re Wireless Facilities, Inc. Securities Litigation II, Master File 07-CV-0482-BTM-NLS. The consolidated class action complaint was filed on November 19, 2007. In March 2008, following a voluntary mediation of the matter, the parties reached a tentative agreement to settle the class action. In May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December 19, 2008, following a motion by the parties, the Court granted final approval of the proposed settlement terms, issued its final judgment on the matter, and entered an order dismissing the case with prejudice.</w:t>
      </w:r>
    </w:p>
    <w:p>
      <w:pPr>
        <w:spacing w:after="0" w:line="174"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amount of $4.5 million. The Company's directors' and officers' liability insurers paid the settlement amount, less the applicable retention or co-insurance obligations and contributions that were paid directly by the Company. In July 2008, the Company paid $1.8 million related to the settlement of this litigation. Despite the settlement reached in this action, the Company believes that the allegations lacked merit.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Investigations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$0.5 million for his back wages, vacation pay and certain other benefits. The Company filed an appeal in the matter on July 20, 2006 and is challenging the basis for the award on several theories. The Company has accrued approximately $0.5 million as of June 28, 2008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 the Superior Court of the State of California, Alameda County. The suit alleged various violations of the California Labor Code and sought payments for allegedly unpaid straight time and overtime, meal period pay and associated penalties. The Company and the plaintiffs agreed to venue for the suit in San Diego County. Although the Company believed that the allegations lack merit, it agreed with the plaintiffs to settle their claims for an aggregate amount in the range of $0.3 million to $0.5 million, to include individual and incentive awards, attorneys' fees and administrative costs. The court granted final approval of the settlement on April 17, 2009 and the Company has paid a total of $0.3 million in accordance with the final settlement.</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3, 2007, Kratos announced that it had a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Kratos promptly reported to the SEC the discovery of the theft. The SEC initiated an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investigation and that it did not intend to recommend any enforcement action by the SEC against the Company. Kratos has cooperated with, and continues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recovered $0.6 million from its insurance carrier related to the theft of options, and is in the process of liquidating the remaining assets which approximate $0.1 million in value. Kratos' directors' and officers' liability insurers agreed to reimburse it for $4.1 million in the third and fourth quarters of 2008 related to fees previously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incurred on the ongoing investigation by the U.S. Attorney's Office as well as fees previously incurred on the SEC investigation.</w:t>
      </w:r>
    </w:p>
    <w:p>
      <w:pPr>
        <w:spacing w:after="0" w:line="225"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On June 4, 2009, the Company filed a complaint in the United States District Court for the Northern District of Ohio against the lenders under its credit agreement, Field Point III, Ltd. and SPF CDO I, Ltd., both affiliates of Silverpoint, and KeyBank National Association seeking equitable relief in the form of reformation of an error in a contract schedule, declaratory relief and damages. The error resulted from the erroneous preparation of a schedule to the loan documents consisting of calculations relating to a financial covenant. The Company is specifically seeking reformation of the error in the Minimum Liquidity Ratio covenant.</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KeyBank has agreed to reform the error; however, any reformation requires Silverpoint's consent, which has not been provided. To date, the Company has met this covenant without the requested reformation. However, because the magnitude of the error in the schedule increases in future periods, the Company believes that it will become more challenging to continue to manage around the error in the Minimum Liquidity Ratio covenant unless the error is corrected or the Company takes alternative actions. In the event that this occurs, the Company intends to seek relief from the court.</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You should carefully consider the following risk factors and all other information contained herein as well as the information included in this Quarterly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condensed consolidated financial statements and related notes.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federal government and governmental entities.</w:t>
      </w:r>
    </w:p>
    <w:p>
      <w:pPr>
        <w:spacing w:after="0" w:line="248"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derive a significant portion of our revenue from contracts with the U.S. federal government and government agencies and subcontracts under federal government prime contracts, and the success of our business and growth of our business will continue to depend on our successful procurement of government contracts either directly or through prime contractors. Accordingly, changes in government contracting policies or government budgetary constraints could directly affect our financial performance. Among the factors that could adversely affect our business are:</w:t>
      </w:r>
    </w:p>
    <w:p>
      <w:pPr>
        <w:spacing w:after="0" w:line="180" w:lineRule="exact"/>
        <w:rPr>
          <w:sz w:val="20"/>
          <w:szCs w:val="20"/>
          <w:color w:val="auto"/>
        </w:rPr>
      </w:pPr>
    </w:p>
    <w:p>
      <w:pPr>
        <w:ind w:left="1080" w:right="2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federal government spending generally, or specific departments or agencies in particular;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or delays related to government restrictions on the export of defense articles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 contracts from government agencies could be adversely affected by spending reductions or budget cutbacks at these agencies.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Recent deterioration in the credit markets and the financial services industry may negatively impact our business, results of operations, financial condition or liquidity.</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Recently the credit markets and the financial services industry have been experiencing a period of unprecedented turmoil and upheaval characterized by the bankruptcy, failure, collapse or sale of various financial institutions and an unprecedented level of intervention from the United States federal government. While the outcome of these events cannot be predicted, they may have an adverse effect on our liquidity, financial condition and results of operations if it became necessary for us to acquire additional debt financing. Given our highly leveraged liquidity position, any down-turn in our operating earnings or cash flows could impair our ability to comply with the financial covenants of our existing credit facility. If additional debt financing were required, it may be at interest rates far greater than our current outstanding debt or may not be available at all.</w:t>
      </w:r>
    </w:p>
    <w:p>
      <w:pPr>
        <w:spacing w:after="0" w:line="174"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Although we maintain allowances for doubtful accounts for estimated losses from the inability of our customers to make required payments and such losses have historically been within our expectations and the allowances we have established, we cannot guarantee that we will continue to experience the same loss rates we have in the past, especially given the recent deterioration of the credit markets. A significant change in the liquidity or financial condition of our customers could cause unfavorable trends in our revenue and receivable collections and additional allowances may be required. These additional allowances could materially affect our financial results.</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ability to make payments on our debt will be contingent on our future operating performance, which will depend on a number of factors that are outside our control.</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Our debt service obligations are estimated to be approximately $11.0 million to $13.0 million in 2009, including approximately $5.9 million of principal repayments. This debt service may have an adverse impact on our earnings and cash flow, which could in turn negatively impact our stock price.</w:t>
      </w:r>
    </w:p>
    <w:p>
      <w:pPr>
        <w:spacing w:after="0" w:line="139"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Our ability to make principal and interest payments on our debt is contingent on our future operating performance, which will depend on a number of factors, many of which are outside of our control. The degree to which we are leveraged could have other important negative consequences, including the following:</w:t>
      </w:r>
    </w:p>
    <w:p>
      <w:pPr>
        <w:spacing w:after="0" w:line="208" w:lineRule="exact"/>
        <w:rPr>
          <w:sz w:val="20"/>
          <w:szCs w:val="20"/>
          <w:color w:val="auto"/>
        </w:rPr>
      </w:pPr>
    </w:p>
    <w:p>
      <w:pPr>
        <w:ind w:left="1080" w:right="36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must dedicate a substantial portion of our cash flows from operations to the payment of our indebtedness, reducing the funds available for future working capital requirements, capital expenditures, acquisitions or other general corporate requirements;</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significant portion of our borrowings are, and will continue to be, at variable rates of interest, which may result in higher interest expense in the event of increases in interest rates;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more vulnerable to a downturn in the industries in which we operate or a downturn in the economy;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limited in our flexibility to plan for, or react to, changes in our business and the industries in which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determine it to be necessary to dispose of certain assets or one or more of our businesses to reduce our debt;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borrow additional funds in excess of our current financing may be limited.</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in amounts sufficient to enable us to pay our indebtedness or fund our other liquidity needs. Moreover, we may need to refinance all or a portion of our indebtedness on or before maturity. In such a case, we may not be able to refinance any of our indebtedness on commercially reasonable terms or at all. If we are unable to make scheduled debt payments or comply with the other provisions of our debt instruments, our lenders may be permitted under certain circumstances to accelerate the maturity of the indebtedness owed to them and exercise other remedies provided for in those instruments and under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continue to incur goodwill impairment charges in our reporting entities which could harm our profitability.</w:t>
      </w:r>
    </w:p>
    <w:p>
      <w:pPr>
        <w:spacing w:after="0" w:line="225"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 significant portion of our net assets come from goodwill and other intangible assets. In accordance with Statement of Financial Accounting Standards, or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(SFAS 142) we periodically review the carrying values 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In 2008, as a result of our annual review, we recorded a goodwill impairment charge of $105.8 million related to our KGS segment, to reflect the declining market and economic conditions through December 28, 2008.</w:t>
      </w:r>
    </w:p>
    <w:p>
      <w:pPr>
        <w:spacing w:after="0" w:line="174"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Given the continued significant decline in the stock market in general and specifically the impact on our stock price in 2009, we performed an impairment test for goodwill in accordance with SFAS 142 as of February 28, 2009. The test indicated that the book value for the KGS segment exceeded the fair values of the businesses and resulted in our recording a charge totaling $41.3 million in our KGS segment for the impairment of goodwill. The impairment charge is primarily driven by adverse equity market conditions that caused a decrease in current market multiples and our average stock price as of February 28, 2009, compared with the test performed as of December 28, 2008.</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Government contracts frequently include provisions that are not standard in private commercial transactions, and are subject to laws and regulations that give the federal government rights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remedies not typically found in commercial contracts, including provisions permitting the federal government to:</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agencies,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and which makes backlog an uncertain indicator of future operating results.</w:t>
      </w:r>
    </w:p>
    <w:p>
      <w:pPr>
        <w:spacing w:after="0" w:line="186"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of June 28, 2009, our backlog was approximately $640 million, of which $130 million was funded. Funded backlog is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Although funded backlog represents only business which is considered to be firm, cancellations or scope adjustments may still occur. The remaining $510 million is unfunded backlog, which reflects our estimate of future revenue under awarded government contracts and task orders for which either funding has not yet been appropriated or expenditure has not yet been authorized. Unfunded backlog does not include estimates of revenue from GWAC contracts or GSA schedules beyond awarded or funded task orders, but does include estimates of revenue beyond awarded or funded task orders for other types of IDIQ contracts. The amount of unfunded backlog is not exact or guaranteed and is based upon, among other things, management's experience under such contracts and similar contracts, the particular clients, the type of work and budgetary expectations. 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management may not accurately assess these factors or estimate the revenue we will realize from these contracts, and our unfunded and total backlog may not reflect the actual revenue ultimately received from these contracts.</w:t>
      </w:r>
    </w:p>
    <w:p>
      <w:pPr>
        <w:spacing w:after="0" w:line="186"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United States government contracts included in backlog, whether or not funded, may be terminated at the convenience of the United States government. The failure to realize all amounts in our backlog could adversely affect our revenues and gross margins. As a result, our funded and total backlog as of any particular date may not be an accurate indicator of our future earnings.</w:t>
      </w:r>
    </w:p>
    <w:p>
      <w:pPr>
        <w:spacing w:after="0" w:line="15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10" w:lineRule="exact"/>
        <w:rPr>
          <w:sz w:val="20"/>
          <w:szCs w:val="20"/>
          <w:color w:val="auto"/>
        </w:rPr>
      </w:pPr>
    </w:p>
    <w:p>
      <w:pPr>
        <w:ind w:left="1080" w:right="4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acquisitions and potential future acquisitions could prove difficult to integrate, disrupt our business, dilute stockholder value and strain our resources.</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completed several acquisitions of complementary businesses in recent years, including our December 2007 acquisition of Haverstick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Consulting, Inc., our June 2008 acquisition of SYS, and our December 2008 acquisition of DFI. The success of the acquisitions will depend in part on the success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integrating the operations, technologies and personnel of SYS and DFI. The failure to successfully integrate the operations of the two companies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realize any of the anticipated benefits of the acquisitions could seriously harm our results of operations.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continually evaluate opportunities to acquire new businesses as part of our ongoing strategy and we may in the future acquire additional companies that we believe could complement or expand our business or increase our customer base. Acquisitions involve numerous risks, including:</w:t>
      </w:r>
    </w:p>
    <w:p>
      <w:pPr>
        <w:spacing w:after="0" w:line="15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accounting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or delays in transitioning federal government contracts pursuant to federal acquisition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federal acquisition regulations may require us to enter into government novation agreements, a potentially time-consuming process;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impairments in the future that could harm our financial results. In addition, if we finance acquisitions by issuing convertible debt or equity securities, our existing stockholders may be diluted, which could affect the market price of our stock. As a result, if we fail to properly evaluate acquisitions or investments, we may not achieve the anticipated benefits of any such acquisitions, and we may incur costs in excess of what we anticipate.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variable purchasing patterns under GSA Schedule 70 contracts, government wide acquisition contracts (GWACs), blanket purchase agreements and other indefinite delivery/indefinite quantity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contained in our credit facility, which if not waived by the lender,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 subcontractor or in "teaming" arrangements in which we and other contractors bid together on particular contracts or programs for the federal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three and six months ended June 28, 2009, two customers comprised approximately 63% and 62% of our federal business revenues and total revenues, respectively, and our five largest customers accounted for approximately 75% and 74% of our total federal business revenues and total revenues, respectively.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20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right="220"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34% and 32%, respectively, of our federal business revenues for the six months ended June 28, 2009.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prime contractor under several GSA contracts and GWAC schedule contracts.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Certain federal government contracts require us, and some of our employees, to maintain security clearances. Obtaining and maintaining security clearances for employees involves a lengthy process, and it is difficult to identify, recruit and retain employees who already hold security clearances.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20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prime contractor, we often rely upon other companies to perform work we are obligated to perform for our clients as subcontractors.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procurement, could damage our reputation and could hurt our ability to compete for future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federal government contracts, which affect how we do business with our clients, prime contractors, subcontractors and vendors and may impose added costs on us. In addition, 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 such policies. Any costs found to be improperly allocated to a specific contract will not be reimbursed, while such costs already reimbursed must be refunded. Adverse findings in a DCAA audit could materially affect our competitive position and result in a substantial adjustment to our revenue and profit.</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 federal government audit uncovers improper or illegal activities,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7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Other than the technical skills required in our commercial business, the barriers to entry in this area are relatively low. We do not have any intellectual property rights in this segment of our business 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our markets, we could experience reduced operating margins and loss of market share and brand recognition.</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our commercial customers do not invest in security systems and other new in-building technologies such as wireless local area networks and/or IP-based networks, our business will suffer.</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intend to devote significant resources to developing our enterprise-based wireless local area networks (WLAN),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systems or service failure, our reputation could be harmed and our clients could assert claims against us for damages or refunds.</w:t>
      </w:r>
    </w:p>
    <w:p>
      <w:pPr>
        <w:spacing w:after="0" w:line="248"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assure you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 In addition, alleged or actual employee misconduct could result in investigations or prosecutions of employees engaged in the subject activities, which could result in unanticipated consequences or expenses and management distraction for us regardless of whether we are alleged to have any responsibility.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attempt to protect our trade secrets by entering into confidentiality and intellectual property assignment agreements with third parties, our employees and consultants. However, these agreements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have a material adverse effect on us.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summer of 2006, our current executive management team, which has been in place since 2004, initiated an investigation of our past stock option granting practices (the "Equity Award Review") in reaction to media reports regarding stock option granting practices of public companies. The Equity Award Review was conducted with oversight from the Board and assistance from our outside counsel.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and FTI Consulting.</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 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20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light of the Equity Award Review, the Audit Committee of our Board concluded that our prior financial statements for periods from 1998 through our filing of interim financial statements for the period ended September 30, 2006, could no longer be relied upon and must be restated. Our management determined that, from fiscal year 1998 through fiscal year 2005, we had unrecorded non-cash equity-based compensation charges associated with our equity incentive plans. These charges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 Our Annual Report on Form 10-K filed on September 11, 2007 superseded and replaced in their entirety all of our previously issued financial statements and related reports filed with the Securities and Exchange Commission.</w:t>
      </w:r>
    </w:p>
    <w:p>
      <w:pPr>
        <w:spacing w:after="0" w:line="16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 Item 3, "Legal Proceedings," several derivative complaints have been filed in state and federal courts against our current directors, some of our former directors and some of our current and former executive officers pertaining to allegations relating to stock option grants. The SEC initiated an inquiry into our historical stock option granting practices, and we received a subpoena from the United States Attorney's Office for the Southern District of California for the production of documents relating to our historical stock option granting practices.</w:t>
      </w:r>
    </w:p>
    <w:p>
      <w:pPr>
        <w:spacing w:after="0" w:line="19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April 2008, the SEC notified us that it had completed its investigation and that it did not intend to recommend any enforcement action by the SEC against us. We have cooperated and expect to continue to cooperate with the U.S. Attorney's Office.</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period of time necessary to resolve the U.S. Attorney's Office inquiry is uncertain, and we cannot predict the outcome of this inquiry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 historical stock option practices, the completed SEC and pending U.S. Attorney's Office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If a federal government investigation uncovers improper or illegal activities, including any potential improper or illegal activities related to our stock option review or related matters, we may be subject to civil and criminal penalties and administrative sanctions, including termination of contracts, forfeiture of profits, suspension of payments, fines and suspension or debarment from doing business with federal government agencies. The aggregate and ongoing legal fees associated with the investigation and defense of the matters related to the Equity Award Review are significant, but the impact has been partially mitigated by funds available under insurance policies purchased in prior years. We cannot assure you that the insurers will continue to reimburse us for ongoing fees. Moreover, the insurance policies contain a number of provisions that the insurers could assert either to discontinue payments or even to seek the return of previously made payments. For instance, if it were determined by final adjudication in the underlying action or in a separate action or proceeding that former officers or directors committed deliberate fraudulent or criminal acts, then insurers could assert that coverage under our directors and officer's liability insurance policies for those periods could be rescinded. In the event of such a determination and an assertion by an insurer, the insurance carriers could pursue a claim against the former officers and directors and/or us for amounts previously advanced under the underlying policies. If insurance coverage is withheld or rescinded by our insurance carriers, we could be exposed to potentially significant financial burdens arising from continuing to fund ongoing costs and costs associated with potential claims for return of prior payments, which could cause us significant harm.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business with us or significantly decreased the amount of business it does with us, our revenue and operating profit would decline.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28, 2008.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June 28, 2008, we completed the acquisition of SYS and on December 24, 2008, we completed the acquisition of DFI and, as permitted by SEC guidance, we excluded from our assessment of the effectiveness of our internal control over financial reporting as of December 28, 2008, the internal control over financial reporting of these two entities. These operations will be included in our assessment of internal controls over financial reporting for the year ending December 27, 2009. Performing assessments of internal controls, implementing necessary changes, and maintaining an effective internal controls process is costly and requires considerable management attention, particularly in the case of newly acquired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flows, will be sufficient to meet our expected working capital and capital expenditure requirements for at least the next 12 months. However, such resources may not be sufficient to fund the long-term growth of our business or the expenses associated with the ongoing litigation, litigation settlements and government inquiries. In particular, we may experience a negative operating cash flow due to billing milestones and project timelines in certain of our contracts.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raise additional funds through public or private debt or equity financings if such financings become available on favorable terms or we may expand our credit facility to fund future acquisitions and for general corporate purposes. However, due to the current challenges in the lending markets, we can provide no assurance that the lender would agree to extend additional or continuing credit under that facility. We could fall out of compliance with financial and other covenants contained in our credit facility which, if not waived, would restrict our access to capital and could require us to pay down our existing debt under the credit facility. Any new financing or offerings would likely dilute our stockholders' equity ownership. In addition, additional financing may not be available on terms favorable to us, or at all. If adequate funds are not available or are not available on acceptable terms, we may not be able to take advantage of available opportunities, develop new products or otherwise respond to competitive pressures. In any such case, our business, operating results or financial condition could be materially adversely affected.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We are subject to restrictive debt covenants pursuant to our indebtedness. These covenants may restrict our ability to finance our business and, if we do not comply with the covenants or otherwise default under them, we may not have the funds necessary to pay all amounts that could become due and the lenders could foreclose on substantially all of our assets.</w:t>
      </w:r>
    </w:p>
    <w:p>
      <w:pPr>
        <w:spacing w:after="0" w:line="194" w:lineRule="exact"/>
        <w:rPr>
          <w:sz w:val="20"/>
          <w:szCs w:val="20"/>
          <w:color w:val="auto"/>
        </w:rPr>
      </w:pPr>
    </w:p>
    <w:p>
      <w:pPr>
        <w:jc w:val="both"/>
        <w:ind w:right="160" w:firstLine="351"/>
        <w:spacing w:after="0" w:line="268" w:lineRule="auto"/>
        <w:rPr>
          <w:sz w:val="20"/>
          <w:szCs w:val="20"/>
          <w:color w:val="auto"/>
        </w:rPr>
      </w:pPr>
      <w:r>
        <w:rPr>
          <w:rFonts w:ascii="Arial" w:cs="Arial" w:eastAsia="Arial" w:hAnsi="Arial"/>
          <w:sz w:val="18"/>
          <w:szCs w:val="18"/>
          <w:color w:val="auto"/>
        </w:rPr>
        <w:t>Our indebtedness contains covenants that, among other things, significantly restricts and, in some cases, effectively eliminates our ability and the ability of our subsidiaries to:</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bid on or perform work due to limits on the amount of performance bonds that may be secured by letters of credit;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or acquire new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 a merger or consolidation of, or sell all or substantially all of our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raise capital using our equity.</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we must comply with certain financial covenants. In the event we were to fail to meet any of such covenants and were unable to cure such breach or otherwise renegotiate such covenants, our lenders would have significant rights to deny future access to liquidity and/or seize control of substantially all of our assets. The material financial covenants with which we must comply include a maximum first lien leverage ratio, a maximum total leverage ratio, a minimum liquidity ratio, a minimum fixed charge coverage ratio, and a minimum consolidated EBITDA.</w:t>
      </w:r>
    </w:p>
    <w:p>
      <w:pPr>
        <w:spacing w:after="0" w:line="167"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The covenants contained in our indebtedness and any credit agreement governing future debt may significantly restrict our future operations. Furthermore, upon the occurrence of any event of default, our lenders could elect to declare all amounts outstanding under such agreements, together with accrued interest, to be immediately due and payable. If those lenders were to accelerate the payment of those amounts, we may not have sufficient assets to repay those amounts in full.</w:t>
      </w:r>
    </w:p>
    <w:p>
      <w:pPr>
        <w:spacing w:after="0" w:line="197"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On June 4, 2009, the Company filed a complaint in the United States District Court for the Northern District of Ohio against the lenders under its credit agreement, Field Point III, Ltd. and SPF CDO I, Ltd., both affiliates of Silverpoint, and KeyBank National Association seeking equitable relief in the form of reformation of an error in a contract schedule, declaratory relief and damages. The error resulted from the erroneous preparation of a schedule to the loan documents consisting of calculations relating to a financial covenant. The Company is specifically seeking reformation of the error in the Minimum Liquidity Ratio covenant.</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KeyBank has agreed to reform the error; however, any reformation requires Silverpoint's consent, which has not been provided. To date, the Company has met this covenant without the requested reformation. However, because the magnitude of the error in the schedule increases in future periods, the Company believes that it will become more challenging to continue to manage around the error in the Minimum Liquidity Ratio covenant unless the error is corrected or the Company takes alternative actions.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are also subject to interest rate risk due to our indebtedness at variable interest rates, based on a base rate or LIBOR floor rate plus an applicable margin.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Shifts in interest rates could have a material adverse effect on us.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prepay our indebtedness prior to its stated maturity, which may limit our ability to pursue business opportunities.</w:t>
      </w:r>
    </w:p>
    <w:p>
      <w:pPr>
        <w:spacing w:after="0" w:line="24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Pursuant to the terms of certain of our indebtedness, in certain instances we are required to prepay outstanding indebtedness prior to its stated maturity date. Specifically, certain non-recurring cash inflows such as proceeds from asset sales, insurance recoveries, and equity offerings may have to be used to pay down indebtedness and may not be reborrowed. These prepayment provisions may limit our ability to utilize this cash flow to pursue business opportunities.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74"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litigation and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Companies that have experienced volatility in the market price of their stock have frequently been the subject of securities class action litigation. We and certain of our current and former officers and directors have been named defendants in class action and derivative lawsuits. These matters and any other securities class action litigation and derivative lawsuits in which we may be involved could result in substantial costs to us and a diversion of our management's attention and resources, which could materially harm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number of our executives have agreements with us that entitle them to payments in certain circumstances following a change in control.</w:t>
      </w:r>
    </w:p>
    <w:p>
      <w:pPr>
        <w:spacing w:after="0" w:line="248"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have a stockholder rights plan which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On March 31, 2009, we issued 1.4 million shares to the former shareholders of Haverstick Consulting, Inc. in payment of the stock portion of the holdback consideration pursuant to the Agreement and Plan of Merger, dated November 2, 2007. These shares were issued without registration under the Securities Act of 1933, as amended (the "Securities Act"), in reliance upon the exemption provided by Section 4(2) under the Securities Act and Regulation D there under.</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At the Company's Annual Meeting of Stockholders held on June 4, 2009, the following individuals were re-elected as directors of the Company for one-year terms: Scott I. Anderson, Bandel L. Carano, Eric M. DeMarco, William A. Hoglund and Scot B. Jarvis, and Samuel N. Liberatore who was elected by the stockholders after being appointed as a director by the board in January 2009. For each elected director the results of the voting were:</w:t>
      </w:r>
    </w:p>
    <w:p>
      <w:pPr>
        <w:spacing w:after="0" w:line="210"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Affirmative Votes</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Votes Withheld</w:t>
            </w: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Scott I. Anderson</w:t>
            </w:r>
          </w:p>
        </w:tc>
        <w:tc>
          <w:tcPr>
            <w:tcW w:w="9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111,860,221</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3,365,743</w:t>
            </w:r>
          </w:p>
        </w:tc>
        <w:tc>
          <w:tcPr>
            <w:tcW w:w="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Bandel L. Carano</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109,396,346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5,829,618</w:t>
            </w: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112,835,107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2,390,857</w:t>
            </w:r>
          </w:p>
        </w:tc>
        <w:tc>
          <w:tcPr>
            <w:tcW w:w="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William A. Hoglund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111,967,314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3,258,650</w:t>
            </w: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Scot B. Jarvis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111,879,549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3,346,415</w:t>
            </w:r>
          </w:p>
        </w:tc>
        <w:tc>
          <w:tcPr>
            <w:tcW w:w="60" w:type="dxa"/>
            <w:vAlign w:val="bottom"/>
            <w:shd w:val="clear" w:color="auto" w:fill="CCEEFF"/>
          </w:tcPr>
          <w:p>
            <w:pPr>
              <w:spacing w:after="0"/>
              <w:rPr>
                <w:sz w:val="18"/>
                <w:szCs w:val="18"/>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Samuel N. Liberatore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113,105,123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2,120,841</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our stockholders also voted to approve the following proposals:</w:t>
      </w:r>
    </w:p>
    <w:p>
      <w:pPr>
        <w:spacing w:after="0" w:line="252" w:lineRule="exact"/>
        <w:rPr>
          <w:sz w:val="20"/>
          <w:szCs w:val="20"/>
          <w:color w:val="auto"/>
        </w:rPr>
      </w:pPr>
    </w:p>
    <w:p>
      <w:pPr>
        <w:ind w:left="1080" w:right="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Approve an Amendment to our Amended and Restated Certificate of Incorporation effecting a reverse stock split. The results of the voting on this proposal were: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Affirmative Votes</w:t>
            </w: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Negative Votes</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c>
          <w:tcPr>
            <w:tcW w:w="3140" w:type="dxa"/>
            <w:vAlign w:val="bottom"/>
          </w:tcPr>
          <w:p>
            <w:pPr>
              <w:spacing w:after="0"/>
              <w:rPr>
                <w:sz w:val="14"/>
                <w:szCs w:val="14"/>
                <w:color w:val="auto"/>
              </w:rPr>
            </w:pPr>
          </w:p>
        </w:tc>
      </w:tr>
      <w:tr>
        <w:trPr>
          <w:trHeight w:val="216"/>
        </w:trPr>
        <w:tc>
          <w:tcPr>
            <w:tcW w:w="314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109,382,036</w:t>
            </w:r>
          </w:p>
        </w:tc>
        <w:tc>
          <w:tcPr>
            <w:tcW w:w="240" w:type="dxa"/>
            <w:vAlign w:val="bottom"/>
          </w:tcPr>
          <w:p>
            <w:pPr>
              <w:spacing w:after="0"/>
              <w:rPr>
                <w:sz w:val="18"/>
                <w:szCs w:val="18"/>
                <w:color w:val="auto"/>
              </w:rPr>
            </w:pPr>
          </w:p>
        </w:tc>
        <w:tc>
          <w:tcPr>
            <w:tcW w:w="1080" w:type="dxa"/>
            <w:vAlign w:val="bottom"/>
          </w:tcPr>
          <w:p>
            <w:pPr>
              <w:jc w:val="right"/>
              <w:ind w:right="82"/>
              <w:spacing w:after="0"/>
              <w:rPr>
                <w:sz w:val="20"/>
                <w:szCs w:val="20"/>
                <w:color w:val="auto"/>
              </w:rPr>
            </w:pPr>
            <w:r>
              <w:rPr>
                <w:rFonts w:ascii="Arial" w:cs="Arial" w:eastAsia="Arial" w:hAnsi="Arial"/>
                <w:sz w:val="18"/>
                <w:szCs w:val="18"/>
                <w:color w:val="auto"/>
              </w:rPr>
              <w:t>5,562,265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22"/>
              <w:spacing w:after="0"/>
              <w:rPr>
                <w:sz w:val="20"/>
                <w:szCs w:val="20"/>
                <w:color w:val="auto"/>
              </w:rPr>
            </w:pPr>
            <w:r>
              <w:rPr>
                <w:rFonts w:ascii="Arial" w:cs="Arial" w:eastAsia="Arial" w:hAnsi="Arial"/>
                <w:sz w:val="18"/>
                <w:szCs w:val="18"/>
                <w:color w:val="auto"/>
              </w:rPr>
              <w:t>281,672</w:t>
            </w:r>
          </w:p>
        </w:tc>
        <w:tc>
          <w:tcPr>
            <w:tcW w:w="160" w:type="dxa"/>
            <w:vAlign w:val="bottom"/>
          </w:tcPr>
          <w:p>
            <w:pPr>
              <w:spacing w:after="0"/>
              <w:rPr>
                <w:sz w:val="18"/>
                <w:szCs w:val="18"/>
                <w:color w:val="auto"/>
              </w:rPr>
            </w:pPr>
          </w:p>
        </w:tc>
        <w:tc>
          <w:tcPr>
            <w:tcW w:w="1160" w:type="dxa"/>
            <w:vAlign w:val="bottom"/>
          </w:tcPr>
          <w:p>
            <w:pPr>
              <w:jc w:val="right"/>
              <w:ind w:right="462"/>
              <w:spacing w:after="0"/>
              <w:rPr>
                <w:sz w:val="20"/>
                <w:szCs w:val="20"/>
                <w:color w:val="auto"/>
              </w:rPr>
            </w:pPr>
            <w:r>
              <w:rPr>
                <w:rFonts w:ascii="Arial" w:cs="Arial" w:eastAsia="Arial" w:hAnsi="Arial"/>
                <w:sz w:val="18"/>
                <w:szCs w:val="18"/>
                <w:color w:val="auto"/>
              </w:rPr>
              <w:t>0</w:t>
            </w:r>
          </w:p>
        </w:tc>
        <w:tc>
          <w:tcPr>
            <w:tcW w:w="3140" w:type="dxa"/>
            <w:vAlign w:val="bottom"/>
          </w:tcPr>
          <w:p>
            <w:pPr>
              <w:spacing w:after="0"/>
              <w:rPr>
                <w:sz w:val="18"/>
                <w:szCs w:val="18"/>
                <w:color w:val="auto"/>
              </w:rPr>
            </w:pPr>
          </w:p>
        </w:tc>
      </w:tr>
      <w:tr>
        <w:trPr>
          <w:trHeight w:val="424"/>
        </w:trPr>
        <w:tc>
          <w:tcPr>
            <w:tcW w:w="3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gridSpan w:val="3"/>
          </w:tcPr>
          <w:p>
            <w:pPr>
              <w:jc w:val="right"/>
              <w:ind w:right="1082"/>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28"/>
        </w:trPr>
        <w:tc>
          <w:tcPr>
            <w:tcW w:w="31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Ratification of the selection of Grant Thornton LLP as the Company's independent registered public accounting firm for the fiscal year ending December 27, 2009. The results of the voting on this proposal were:</w:t>
      </w:r>
    </w:p>
    <w:p>
      <w:pPr>
        <w:spacing w:after="0" w:line="182" w:lineRule="exact"/>
        <w:rPr>
          <w:sz w:val="20"/>
          <w:szCs w:val="20"/>
          <w:color w:val="auto"/>
        </w:rPr>
      </w:pPr>
    </w:p>
    <w:tbl>
      <w:tblPr>
        <w:tblLayout w:type="fixed"/>
        <w:tblInd w:w="3140" w:type="dxa"/>
        <w:tblCellMar>
          <w:top w:w="0" w:type="dxa"/>
          <w:left w:w="0" w:type="dxa"/>
          <w:bottom w:w="0" w:type="dxa"/>
          <w:right w:w="0" w:type="dxa"/>
        </w:tblCellMar>
      </w:tblPr>
      <w:tr>
        <w:trPr>
          <w:trHeight w:val="18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Affirmative Votes</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Negative Votes</w:t>
            </w:r>
          </w:p>
        </w:tc>
        <w:tc>
          <w:tcPr>
            <w:tcW w:w="1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c>
          <w:tcPr>
            <w:tcW w:w="1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114,341,726</w:t>
            </w:r>
          </w:p>
        </w:tc>
        <w:tc>
          <w:tcPr>
            <w:tcW w:w="240" w:type="dxa"/>
            <w:vAlign w:val="bottom"/>
          </w:tcPr>
          <w:p>
            <w:pPr>
              <w:spacing w:after="0"/>
              <w:rPr>
                <w:sz w:val="18"/>
                <w:szCs w:val="18"/>
                <w:color w:val="auto"/>
              </w:rPr>
            </w:pPr>
          </w:p>
        </w:tc>
        <w:tc>
          <w:tcPr>
            <w:tcW w:w="116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448,242</w:t>
            </w:r>
          </w:p>
        </w:tc>
        <w:tc>
          <w:tcPr>
            <w:tcW w:w="160" w:type="dxa"/>
            <w:vAlign w:val="bottom"/>
          </w:tcPr>
          <w:p>
            <w:pPr>
              <w:spacing w:after="0"/>
              <w:rPr>
                <w:sz w:val="18"/>
                <w:szCs w:val="18"/>
                <w:color w:val="auto"/>
              </w:rPr>
            </w:pPr>
          </w:p>
        </w:tc>
        <w:tc>
          <w:tcPr>
            <w:tcW w:w="116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436,004</w:t>
            </w:r>
          </w:p>
        </w:tc>
        <w:tc>
          <w:tcPr>
            <w:tcW w:w="160" w:type="dxa"/>
            <w:vAlign w:val="bottom"/>
          </w:tcPr>
          <w:p>
            <w:pPr>
              <w:spacing w:after="0"/>
              <w:rPr>
                <w:sz w:val="18"/>
                <w:szCs w:val="18"/>
                <w:color w:val="auto"/>
              </w:rPr>
            </w:pPr>
          </w:p>
        </w:tc>
        <w:tc>
          <w:tcPr>
            <w:tcW w:w="1160" w:type="dxa"/>
            <w:vAlign w:val="bottom"/>
          </w:tcPr>
          <w:p>
            <w:pPr>
              <w:jc w:val="right"/>
              <w:ind w:right="462"/>
              <w:spacing w:after="0" w:line="202" w:lineRule="exact"/>
              <w:rPr>
                <w:sz w:val="20"/>
                <w:szCs w:val="20"/>
                <w:color w:val="auto"/>
              </w:rPr>
            </w:pPr>
            <w:r>
              <w:rPr>
                <w:rFonts w:ascii="Arial" w:cs="Arial" w:eastAsia="Arial" w:hAnsi="Arial"/>
                <w:sz w:val="18"/>
                <w:szCs w:val="18"/>
                <w:color w:val="auto"/>
              </w:rPr>
              <w:t>0</w:t>
            </w:r>
          </w:p>
        </w:tc>
      </w:tr>
    </w:tbl>
    <w:p>
      <w:pPr>
        <w:spacing w:after="0" w:line="18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Item 6.</w:t>
            </w:r>
          </w:p>
        </w:tc>
        <w:tc>
          <w:tcPr>
            <w:tcW w:w="160" w:type="dxa"/>
            <w:vAlign w:val="bottom"/>
          </w:tcPr>
          <w:p>
            <w:pPr>
              <w:spacing w:after="0"/>
              <w:rPr>
                <w:sz w:val="19"/>
                <w:szCs w:val="19"/>
                <w:color w:val="auto"/>
              </w:rPr>
            </w:pPr>
          </w:p>
        </w:tc>
        <w:tc>
          <w:tcPr>
            <w:tcW w:w="842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Incorporated by</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Reference</w:t>
            </w:r>
          </w:p>
        </w:tc>
        <w:tc>
          <w:tcPr>
            <w:tcW w:w="60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Period End</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120" w:type="dxa"/>
            <w:vAlign w:val="bottom"/>
            <w:gridSpan w:val="2"/>
          </w:tcPr>
          <w:p>
            <w:pPr>
              <w:ind w:left="1260"/>
              <w:spacing w:after="0"/>
              <w:rPr>
                <w:sz w:val="20"/>
                <w:szCs w:val="20"/>
                <w:color w:val="auto"/>
              </w:rPr>
            </w:pPr>
            <w:r>
              <w:rPr>
                <w:rFonts w:ascii="Arial" w:cs="Arial" w:eastAsia="Arial" w:hAnsi="Arial"/>
                <w:sz w:val="14"/>
                <w:szCs w:val="14"/>
                <w:b w:val="1"/>
                <w:bCs w:val="1"/>
                <w:color w:val="auto"/>
              </w:rPr>
              <w:t>Exhibit Description</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Form</w:t>
            </w:r>
          </w:p>
        </w:tc>
        <w:tc>
          <w:tcPr>
            <w:tcW w:w="14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5"/>
                <w:szCs w:val="15"/>
                <w:color w:val="auto"/>
              </w:rPr>
            </w:pPr>
          </w:p>
        </w:tc>
        <w:tc>
          <w:tcPr>
            <w:tcW w:w="82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Amended and Restated Bylaws of Kratos Defense &amp; Security Solutions, Inc. as amended June 4, 2009</w:t>
            </w:r>
          </w:p>
        </w:tc>
        <w:tc>
          <w:tcPr>
            <w:tcW w:w="160" w:type="dxa"/>
            <w:vAlign w:val="bottom"/>
          </w:tcPr>
          <w:p>
            <w:pPr>
              <w:spacing w:after="0"/>
              <w:rPr>
                <w:sz w:val="15"/>
                <w:szCs w:val="15"/>
                <w:color w:val="auto"/>
              </w:rPr>
            </w:pPr>
          </w:p>
        </w:tc>
        <w:tc>
          <w:tcPr>
            <w:tcW w:w="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6/10/2009</w:t>
            </w:r>
          </w:p>
        </w:tc>
        <w:tc>
          <w:tcPr>
            <w:tcW w:w="2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8580" w:type="dxa"/>
            <w:vAlign w:val="bottom"/>
            <w:gridSpan w:val="4"/>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8580" w:type="dxa"/>
            <w:vAlign w:val="bottom"/>
            <w:gridSpan w:val="4"/>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8580" w:type="dxa"/>
            <w:vAlign w:val="bottom"/>
            <w:gridSpan w:val="4"/>
          </w:tcPr>
          <w:p>
            <w:pPr>
              <w:ind w:left="16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2002</w:t>
            </w:r>
          </w:p>
        </w:tc>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8580" w:type="dxa"/>
            <w:vAlign w:val="bottom"/>
            <w:gridSpan w:val="4"/>
          </w:tcPr>
          <w:p>
            <w:pPr>
              <w:ind w:left="16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2002</w:t>
            </w:r>
          </w:p>
        </w:tc>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5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tbl>
      <w:tblPr>
        <w:tblLayout w:type="fixed"/>
        <w:tblInd w:w="524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Pr>
          <w:p>
            <w:pPr>
              <w:jc w:val="center"/>
              <w:spacing w:after="0"/>
              <w:rPr>
                <w:sz w:val="20"/>
                <w:szCs w:val="20"/>
                <w:color w:val="auto"/>
              </w:rPr>
            </w:pPr>
            <w:r>
              <w:rPr>
                <w:rFonts w:ascii="Arial" w:cs="Arial" w:eastAsia="Arial" w:hAnsi="Arial"/>
                <w:sz w:val="18"/>
                <w:szCs w:val="18"/>
                <w:color w:val="auto"/>
                <w:w w:val="94"/>
              </w:rPr>
              <w:t>/s/ ERIC M. DEMARCO</w:t>
            </w:r>
          </w:p>
        </w:tc>
      </w:tr>
      <w:tr>
        <w:trPr>
          <w:trHeight w:val="97"/>
        </w:trPr>
        <w:tc>
          <w:tcPr>
            <w:tcW w:w="42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r>
      <w:tr>
        <w:trPr>
          <w:trHeight w:val="282"/>
        </w:trPr>
        <w:tc>
          <w:tcPr>
            <w:tcW w:w="4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Eric M. DeMarco</w:t>
            </w:r>
          </w:p>
        </w:tc>
      </w:tr>
      <w:tr>
        <w:trPr>
          <w:trHeight w:val="216"/>
        </w:trPr>
        <w:tc>
          <w:tcPr>
            <w:tcW w:w="4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8"/>
              </w:rPr>
              <w:t>Chief Executive Officer, President</w:t>
            </w:r>
          </w:p>
        </w:tc>
      </w:tr>
      <w:tr>
        <w:trPr>
          <w:trHeight w:val="222"/>
        </w:trPr>
        <w:tc>
          <w:tcPr>
            <w:tcW w:w="4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Executive Officer)</w:t>
            </w:r>
          </w:p>
        </w:tc>
      </w:tr>
      <w:tr>
        <w:trPr>
          <w:trHeight w:val="45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Pr>
          <w:p>
            <w:pPr>
              <w:jc w:val="center"/>
              <w:spacing w:after="0"/>
              <w:rPr>
                <w:sz w:val="20"/>
                <w:szCs w:val="20"/>
                <w:color w:val="auto"/>
              </w:rPr>
            </w:pPr>
            <w:r>
              <w:rPr>
                <w:rFonts w:ascii="Arial" w:cs="Arial" w:eastAsia="Arial" w:hAnsi="Arial"/>
                <w:sz w:val="18"/>
                <w:szCs w:val="18"/>
                <w:color w:val="auto"/>
                <w:w w:val="94"/>
              </w:rPr>
              <w:t>/s/ DEANNA H. LUND, CPA</w:t>
            </w:r>
          </w:p>
        </w:tc>
      </w:tr>
      <w:tr>
        <w:trPr>
          <w:trHeight w:val="97"/>
        </w:trPr>
        <w:tc>
          <w:tcPr>
            <w:tcW w:w="42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r>
      <w:tr>
        <w:trPr>
          <w:trHeight w:val="282"/>
        </w:trPr>
        <w:tc>
          <w:tcPr>
            <w:tcW w:w="4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Deanna H. Lund</w:t>
            </w:r>
          </w:p>
        </w:tc>
      </w:tr>
      <w:tr>
        <w:trPr>
          <w:trHeight w:val="216"/>
        </w:trPr>
        <w:tc>
          <w:tcPr>
            <w:tcW w:w="4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Chief Financial Officer</w:t>
            </w:r>
          </w:p>
        </w:tc>
      </w:tr>
      <w:tr>
        <w:trPr>
          <w:trHeight w:val="222"/>
        </w:trPr>
        <w:tc>
          <w:tcPr>
            <w:tcW w:w="4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w:t>
            </w:r>
          </w:p>
        </w:tc>
      </w:tr>
      <w:tr>
        <w:trPr>
          <w:trHeight w:val="45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/s/ LAURA L. SIEGAL</w:t>
            </w:r>
          </w:p>
        </w:tc>
      </w:tr>
      <w:tr>
        <w:trPr>
          <w:trHeight w:val="97"/>
        </w:trPr>
        <w:tc>
          <w:tcPr>
            <w:tcW w:w="42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r>
      <w:tr>
        <w:trPr>
          <w:trHeight w:val="282"/>
        </w:trPr>
        <w:tc>
          <w:tcPr>
            <w:tcW w:w="4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Laura L. Siegal</w:t>
            </w:r>
          </w:p>
        </w:tc>
      </w:tr>
      <w:tr>
        <w:trPr>
          <w:trHeight w:val="216"/>
        </w:trPr>
        <w:tc>
          <w:tcPr>
            <w:tcW w:w="4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9"/>
              </w:rPr>
              <w:t>Vice President, Corporate Controller and</w:t>
            </w:r>
          </w:p>
        </w:tc>
      </w:tr>
      <w:tr>
        <w:trPr>
          <w:trHeight w:val="222"/>
        </w:trPr>
        <w:tc>
          <w:tcPr>
            <w:tcW w:w="4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Accounting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2009</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3" w:name="page74"/>
    <w:bookmarkEnd w:id="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spacing w:after="0"/>
        <w:rPr>
          <w:rFonts w:ascii="Arial" w:cs="Arial" w:eastAsia="Arial" w:hAnsi="Arial"/>
          <w:sz w:val="22"/>
          <w:szCs w:val="22"/>
          <w:color w:val="0000EE"/>
        </w:rPr>
      </w:pPr>
      <w:hyperlink w:anchor="page7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39"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2009</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62230</wp:posOffset>
            </wp:positionV>
            <wp:extent cx="39363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17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CERTIFICATION OF PRINCIPAL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76" w:name="page77"/>
    <w:bookmarkEnd w:id="76"/>
    <w:p>
      <w:pPr>
        <w:spacing w:after="0"/>
        <w:rPr>
          <w:rFonts w:ascii="Arial" w:cs="Arial" w:eastAsia="Arial" w:hAnsi="Arial"/>
          <w:sz w:val="22"/>
          <w:szCs w:val="22"/>
          <w:color w:val="0000EE"/>
        </w:rPr>
      </w:pPr>
      <w:hyperlink w:anchor="page7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39"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2009</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62230</wp:posOffset>
            </wp:positionV>
            <wp:extent cx="39363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17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CERTIFICATION OF PRINCIPAL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78" w:name="page79"/>
    <w:bookmarkEnd w:id="78"/>
    <w:p>
      <w:pPr>
        <w:spacing w:after="0"/>
        <w:rPr>
          <w:rFonts w:ascii="Arial" w:cs="Arial" w:eastAsia="Arial" w:hAnsi="Arial"/>
          <w:sz w:val="22"/>
          <w:szCs w:val="22"/>
          <w:color w:val="0000EE"/>
        </w:rPr>
      </w:pPr>
      <w:hyperlink w:anchor="page8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June 28, 2009 (the "Report"), I, Eric M. DeMarco,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2009</w:t>
      </w:r>
    </w:p>
    <w:p>
      <w:pPr>
        <w:spacing w:after="0"/>
        <w:rPr>
          <w:rFonts w:ascii="Arial" w:cs="Arial" w:eastAsia="Arial" w:hAnsi="Arial"/>
          <w:sz w:val="18"/>
          <w:szCs w:val="18"/>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CERTIFICATION PURSUANT TO SECTION 906 OF THE SARBANES-OXLEY ACT OF 2002 (18 U.S.C. SECTION 1350)</w:t>
        </w:r>
      </w:hyperlink>
    </w:p>
    <w:p>
      <w:pPr>
        <w:sectPr>
          <w:pgSz w:w="11900" w:h="16838" w:orient="portrait"/>
          <w:cols w:equalWidth="0" w:num="1">
            <w:col w:w="10219"/>
          </w:cols>
          <w:pgMar w:left="240" w:top="820" w:right="1440" w:bottom="1440" w:gutter="0" w:footer="0" w:header="0"/>
        </w:sectPr>
      </w:pPr>
    </w:p>
    <w:bookmarkStart w:id="80" w:name="page81"/>
    <w:bookmarkEnd w:id="80"/>
    <w:p>
      <w:pPr>
        <w:spacing w:after="0"/>
        <w:rPr>
          <w:rFonts w:ascii="Arial" w:cs="Arial" w:eastAsia="Arial" w:hAnsi="Arial"/>
          <w:sz w:val="22"/>
          <w:szCs w:val="22"/>
          <w:color w:val="0000EE"/>
        </w:rPr>
      </w:pPr>
      <w:hyperlink w:anchor="page8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June 28,2009 (the "Report"), I, Deanna H. Lund,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2009</w:t>
      </w:r>
    </w:p>
    <w:p>
      <w:pPr>
        <w:ind w:left="262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62230</wp:posOffset>
            </wp:positionV>
            <wp:extent cx="39363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17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CERTIFICATION PURSUANT TO SECTION 906 OF THE SARBANES-OXLEY ACT OF 2002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lvl w:ilvl="1">
      <w:lvlJc w:val="left"/>
      <w:lvlText w:val="(%2)"/>
      <w:numFmt w:val="decimal"/>
      <w:start w:val="3"/>
    </w:lvl>
  </w:abstractNum>
  <w:abstractNum w:abstractNumId="3">
    <w:nsid w:val="519B500D"/>
    <w:multiLevelType w:val="hybridMultilevel"/>
    <w:lvl w:ilvl="0">
      <w:lvlJc w:val="left"/>
      <w:lvlText w:val="(%1)"/>
      <w:numFmt w:val="lowerLetter"/>
      <w:start w:val="6"/>
    </w:lvl>
  </w:abstractNum>
  <w:abstractNum w:abstractNumId="4">
    <w:nsid w:val="431BD7B7"/>
    <w:multiLevelType w:val="hybridMultilevel"/>
    <w:lvl w:ilvl="0">
      <w:lvlJc w:val="left"/>
      <w:lvlText w:val="(%1)"/>
      <w:numFmt w:val="lowerRoman"/>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2019-12-10T17:56:03Z</dcterms:created>
  <dcterms:modified xsi:type="dcterms:W3CDTF">2019-12-10T17:56:03Z</dcterms:modified>
</cp:coreProperties>
</file>