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334645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351790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99695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9" w:lineRule="exact"/>
        <w:rPr>
          <w:sz w:val="24"/>
          <w:szCs w:val="24"/>
          <w:color w:val="auto"/>
        </w:rPr>
      </w:pPr>
    </w:p>
    <w:p>
      <w:pPr>
        <w:ind w:left="2220" w:hanging="1023"/>
        <w:spacing w:after="0"/>
        <w:tabs>
          <w:tab w:leader="none" w:pos="2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28, 2014</w:t>
      </w:r>
    </w:p>
    <w:p>
      <w:pPr>
        <w:spacing w:after="0" w:line="6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AND EXCHANGE ACT</w:t>
      </w:r>
    </w:p>
    <w:p>
      <w:pPr>
        <w:spacing w:after="0" w:line="19" w:lineRule="exact"/>
        <w:rPr>
          <w:sz w:val="24"/>
          <w:szCs w:val="24"/>
          <w:color w:val="auto"/>
        </w:rPr>
      </w:pPr>
    </w:p>
    <w:p>
      <w:pPr>
        <w:ind w:left="2220" w:hanging="1023"/>
        <w:spacing w:after="0"/>
        <w:tabs>
          <w:tab w:leader="none" w:pos="2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1934</w:t>
      </w:r>
    </w:p>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001-34460</w:t>
      </w:r>
    </w:p>
    <w:p>
      <w:pPr>
        <w:spacing w:after="0" w:line="1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KRATOS DEFENSE &amp; SECURITY SOLUTIONS, INC.</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229" w:right="259" w:bottom="1440" w:gutter="0" w:footer="0" w:header="0"/>
        </w:sectPr>
      </w:pPr>
    </w:p>
    <w:p>
      <w:pPr>
        <w:spacing w:after="0" w:line="16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13-3818604</w:t>
      </w:r>
    </w:p>
    <w:p>
      <w:pPr>
        <w:spacing w:after="0" w:line="63" w:lineRule="exact"/>
        <w:rPr>
          <w:sz w:val="24"/>
          <w:szCs w:val="24"/>
          <w:color w:val="auto"/>
        </w:rPr>
      </w:pPr>
    </w:p>
    <w:p>
      <w:pPr>
        <w:sectPr>
          <w:pgSz w:w="11900" w:h="16838" w:orient="portrait"/>
          <w:cols w:equalWidth="0" w:num="2">
            <w:col w:w="6820" w:space="720"/>
            <w:col w:w="3860"/>
          </w:cols>
          <w:pgMar w:left="240" w:top="229" w:right="25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71" w:lineRule="exact"/>
        <w:rPr>
          <w:sz w:val="24"/>
          <w:szCs w:val="24"/>
          <w:color w:val="auto"/>
        </w:rPr>
      </w:pPr>
    </w:p>
    <w:p>
      <w:pPr>
        <w:sectPr>
          <w:pgSz w:w="11900" w:h="16838" w:orient="portrait"/>
          <w:cols w:equalWidth="0" w:num="2">
            <w:col w:w="6220" w:space="720"/>
            <w:col w:w="4460"/>
          </w:cols>
          <w:pgMar w:left="240" w:top="229"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4820 Eastgate Mall, Suite 200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(858) 812-7300</w:t>
      </w:r>
    </w:p>
    <w:p>
      <w:pPr>
        <w:sectPr>
          <w:pgSz w:w="11900" w:h="16838" w:orient="portrait"/>
          <w:cols w:equalWidth="0" w:num="1">
            <w:col w:w="11400"/>
          </w:cols>
          <w:pgMar w:left="240" w:top="229" w:right="259" w:bottom="144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w:t>
      </w:r>
    </w:p>
    <w:p>
      <w:pPr>
        <w:jc w:val="center"/>
        <w:ind w:right="-39"/>
        <w:spacing w:after="0"/>
        <w:rPr>
          <w:sz w:val="20"/>
          <w:szCs w:val="20"/>
          <w:color w:val="auto"/>
        </w:rPr>
      </w:pPr>
      <w:r>
        <w:rPr>
          <w:rFonts w:ascii="Times New Roman" w:cs="Times New Roman" w:eastAsia="Times New Roman" w:hAnsi="Times New Roman"/>
          <w:sz w:val="14"/>
          <w:szCs w:val="14"/>
          <w:color w:val="auto"/>
        </w:rPr>
        <w:t>area code, of Registrant’s principal executive offices)</w:t>
      </w: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1"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900" w:type="dxa"/>
            <w:vAlign w:val="bottom"/>
            <w:gridSpan w:val="2"/>
          </w:tcPr>
          <w:p>
            <w:pPr>
              <w:jc w:val="center"/>
              <w:ind w:right="2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81"/>
        </w:trPr>
        <w:tc>
          <w:tcPr>
            <w:tcW w:w="48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color w:val="auto"/>
              </w:rPr>
              <w:t>Common Stock, par value $0.001</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270"/>
        </w:trPr>
        <w:tc>
          <w:tcPr>
            <w:tcW w:w="486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color w:val="auto"/>
              </w:rPr>
              <w:t>Right to purchase Shares of Series C Preferred Stock</w:t>
            </w:r>
          </w:p>
        </w:tc>
        <w:tc>
          <w:tcPr>
            <w:tcW w:w="2680" w:type="dxa"/>
            <w:vAlign w:val="bottom"/>
          </w:tcPr>
          <w:p>
            <w:pPr>
              <w:spacing w:after="0"/>
              <w:rPr>
                <w:sz w:val="23"/>
                <w:szCs w:val="23"/>
                <w:color w:val="auto"/>
              </w:rPr>
            </w:pPr>
          </w:p>
        </w:tc>
      </w:tr>
    </w:tbl>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ind w:left="340" w:right="338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69" w:lineRule="exact"/>
        <w:rPr>
          <w:sz w:val="24"/>
          <w:szCs w:val="24"/>
          <w:color w:val="auto"/>
        </w:rPr>
      </w:pPr>
    </w:p>
    <w:p>
      <w:pPr>
        <w:ind w:right="40" w:firstLine="32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233" w:lineRule="exact"/>
        <w:rPr>
          <w:sz w:val="24"/>
          <w:szCs w:val="24"/>
          <w:color w:val="auto"/>
        </w:rPr>
      </w:pPr>
    </w:p>
    <w:p>
      <w:pPr>
        <w:ind w:right="3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9"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1980" w:type="dxa"/>
        <w:tblCellMar>
          <w:top w:w="0" w:type="dxa"/>
          <w:left w:w="0" w:type="dxa"/>
          <w:bottom w:w="0" w:type="dxa"/>
          <w:right w:w="0" w:type="dxa"/>
        </w:tblCellMar>
      </w:tblPr>
      <w:tr>
        <w:trPr>
          <w:trHeight w:val="226"/>
        </w:trPr>
        <w:tc>
          <w:tcPr>
            <w:tcW w:w="392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Large accelerated filer o</w:t>
            </w:r>
          </w:p>
        </w:tc>
        <w:tc>
          <w:tcPr>
            <w:tcW w:w="2920" w:type="dxa"/>
            <w:vAlign w:val="bottom"/>
          </w:tcPr>
          <w:p>
            <w:pPr>
              <w:jc w:val="center"/>
              <w:ind w:left="1168"/>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70"/>
        </w:trPr>
        <w:tc>
          <w:tcPr>
            <w:tcW w:w="392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Non-accelerated filer o</w:t>
            </w:r>
          </w:p>
        </w:tc>
        <w:tc>
          <w:tcPr>
            <w:tcW w:w="2920" w:type="dxa"/>
            <w:vAlign w:val="bottom"/>
          </w:tcPr>
          <w:p>
            <w:pPr>
              <w:jc w:val="center"/>
              <w:ind w:left="1168"/>
              <w:spacing w:after="0"/>
              <w:rPr>
                <w:sz w:val="20"/>
                <w:szCs w:val="20"/>
                <w:color w:val="auto"/>
              </w:rPr>
            </w:pPr>
            <w:r>
              <w:rPr>
                <w:rFonts w:ascii="Times New Roman" w:cs="Times New Roman" w:eastAsia="Times New Roman" w:hAnsi="Times New Roman"/>
                <w:sz w:val="14"/>
                <w:szCs w:val="14"/>
                <w:color w:val="auto"/>
              </w:rPr>
              <w:t>Smaller reporting company o</w:t>
            </w:r>
          </w:p>
        </w:tc>
      </w:tr>
      <w:tr>
        <w:trPr>
          <w:trHeight w:val="203"/>
        </w:trPr>
        <w:tc>
          <w:tcPr>
            <w:tcW w:w="392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920" w:type="dxa"/>
            <w:vAlign w:val="bottom"/>
          </w:tcPr>
          <w:p>
            <w:pPr>
              <w:spacing w:after="0"/>
              <w:rPr>
                <w:sz w:val="17"/>
                <w:szCs w:val="17"/>
                <w:color w:val="auto"/>
              </w:rPr>
            </w:pPr>
          </w:p>
        </w:tc>
      </w:tr>
    </w:tbl>
    <w:p>
      <w:pPr>
        <w:spacing w:after="0" w:line="140"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as of June 29, 2014, the last business day of the registrant's most recently completed second fiscal quarter, was approximately $349.4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30, 2013 because such persons may be deemed to be affiliates. This determination of affiliate status is not necessarily a conclusive determination for any other purpose.</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6, 2015, 58,273,919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246380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263525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Items 10, 11, 12, 13 and 14 of Part III of this annual report on Form 10-K incorporate information by reference from the registrant's definitive proxy statement filed pursuant to Regulation 14A in connection with the registrant's 2015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20" w:type="dxa"/>
            <w:vAlign w:val="bottom"/>
            <w:gridSpan w:val="11"/>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KRATOS DEFENSE &amp; SECURITY SOLUTIONS, INC.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80" w:type="dxa"/>
            <w:vAlign w:val="bottom"/>
            <w:gridSpan w:val="7"/>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1"/>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28, 2014</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gridSpan w:val="8"/>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0" w:type="dxa"/>
            <w:vAlign w:val="bottom"/>
            <w:gridSpan w:val="6"/>
            <w:vMerge w:val="restart"/>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0"/>
              </w:rPr>
            </w:pPr>
            <w:hyperlink w:anchor="page4">
              <w:r>
                <w:rPr>
                  <w:rFonts w:ascii="Times New Roman" w:cs="Times New Roman" w:eastAsia="Times New Roman" w:hAnsi="Times New Roman"/>
                  <w:sz w:val="18"/>
                  <w:szCs w:val="18"/>
                  <w:color w:val="0000EE"/>
                  <w:w w:val="90"/>
                </w:rPr>
                <w:t>Item 1.</w:t>
              </w:r>
            </w:hyperlink>
          </w:p>
        </w:tc>
        <w:tc>
          <w:tcPr>
            <w:tcW w:w="80" w:type="dxa"/>
            <w:vAlign w:val="bottom"/>
            <w:tcBorders>
              <w:top w:val="single" w:sz="8" w:color="0000EE"/>
            </w:tcBorders>
          </w:tcPr>
          <w:p>
            <w:pPr>
              <w:spacing w:after="0"/>
              <w:rPr>
                <w:sz w:val="21"/>
                <w:szCs w:val="21"/>
                <w:color w:val="auto"/>
              </w:rPr>
            </w:pPr>
          </w:p>
        </w:tc>
        <w:tc>
          <w:tcPr>
            <w:tcW w:w="460" w:type="dxa"/>
            <w:vAlign w:val="bottom"/>
            <w:gridSpan w:val="4"/>
          </w:tcPr>
          <w:p>
            <w:pPr>
              <w:spacing w:after="0"/>
              <w:rPr>
                <w:sz w:val="21"/>
                <w:szCs w:val="21"/>
                <w:color w:val="auto"/>
              </w:rPr>
            </w:pP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220" w:type="dxa"/>
            <w:vAlign w:val="bottom"/>
            <w:gridSpan w:val="17"/>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14">
              <w:r>
                <w:rPr>
                  <w:rFonts w:ascii="Times New Roman" w:cs="Times New Roman" w:eastAsia="Times New Roman" w:hAnsi="Times New Roman"/>
                  <w:sz w:val="18"/>
                  <w:szCs w:val="18"/>
                  <w:color w:val="0000EE"/>
                  <w:w w:val="84"/>
                </w:rPr>
                <w:t>Item 1A.</w:t>
              </w:r>
            </w:hyperlink>
          </w:p>
        </w:tc>
        <w:tc>
          <w:tcPr>
            <w:tcW w:w="460" w:type="dxa"/>
            <w:vAlign w:val="bottom"/>
            <w:gridSpan w:val="4"/>
          </w:tcPr>
          <w:p>
            <w:pPr>
              <w:spacing w:after="0"/>
              <w:rPr>
                <w:sz w:val="21"/>
                <w:szCs w:val="21"/>
                <w:color w:val="auto"/>
              </w:rPr>
            </w:pPr>
          </w:p>
        </w:tc>
        <w:tc>
          <w:tcPr>
            <w:tcW w:w="900" w:type="dxa"/>
            <w:vAlign w:val="bottom"/>
            <w:gridSpan w:val="3"/>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Risk Factors</w:t>
              </w:r>
            </w:hyperlink>
          </w:p>
        </w:tc>
        <w:tc>
          <w:tcPr>
            <w:tcW w:w="796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32">
              <w:r>
                <w:rPr>
                  <w:rFonts w:ascii="Times New Roman" w:cs="Times New Roman" w:eastAsia="Times New Roman" w:hAnsi="Times New Roman"/>
                  <w:sz w:val="18"/>
                  <w:szCs w:val="18"/>
                  <w:color w:val="0000EE"/>
                  <w:w w:val="85"/>
                </w:rPr>
                <w:t>Item 1B.</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Unresolved Staff Comments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2">
              <w:r>
                <w:rPr>
                  <w:rFonts w:ascii="Times New Roman" w:cs="Times New Roman" w:eastAsia="Times New Roman" w:hAnsi="Times New Roman"/>
                  <w:sz w:val="18"/>
                  <w:szCs w:val="18"/>
                  <w:color w:val="0000EE"/>
                  <w:w w:val="90"/>
                </w:rPr>
                <w:t>Item 2.</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2040" w:type="dxa"/>
            <w:vAlign w:val="bottom"/>
            <w:gridSpan w:val="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Properties</w:t>
              </w:r>
            </w:hyperlink>
          </w:p>
        </w:tc>
        <w:tc>
          <w:tcPr>
            <w:tcW w:w="682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2">
              <w:r>
                <w:rPr>
                  <w:rFonts w:ascii="Times New Roman" w:cs="Times New Roman" w:eastAsia="Times New Roman" w:hAnsi="Times New Roman"/>
                  <w:sz w:val="18"/>
                  <w:szCs w:val="18"/>
                  <w:color w:val="0000EE"/>
                  <w:w w:val="90"/>
                </w:rPr>
                <w:t>Item 3.</w:t>
              </w:r>
            </w:hyperlink>
          </w:p>
        </w:tc>
        <w:tc>
          <w:tcPr>
            <w:tcW w:w="540" w:type="dxa"/>
            <w:vAlign w:val="bottom"/>
            <w:gridSpan w:val="5"/>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2">
              <w:r>
                <w:rPr>
                  <w:rFonts w:ascii="Times New Roman" w:cs="Times New Roman" w:eastAsia="Times New Roman" w:hAnsi="Times New Roman"/>
                  <w:sz w:val="18"/>
                  <w:szCs w:val="18"/>
                  <w:color w:val="0000EE"/>
                  <w:w w:val="90"/>
                </w:rPr>
                <w:t>Item 4.</w:t>
              </w:r>
            </w:hyperlink>
          </w:p>
        </w:tc>
        <w:tc>
          <w:tcPr>
            <w:tcW w:w="540" w:type="dxa"/>
            <w:vAlign w:val="bottom"/>
            <w:gridSpan w:val="5"/>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4"/>
              </w:rPr>
            </w:pPr>
            <w:hyperlink w:anchor="page32">
              <w:r>
                <w:rPr>
                  <w:rFonts w:ascii="Times New Roman" w:cs="Times New Roman" w:eastAsia="Times New Roman" w:hAnsi="Times New Roman"/>
                  <w:sz w:val="18"/>
                  <w:szCs w:val="18"/>
                  <w:b w:val="1"/>
                  <w:bCs w:val="1"/>
                  <w:color w:val="0000EE"/>
                  <w:w w:val="94"/>
                </w:rPr>
                <w:t>PART II</w:t>
              </w:r>
            </w:hyperlink>
          </w:p>
        </w:tc>
        <w:tc>
          <w:tcPr>
            <w:tcW w:w="3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2">
              <w:r>
                <w:rPr>
                  <w:rFonts w:ascii="Times New Roman" w:cs="Times New Roman" w:eastAsia="Times New Roman" w:hAnsi="Times New Roman"/>
                  <w:sz w:val="18"/>
                  <w:szCs w:val="18"/>
                  <w:color w:val="0000EE"/>
                  <w:w w:val="90"/>
                </w:rPr>
                <w:t>Item 5.</w:t>
              </w:r>
            </w:hyperlink>
          </w:p>
        </w:tc>
        <w:tc>
          <w:tcPr>
            <w:tcW w:w="540" w:type="dxa"/>
            <w:vAlign w:val="bottom"/>
            <w:gridSpan w:val="5"/>
          </w:tcPr>
          <w:p>
            <w:pPr>
              <w:spacing w:after="0"/>
              <w:rPr>
                <w:sz w:val="21"/>
                <w:szCs w:val="21"/>
                <w:color w:val="auto"/>
              </w:rPr>
            </w:pPr>
          </w:p>
        </w:tc>
        <w:tc>
          <w:tcPr>
            <w:tcW w:w="8320" w:type="dxa"/>
            <w:vAlign w:val="bottom"/>
            <w:gridSpan w:val="17"/>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Market for the Registrant's Common Equity, Related Stockholder Matters and Issuer Purchases of Equity Securities</w:t>
              </w:r>
            </w:hyperlink>
          </w:p>
        </w:tc>
        <w:tc>
          <w:tcPr>
            <w:tcW w:w="54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4">
              <w:r>
                <w:rPr>
                  <w:rFonts w:ascii="Times New Roman" w:cs="Times New Roman" w:eastAsia="Times New Roman" w:hAnsi="Times New Roman"/>
                  <w:sz w:val="18"/>
                  <w:szCs w:val="18"/>
                  <w:color w:val="0000EE"/>
                  <w:w w:val="90"/>
                </w:rPr>
                <w:t>Item 6.</w:t>
              </w:r>
            </w:hyperlink>
          </w:p>
        </w:tc>
        <w:tc>
          <w:tcPr>
            <w:tcW w:w="540" w:type="dxa"/>
            <w:vAlign w:val="bottom"/>
            <w:gridSpan w:val="5"/>
          </w:tcPr>
          <w:p>
            <w:pPr>
              <w:spacing w:after="0"/>
              <w:rPr>
                <w:sz w:val="21"/>
                <w:szCs w:val="21"/>
                <w:color w:val="auto"/>
              </w:rPr>
            </w:pPr>
          </w:p>
        </w:tc>
        <w:tc>
          <w:tcPr>
            <w:tcW w:w="832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Selected Financial Data</w:t>
              </w:r>
            </w:hyperlink>
          </w:p>
        </w:tc>
        <w:tc>
          <w:tcPr>
            <w:tcW w:w="54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36">
              <w:r>
                <w:rPr>
                  <w:rFonts w:ascii="Times New Roman" w:cs="Times New Roman" w:eastAsia="Times New Roman" w:hAnsi="Times New Roman"/>
                  <w:sz w:val="18"/>
                  <w:szCs w:val="18"/>
                  <w:color w:val="0000EE"/>
                  <w:w w:val="90"/>
                </w:rPr>
                <w:t>Item 7.</w:t>
              </w:r>
            </w:hyperlink>
          </w:p>
        </w:tc>
        <w:tc>
          <w:tcPr>
            <w:tcW w:w="540" w:type="dxa"/>
            <w:vAlign w:val="bottom"/>
            <w:gridSpan w:val="5"/>
          </w:tcPr>
          <w:p>
            <w:pPr>
              <w:spacing w:after="0"/>
              <w:rPr>
                <w:sz w:val="21"/>
                <w:szCs w:val="21"/>
                <w:color w:val="auto"/>
              </w:rPr>
            </w:pPr>
          </w:p>
        </w:tc>
        <w:tc>
          <w:tcPr>
            <w:tcW w:w="6440" w:type="dxa"/>
            <w:vAlign w:val="bottom"/>
            <w:gridSpan w:val="14"/>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58">
              <w:r>
                <w:rPr>
                  <w:rFonts w:ascii="Times New Roman" w:cs="Times New Roman" w:eastAsia="Times New Roman" w:hAnsi="Times New Roman"/>
                  <w:sz w:val="18"/>
                  <w:szCs w:val="18"/>
                  <w:color w:val="0000EE"/>
                  <w:w w:val="84"/>
                </w:rPr>
                <w:t>Item 7A.</w:t>
              </w:r>
            </w:hyperlink>
          </w:p>
        </w:tc>
        <w:tc>
          <w:tcPr>
            <w:tcW w:w="460" w:type="dxa"/>
            <w:vAlign w:val="bottom"/>
            <w:gridSpan w:val="4"/>
          </w:tcPr>
          <w:p>
            <w:pPr>
              <w:spacing w:after="0"/>
              <w:rPr>
                <w:sz w:val="21"/>
                <w:szCs w:val="21"/>
                <w:color w:val="auto"/>
              </w:rPr>
            </w:pPr>
          </w:p>
        </w:tc>
        <w:tc>
          <w:tcPr>
            <w:tcW w:w="4360" w:type="dxa"/>
            <w:vAlign w:val="bottom"/>
            <w:gridSpan w:val="12"/>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Quantitative and Qualitative Disclosures About Market Risk</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58">
              <w:r>
                <w:rPr>
                  <w:rFonts w:ascii="Times New Roman" w:cs="Times New Roman" w:eastAsia="Times New Roman" w:hAnsi="Times New Roman"/>
                  <w:sz w:val="18"/>
                  <w:szCs w:val="18"/>
                  <w:color w:val="0000EE"/>
                  <w:w w:val="90"/>
                </w:rPr>
                <w:t>Item 8.</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4360" w:type="dxa"/>
            <w:vAlign w:val="bottom"/>
            <w:gridSpan w:val="12"/>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Times New Roman" w:cs="Times New Roman" w:eastAsia="Times New Roman" w:hAnsi="Times New Roman"/>
                <w:sz w:val="18"/>
                <w:szCs w:val="18"/>
                <w:color w:val="0000EE"/>
                <w:w w:val="90"/>
              </w:rPr>
            </w:pPr>
            <w:hyperlink w:anchor="page58">
              <w:r>
                <w:rPr>
                  <w:rFonts w:ascii="Times New Roman" w:cs="Times New Roman" w:eastAsia="Times New Roman" w:hAnsi="Times New Roman"/>
                  <w:sz w:val="18"/>
                  <w:szCs w:val="18"/>
                  <w:color w:val="0000EE"/>
                  <w:w w:val="90"/>
                </w:rPr>
                <w:t>Item 9.</w:t>
              </w:r>
            </w:hyperlink>
          </w:p>
        </w:tc>
        <w:tc>
          <w:tcPr>
            <w:tcW w:w="540" w:type="dxa"/>
            <w:vAlign w:val="bottom"/>
            <w:gridSpan w:val="5"/>
          </w:tcPr>
          <w:p>
            <w:pPr>
              <w:spacing w:after="0"/>
              <w:rPr>
                <w:sz w:val="21"/>
                <w:szCs w:val="21"/>
                <w:color w:val="auto"/>
              </w:rPr>
            </w:pPr>
          </w:p>
        </w:tc>
        <w:tc>
          <w:tcPr>
            <w:tcW w:w="6480" w:type="dxa"/>
            <w:vAlign w:val="bottom"/>
            <w:gridSpan w:val="15"/>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58">
              <w:r>
                <w:rPr>
                  <w:rFonts w:ascii="Times New Roman" w:cs="Times New Roman" w:eastAsia="Times New Roman" w:hAnsi="Times New Roman"/>
                  <w:sz w:val="18"/>
                  <w:szCs w:val="18"/>
                  <w:color w:val="0000EE"/>
                  <w:w w:val="84"/>
                </w:rPr>
                <w:t>Item 9A.</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Controls and Procedures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60">
              <w:r>
                <w:rPr>
                  <w:rFonts w:ascii="Times New Roman" w:cs="Times New Roman" w:eastAsia="Times New Roman" w:hAnsi="Times New Roman"/>
                  <w:sz w:val="18"/>
                  <w:szCs w:val="18"/>
                  <w:color w:val="0000EE"/>
                  <w:w w:val="85"/>
                </w:rPr>
                <w:t>Item 9B.</w:t>
              </w:r>
            </w:hyperlink>
          </w:p>
        </w:tc>
        <w:tc>
          <w:tcPr>
            <w:tcW w:w="460" w:type="dxa"/>
            <w:vAlign w:val="bottom"/>
            <w:gridSpan w:val="4"/>
          </w:tcPr>
          <w:p>
            <w:pPr>
              <w:spacing w:after="0"/>
              <w:rPr>
                <w:sz w:val="21"/>
                <w:szCs w:val="21"/>
                <w:color w:val="auto"/>
              </w:rPr>
            </w:pPr>
          </w:p>
        </w:tc>
        <w:tc>
          <w:tcPr>
            <w:tcW w:w="1700" w:type="dxa"/>
            <w:vAlign w:val="bottom"/>
            <w:gridSpan w:val="5"/>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c>
          <w:tcPr>
            <w:tcW w:w="71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6"/>
              </w:rPr>
            </w:pPr>
            <w:hyperlink w:anchor="page60">
              <w:r>
                <w:rPr>
                  <w:rFonts w:ascii="Times New Roman" w:cs="Times New Roman" w:eastAsia="Times New Roman" w:hAnsi="Times New Roman"/>
                  <w:sz w:val="18"/>
                  <w:szCs w:val="18"/>
                  <w:b w:val="1"/>
                  <w:bCs w:val="1"/>
                  <w:color w:val="0000EE"/>
                  <w:w w:val="96"/>
                </w:rPr>
                <w:t>PART III</w:t>
              </w:r>
            </w:hyperlink>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60">
              <w:r>
                <w:rPr>
                  <w:rFonts w:ascii="Times New Roman" w:cs="Times New Roman" w:eastAsia="Times New Roman" w:hAnsi="Times New Roman"/>
                  <w:sz w:val="18"/>
                  <w:szCs w:val="18"/>
                  <w:color w:val="0000EE"/>
                  <w:w w:val="89"/>
                </w:rPr>
                <w:t>Item 10.</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Directors, Executive Officers and Corporate Governance</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60">
              <w:r>
                <w:rPr>
                  <w:rFonts w:ascii="Times New Roman" w:cs="Times New Roman" w:eastAsia="Times New Roman" w:hAnsi="Times New Roman"/>
                  <w:sz w:val="18"/>
                  <w:szCs w:val="18"/>
                  <w:color w:val="0000EE"/>
                  <w:w w:val="89"/>
                </w:rPr>
                <w:t>Item 11.</w:t>
              </w:r>
            </w:hyperlink>
          </w:p>
        </w:tc>
        <w:tc>
          <w:tcPr>
            <w:tcW w:w="460" w:type="dxa"/>
            <w:vAlign w:val="bottom"/>
            <w:gridSpan w:val="4"/>
          </w:tcPr>
          <w:p>
            <w:pPr>
              <w:spacing w:after="0"/>
              <w:rPr>
                <w:sz w:val="21"/>
                <w:szCs w:val="21"/>
                <w:color w:val="auto"/>
              </w:rPr>
            </w:pPr>
          </w:p>
        </w:tc>
        <w:tc>
          <w:tcPr>
            <w:tcW w:w="4080" w:type="dxa"/>
            <w:vAlign w:val="bottom"/>
            <w:gridSpan w:val="11"/>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Executive Compensation</w:t>
              </w:r>
            </w:hyperlink>
          </w:p>
        </w:tc>
        <w:tc>
          <w:tcPr>
            <w:tcW w:w="478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60">
              <w:r>
                <w:rPr>
                  <w:rFonts w:ascii="Times New Roman" w:cs="Times New Roman" w:eastAsia="Times New Roman" w:hAnsi="Times New Roman"/>
                  <w:sz w:val="18"/>
                  <w:szCs w:val="18"/>
                  <w:color w:val="0000EE"/>
                  <w:w w:val="89"/>
                </w:rPr>
                <w:t>Item 12.</w:t>
              </w:r>
            </w:hyperlink>
          </w:p>
        </w:tc>
        <w:tc>
          <w:tcPr>
            <w:tcW w:w="460" w:type="dxa"/>
            <w:vAlign w:val="bottom"/>
            <w:gridSpan w:val="4"/>
          </w:tcPr>
          <w:p>
            <w:pPr>
              <w:spacing w:after="0"/>
              <w:rPr>
                <w:sz w:val="21"/>
                <w:szCs w:val="21"/>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60">
              <w:r>
                <w:rPr>
                  <w:rFonts w:ascii="Times New Roman" w:cs="Times New Roman" w:eastAsia="Times New Roman" w:hAnsi="Times New Roman"/>
                  <w:sz w:val="18"/>
                  <w:szCs w:val="18"/>
                  <w:color w:val="0000EE"/>
                  <w:w w:val="89"/>
                </w:rPr>
                <w:t>Item 13.</w:t>
              </w:r>
            </w:hyperlink>
          </w:p>
        </w:tc>
        <w:tc>
          <w:tcPr>
            <w:tcW w:w="460" w:type="dxa"/>
            <w:vAlign w:val="bottom"/>
            <w:gridSpan w:val="4"/>
          </w:tcPr>
          <w:p>
            <w:pPr>
              <w:spacing w:after="0"/>
              <w:rPr>
                <w:sz w:val="21"/>
                <w:szCs w:val="21"/>
                <w:color w:val="auto"/>
              </w:rPr>
            </w:pPr>
          </w:p>
        </w:tc>
        <w:tc>
          <w:tcPr>
            <w:tcW w:w="7280" w:type="dxa"/>
            <w:vAlign w:val="bottom"/>
            <w:gridSpan w:val="16"/>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60">
              <w:r>
                <w:rPr>
                  <w:rFonts w:ascii="Times New Roman" w:cs="Times New Roman" w:eastAsia="Times New Roman" w:hAnsi="Times New Roman"/>
                  <w:sz w:val="18"/>
                  <w:szCs w:val="18"/>
                  <w:color w:val="0000EE"/>
                  <w:w w:val="89"/>
                </w:rPr>
                <w:t>Item 14.</w:t>
              </w:r>
            </w:hyperlink>
          </w:p>
        </w:tc>
        <w:tc>
          <w:tcPr>
            <w:tcW w:w="460" w:type="dxa"/>
            <w:vAlign w:val="bottom"/>
            <w:gridSpan w:val="4"/>
          </w:tcPr>
          <w:p>
            <w:pPr>
              <w:spacing w:after="0"/>
              <w:rPr>
                <w:sz w:val="21"/>
                <w:szCs w:val="21"/>
                <w:color w:val="auto"/>
              </w:rPr>
            </w:pPr>
          </w:p>
        </w:tc>
        <w:tc>
          <w:tcPr>
            <w:tcW w:w="5440" w:type="dxa"/>
            <w:vAlign w:val="bottom"/>
            <w:gridSpan w:val="13"/>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Principal Accounting Fees and Services</w:t>
              </w:r>
            </w:hyperlink>
          </w:p>
        </w:tc>
        <w:tc>
          <w:tcPr>
            <w:tcW w:w="342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5"/>
              </w:rPr>
            </w:pPr>
            <w:hyperlink w:anchor="page60">
              <w:r>
                <w:rPr>
                  <w:rFonts w:ascii="Times New Roman" w:cs="Times New Roman" w:eastAsia="Times New Roman" w:hAnsi="Times New Roman"/>
                  <w:sz w:val="18"/>
                  <w:szCs w:val="18"/>
                  <w:b w:val="1"/>
                  <w:bCs w:val="1"/>
                  <w:color w:val="0000EE"/>
                  <w:w w:val="95"/>
                </w:rPr>
                <w:t>PART IV</w:t>
              </w:r>
            </w:hyperlink>
          </w:p>
        </w:tc>
        <w:tc>
          <w:tcPr>
            <w:tcW w:w="3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61">
              <w:r>
                <w:rPr>
                  <w:rFonts w:ascii="Times New Roman" w:cs="Times New Roman" w:eastAsia="Times New Roman" w:hAnsi="Times New Roman"/>
                  <w:sz w:val="18"/>
                  <w:szCs w:val="18"/>
                  <w:color w:val="0000EE"/>
                  <w:w w:val="89"/>
                </w:rPr>
                <w:t>Item 15.</w:t>
              </w:r>
            </w:hyperlink>
          </w:p>
        </w:tc>
        <w:tc>
          <w:tcPr>
            <w:tcW w:w="460" w:type="dxa"/>
            <w:vAlign w:val="bottom"/>
            <w:gridSpan w:val="4"/>
          </w:tcPr>
          <w:p>
            <w:pPr>
              <w:spacing w:after="0"/>
              <w:rPr>
                <w:sz w:val="21"/>
                <w:szCs w:val="21"/>
                <w:color w:val="auto"/>
              </w:rPr>
            </w:pPr>
          </w:p>
        </w:tc>
        <w:tc>
          <w:tcPr>
            <w:tcW w:w="2900" w:type="dxa"/>
            <w:vAlign w:val="bottom"/>
            <w:gridSpan w:val="9"/>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Exhibits, Financial Statement Schedules</w:t>
              </w:r>
            </w:hyperlink>
          </w:p>
        </w:tc>
        <w:tc>
          <w:tcPr>
            <w:tcW w:w="59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50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Borders>
              <w:top w:val="single" w:sz="8" w:color="0000EE"/>
            </w:tcBorders>
            <w:gridSpan w:val="9"/>
          </w:tcPr>
          <w:p>
            <w:pPr>
              <w:spacing w:after="0"/>
              <w:rPr>
                <w:sz w:val="24"/>
                <w:szCs w:val="24"/>
                <w:color w:val="auto"/>
              </w:rPr>
            </w:pPr>
          </w:p>
        </w:tc>
        <w:tc>
          <w:tcPr>
            <w:tcW w:w="254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references to “us,” “we,” “our,” the “Company” and “Kratos” refer to Kratos Defense &amp; Security Solutions, Inc., a Delaware Corporation, and its subsidiaries.</w:t>
      </w:r>
    </w:p>
    <w:p>
      <w:pPr>
        <w:spacing w:after="0" w:line="133"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5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 specialized technology focused security business providing mission critical products, solutions and services for domestic and international customers, with our principal customers being agencies of the U.S. Government. Our core capabilities are sophisticated engineering, manufacturing, technology development, system integration, and test and evaluation offerings for national security platforms and programs. Our principal products and solutions are related to Command, Control, Communications, Computing, Combat Systems, Intelligence, Surveillance and Reconnaissance (“C5ISR”). We offer our customers products, solutions, services and expertise to support their mission critical needs by leveraging our skills across our core offering areas in C5ISR.</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design, engineer and manufacture specialized electronic products, components, subsystems and systems for intelligence, surveillance, and reconnaissance (ISR), electronic attack, electronic warfare, radar, and missile system platforms; integrated product, software and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customer base, strong customer relationships, intellectual property, broad array of contract vehicles, "designed in" positions on strategic national security platforms, large technically oriented employee base possessing specialized skills, specialized manufacturing facilities and equipment, extensive list of past performance qualifications, and significant management and operational capabilities position us for success.</w:t>
      </w:r>
    </w:p>
    <w:p>
      <w:pPr>
        <w:spacing w:after="0" w:line="185"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New York on December 19, 1994 and began operations in March 1995. We reincorporated in the state of Delaware in 1998. We completed our exit of the commercial wireless industry, began building a national security focused business and changed the Company's name to Kratos Defense &amp; Security Solutions, Inc. in September 2007.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August 2011, Congress and the Administration enacted the Budget Control Act of 2011 (the “Budget Control Act”) in order to permit an increase in the federal government's borrowing limit while reducing projected net government spending over the next ten years. The Budget Control Act required $900 billion in immediate cuts to discretionary spending for 2012-2021. It also established a bi-partisan congressional Joint Select Committee on Deficit Reduction (the “Joint 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started in 2013 and continues over a nine-year period.</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fiscal year (the period running from October 1st to September 30th, a “FY”) 2013. The Office of Management and Budget (“OMB”) in its report to Congress of March 1, 2013, entitled “</w:t>
      </w:r>
      <w:r>
        <w:rPr>
          <w:rFonts w:ascii="Times New Roman" w:cs="Times New Roman" w:eastAsia="Times New Roman" w:hAnsi="Times New Roman"/>
          <w:sz w:val="18"/>
          <w:szCs w:val="18"/>
          <w:i w:val="1"/>
          <w:iCs w:val="1"/>
          <w:color w:val="auto"/>
        </w:rPr>
        <w:t>OMB Report to the Congress on the Joint Committee Sequestration,</w:t>
      </w:r>
      <w:r>
        <w:rPr>
          <w:rFonts w:ascii="Times New Roman" w:cs="Times New Roman" w:eastAsia="Times New Roman" w:hAnsi="Times New Roman"/>
          <w:sz w:val="18"/>
          <w:szCs w:val="18"/>
          <w:color w:val="auto"/>
        </w:rPr>
        <w:t>” calculated that, over the course of the FY 2013, the order required a 7.8 percent reduction in non-exempt defense discretionary funding and a 5.0 percent reduction in non-exempt non-defense discretionary funding. The sequestration also required reductions of 7.9 percent to non-exempt defense mandatory programs. The sequestration report provided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April 10, 2013, the President delivered his proposed 2014 budget to Congress. The President's $527 billion FY 2014 defense budget was slightly lower than final defense appropriations for FY 2013. While it largely reflected defense spending plans in the FY 2013 budget, it did not reflect the reductions mandated by Part II of the Budget Control Act. On October 17, 2013, H.R. 2775 the “Continuing Appropriations Act of 2014” was signed into law by the President, extending the debt ceiling through February 7, 2014 and temporarily restoring funding for government agencies. The legislation funded federal agencies through January 15, 2014, and at the FY 2013 enacted levels, which reflected the first sequestration cuts that took effect in March and a discretionary funding level of $986 billion, the amount available to the appropriators to fund FY 2014 federal government programs.</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19, 2013, Congress passed the Bipartisan Budget Act of 2013 (the "Bipartisan Budget"). The Bipartisan Budget is a two-year plan that set spending for the Pentagon and other federal agencies at $1.012 trillion for fiscal 2014. For FY 2015, overall spending will increase only slightly to $1.014 trillion. The Bipartisan Budget calls for extending part of the sequester into 2022 and 2023 to get an additional $23 billion in planned savings.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February 15, 2014 legislation was signed that raises the U.S. debt limit through approximately March 2015. In addition, appropriators passed legislation that offset a significant portion of the sequester cuts. This does translate to a better outlook for the defense industry than what was generally expected for both 2014 and 2015. However, we continue to expect lower or delayed awards on some of our programs, with a related negative impact on our revenues, earnings and cash flows.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March 2014, the Pentagon submitted its FY 2015 Budget Request of approximately $496 billion, which was consistent with the Bipartisan Budget Spending Authorization. Also in March 2014, the Pentagon published the Quadrennial Defense Review ("QDR"). Both the Pentagon’s FY 2015 Budget Request and the QDR provide important insights for future national security funding priorities and related programs, which include cyber security and warfare, unmanned systems, satellite communications, missile defense and electronic warfare.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September 2014, the President signed a FY2015 Continuing Resolution ("CR") that funded the government through December 11,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13, 2014, the Senate passed a $1.1 trillion omnibus appropriations bill, the “Consolidated and Further Continuing Appropriations Act, 2015. The legislation will fund most of the government through FY 2015. The Consolidated and Further Continuing Appropriations Act, 2015 includes the Department of Defense Appropriations Act of 2015, which provides $554.2 billion in base and overseas contingency operation funding, compared to $572 billion enacted in FY 2014 and $554.3 billion in the President’s budget request. The base budget appropriation was $496.1 billion, with $64.2 billion for Overseas Contingency Operations (OCO) of the Department of Defense (DoD), compared to $85.2 billion for DoD OCO enacted in FY 2014. On February 2, 2015, Congress was sent a proposed Fiscal Year (FY) 2016 Department of Defense budget request of $585.3 billion in discretionary budget authority to fund both base budget programs and Overseas Contingency Operations (OCO). The FY 2016 base budget of $534.3 billion includes an increase of $38.2 billion over the FY 2015 enacted budget of $496.1 billion. DoD’s FY 2016 OCO budget of $50.9 billion is $13.3 billion - or about 21 percent - lower than the FY 2015 enacted level of $64.2 billion, reflecting the end of the combat mission and the continued draw down of forces in Afghanistan. The combined request represents an increase of $24.9 billion or about four percent, reflecting the need to modernize the force for the future and respond to emerging security challenges.</w:t>
      </w:r>
    </w:p>
    <w:p>
      <w:pPr>
        <w:spacing w:after="0" w:line="19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FY 2016 budget supports the 2014 Quadrennial Defense Review (QDR) strategy, beginning with its three pillars: protect the homeland, build security globally, and project power and win decisively. The budget also reaffirms the five key priorities identified in the QDR. These include the re-balance to the Asia-Pacific region, a strong commitment to security and stability in Europe and the Middle East, a global approach to countering violent extremists, key investments in technology, and strengthening alliances and partnerships around the world.</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FY 2016 budget proposes investments in the modernization of key capability areas, including nuclear deterrence, space, missile defense, cyber security, and power protection. The budget also resubmits a number of critical reforms proposed in the FY 2015 budget, including improvements to DoD business operations, force structure modifications, streamlining our base infrastructure, strengthening sexual assault prevention and response programs, and providing for service members and their families. The budget maintains a prudent balance among Joint Force capacities, capabilities, and readiness, and continues to keep faith with service members and their families.</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a Fiscal 2016 Federal Budget is agreed to by the President and the Congress, Sequestration returns with the beginning of Federal Fiscal 2016, on October 1, 2015, and an approximate Base Defense Budget of $500 billion.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Reporting Segments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historically operated in two reportable segments: Kratos Government Solutions (“KGS”) and Public Safety &amp; Security (“PSS”). In the fourth quarter of 2014, we expanded the number of reportable segments to three as we separated the KGS segment into two reportable segments: KGS and Unmanned Systems (“US”). As a result, the KGS reportable segment is comprised of an aggregation of Kratos’ Government Solutions operating segments, including our electronic products, satellite communications, modular systems and rocket support operating segments. The Unmanned Systems reportable segment consists of our unmanned aerial system and unmanned ground system businesses operating segment. The PSS reportable segment remains unchanged. This change in segment reporting presentation does not change any consolidated totals. We made this segment reporting change because we believe that the new presentation will provide investors with greater insight into our consolidated results and operating performance. Throughout this filing, all segment information for the years ended December 31, 2013 and 2012 has been recast to conform to the new segment reporting presentation.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The consolidated financial statements in this Annual Report are presented in a manner consistent with our operating structure. For additional information regarding our reportable segments, see Note 14 of the Notes to Consolidated Financial Statements. From a customer and solutions perspective, we view our business as an integrated whole, leveraging skills and assets wherever possible.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Kratos Government Solutions Segment</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KGS segment provides C5ISR products, solutions and services primarily for strategic mission critical national security programs and priorities. Our primary end customers in the KGS segment are U.S. Government agencies, including the Department of Defense ("DoD"), classified agencies, intelligence agencies, civilian agencies, other national security agencies and homeland security related agencies. Certain other customers in the KGS segment include foreign governments, and to a lesser degree, commercial customers, both domestic and foreign. Our C5ISR products, solutions, and services include the following:</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Electronic Warfare/Attack and Intelligence, Reconnaissance and Surveillance. </w:t>
      </w:r>
      <w:r>
        <w:rPr>
          <w:rFonts w:ascii="Times New Roman" w:cs="Times New Roman" w:eastAsia="Times New Roman" w:hAnsi="Times New Roman"/>
          <w:sz w:val="18"/>
          <w:szCs w:val="18"/>
          <w:color w:val="auto"/>
        </w:rPr>
        <w:t>We design, engineer and manufacture a wide variety of radio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(“RF”) and microwave components, subsystems and systems for use in command and control systems, flight instrumentation, weapons sensors, radar, communication systems, electronic warfare, electronic attack and ISR systems. Our products are integrated into many of the DoD's ground, air, and sea-based CSISR platforms. Key programs include the Trident II D5 Missile, EA-18G Growler, P-8 Poseidon, E-2D Hawkeye, RC-135 Rivet Joint, F-15 Eagle, Gripen, F-16 Falcon, Eurofighter Typhoon, F-18 E/F Super Hornet, APR 39, AESA radar upgrades, SEWIP, AMRAAM, Iron Dome, Sling of David, Arrow, Barak, Spyder and Firefinder Radar.</w:t>
      </w:r>
    </w:p>
    <w:p>
      <w:pPr>
        <w:spacing w:after="0" w:line="14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Satellite Command and Control, Satellite Communications Support, Signal Monitoring, Interference Detection, and Geolocation. </w:t>
      </w:r>
      <w:r>
        <w:rPr>
          <w:rFonts w:ascii="Times New Roman" w:cs="Times New Roman" w:eastAsia="Times New Roman" w:hAnsi="Times New Roman"/>
          <w:sz w:val="18"/>
          <w:szCs w:val="18"/>
          <w:color w:val="auto"/>
        </w:rPr>
        <w:t>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solutions for the satellite communications and reconnaissance markets. Our products encompass satellite ground systems and infrastructure, including specialized equipment and proprietary software for satellite command and control. Our products and services are also focused on assured command and control of satellite links, including monitoring links between satellites, base stations, and mobile assets such as unmanned vehicles; assuring quality of service; and detecting, locating and defending against interference and cyber attacks. Our solutions are also deployed in support of many next-generation military, national security related and civilian satellite systems including GPS (OCX), environmental systems (GOES-R, NPP, NPOESS), strategic warning (SBIRS), communication systems (AEHF, WGS, MUOS, TDRSS, Iridium), confidential programs, micro satellite programs and a majority of global commercial SATCOM systems.</w:t>
      </w:r>
    </w:p>
    <w:p>
      <w:pPr>
        <w:spacing w:after="0" w:line="14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Ballistic Missile Defense Test and Evaluation. </w:t>
      </w:r>
      <w:r>
        <w:rPr>
          <w:rFonts w:ascii="Times New Roman" w:cs="Times New Roman" w:eastAsia="Times New Roman" w:hAnsi="Times New Roman"/>
          <w:sz w:val="18"/>
          <w:szCs w:val="18"/>
          <w:color w:val="auto"/>
        </w:rPr>
        <w:t>We have expertise in the area of ballistic missile test and evaluation products and services,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to AEGIS Ballistic Missile Defense and Missile defense Agency (MDA) missions. This includes exclusive rights to the marketing of the Oriole Rocket System for National Security related target products, solutions and services, sounding rockets and suborbital research. We possess both the intellectual property and subject matter expertise in sensors modeling and simulation associated with a wide range of missile technologies. This area of our business develops and produces cost effective ballistic missile defense targets. These ballistic missile targets or AEGIS Readiness Assessment Vehicles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ARAV”) are a key test and evaluation component for the U.S. AEGIS based Ballistic Missile Defense forces and MDA systems. We also provide technology, products, services and solutions related to hypersonic vehicles, directed energy weapons and the electromagnetic rail gun.</w:t>
      </w:r>
    </w:p>
    <w:p>
      <w:pPr>
        <w:spacing w:after="0" w:line="14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Cyber and IT. </w:t>
      </w:r>
      <w:r>
        <w:rPr>
          <w:rFonts w:ascii="Times New Roman" w:cs="Times New Roman" w:eastAsia="Times New Roman" w:hAnsi="Times New Roman"/>
          <w:sz w:val="18"/>
          <w:szCs w:val="18"/>
          <w:color w:val="auto"/>
        </w:rPr>
        <w:t>We provide a variety of cybersecurity products, solutions and services to the DoD, intelligence community and commercial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offer NeuralStar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dopplerVUE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our proprietary software based network management products, via software license and maintenance sales, which also serve as a platform for incremental network-based services work. We have extensive experience building complex and secure networks for the U.S. Government and possess in-depth experience with network operations centers. We also scan our customers' networks for cyber threats. We are involved in a wide range of services, including installation, upgrade and maintenance of command, control, computing, and surveillance systems for customers such as the Department of Homeland Security (“DHS”), the U.S. State Department and the Space and the Naval Warfare Systems Center.</w:t>
      </w:r>
    </w:p>
    <w:p>
      <w:pPr>
        <w:spacing w:after="0" w:line="16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Learning, Performance and Training Solutions. </w:t>
      </w:r>
      <w:r>
        <w:rPr>
          <w:rFonts w:ascii="Times New Roman" w:cs="Times New Roman" w:eastAsia="Times New Roman" w:hAnsi="Times New Roman"/>
          <w:sz w:val="18"/>
          <w:szCs w:val="18"/>
          <w:color w:val="auto"/>
        </w:rPr>
        <w:t>Our learning, performance and training solutions consist of a broad range of products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We design, manufacture and market full-scale training simulators for fixed-wing aircraft (Harrier and Prowler), rotary-wing aircraft (UH-60 Blackhawk, CH-47 Chinook, and CH-53 Sea Stallion) and ground combat vehicles (M1 Abrams Main Battle Tank, M2/M3 Bradley fighting vehicles and High Mobility Artillery Rocket Systems or HIMARS)), and Aircrew Virtual Environmental Trainer systems. We deliver training solutions and web-enabled or satellite-based interactive distance learning for customers in the DoD, other government agencies, universities and commercial organizations. Our training solutions include services, product development, and tools addressing a wide range of related disciplines that include deep human performance and competency-based needs analysis. We specialize in delivering full lifecycle manpower, personnel and training support for acquisition programs and a cross-domain analysis program supporting program systems integration requirements. Our innovative design and development group delivers training solutions that span classroom, field, e-learning, simulation, mobile and serious gaming delivery modalities as well as incorporating learning management services in our own learning management platform or customer-based solutions.</w:t>
      </w:r>
    </w:p>
    <w:p>
      <w:pPr>
        <w:spacing w:after="0" w:line="14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Missile Range Operations and Technical Services. </w:t>
      </w:r>
      <w:r>
        <w:rPr>
          <w:rFonts w:ascii="Times New Roman" w:cs="Times New Roman" w:eastAsia="Times New Roman" w:hAnsi="Times New Roman"/>
          <w:sz w:val="18"/>
          <w:szCs w:val="18"/>
          <w:color w:val="auto"/>
        </w:rPr>
        <w:t>A key area of differentiation for us is within the missile, gun range and related technical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areas. We have resources stationed at many major range locations throughout the U.S., including the Naval Air Warfare Center Pt. Mugu, the Hawaii Pacific Missile Range Facility, the White Sands Missile Range, New Mexico and the Naval Service Warfare Center Dahlgren Division. Our services include aerial target operations and maintenance, ballistic missile range defense system operations, surface and undersea target operations and maintenance, missile systems operations and maintenance, range s, range operations planning and support, test and evaluation target launch operations, hazardous materials management, supply and logistics support and manufacturing.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Weapon Systems Lifecycle Sustainment, Support and Extension. </w:t>
      </w:r>
      <w:r>
        <w:rPr>
          <w:rFonts w:ascii="Times New Roman" w:cs="Times New Roman" w:eastAsia="Times New Roman" w:hAnsi="Times New Roman"/>
          <w:sz w:val="18"/>
          <w:szCs w:val="18"/>
          <w:color w:val="auto"/>
        </w:rPr>
        <w:t>We provide weapons systems lifecycle sustainment, support, and extension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DoD and foreign governments. These services focus on maintaining, testing and repairing certain weapons systems such as the Chaparral, Avenger and HAWK missile systems.</w:t>
      </w:r>
    </w:p>
    <w:p>
      <w:pPr>
        <w:spacing w:after="0" w:line="174"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Manufacturing of Specialized Modular Systems, Tactical Combat Products, Shelters and Enclosures for C5ISR Systems, Command and Control Modular Systems for UAVs, Modular Data Centers and Critical Infrastructure Shelters, Weapons Systems and Warfighter Related Systems. </w:t>
      </w:r>
      <w:r>
        <w:rPr>
          <w:rFonts w:ascii="Times New Roman" w:cs="Times New Roman" w:eastAsia="Times New Roman" w:hAnsi="Times New Roman"/>
          <w:sz w:val="18"/>
          <w:szCs w:val="18"/>
          <w:color w:val="auto"/>
        </w:rPr>
        <w:t>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tactical combat vehicle shelters for C5ISR systems. We provide specialized modular systems for UASs, weapons systems, missile systems, radars, electromagnetic rail gun, directed energy weapon systems and warfighter related systems. Our specialized modular products include lightweight, high-strength enclosures for widely recognized military programs and platforms such as the Patriot Missile Defense system, Littoral Combat Ship and the DDG-1000 Destroyer. Our products and solutions are used to support UAS platforms such as the MQ 1C Gray Eagle, MQ-1C Sky Warrior, Gorgon Stare, MQ-8 Fire Scout, RQ-4B Broad Area Maritime Surveillance and the Persistent Threat Detection System ISR platform.Our modular data centers and critical infrastructure shelters are used for commercial applications as well as for the protection of U.S employees stationed in consulates and embassies throughout the world. Many of our products include high altitude electromagnetic pulse protection and other types of electromagnetic, electronic warfare and other protections. Our product design approach focuses on highly engineered enclosures and facilities that have the flexibility to be modified to very unique customer specifications. We routinely design, integrate and install other components and systems into our standard products, such as command, control and communication systems infrastructure, racks and cabinets and power distribution and lighting.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Unmanned Systems Segment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the US segment we design, engineer, manufacture, test, and operate composite unmanned aerial target drone systems such as the BQM-167A, BQM-167i, BQM-177A, BQM-177i, and BQM-178 or Firejet. We also supply UAS platforms with sensors, avionics and electronic components including electro-optical/infrared sensors, training systems and ground systems. We also manufacture and provide avionics systems and ground flight control systems. We have manufactured the air frame for the Miniature Air Launched Decoy (MALD) unmanned aerial system. We engineer, design, manufacture and operate command, control and communications systems for numerous unmanned ground and seaborne platforms and systems. We are currently in development of a high performance Unmanned Combat Aerial System (UCAS) utilizing our existing UAS technology, aircraft and assets.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Public Safety &amp; Security Segment (Critical Infrastructure Security)</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PSS segment provides independent integrated security solutions for homeland security, public safety, critical infrastructure, and strategic assets for government, industrial and commercial customers. Our solutions include designing, engineering, installing, operating and servicing physical security systems and technologies that protect people, critical infrastructure, strategic assets,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and services and product support services.</w:t>
      </w:r>
    </w:p>
    <w:p>
      <w:pPr>
        <w:spacing w:after="0" w:line="18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have comprehensive experience providing engineering and design services at any phase of a project lifecycle, including program management, engineering design, system engineering, operations and maintenance, and integrated telecommunications.</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Security Systems Integration. </w:t>
      </w:r>
      <w:r>
        <w:rPr>
          <w:rFonts w:ascii="Times New Roman" w:cs="Times New Roman" w:eastAsia="Times New Roman" w:hAnsi="Times New Roman"/>
          <w:sz w:val="18"/>
          <w:szCs w:val="18"/>
          <w:color w:val="auto"/>
        </w:rPr>
        <w:t>We have broad experience integrating security services and solutions across a number of network and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In particular, PSS has extensive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believe we have robust intellectual property, capabilities, customer relationships, platform positions and past performance qualifications in our respective business areas, including a work force that is experienced with the various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and platforms we support and the customers we serve. We believe the following key strengths distinguish us competitively:</w:t>
      </w:r>
    </w:p>
    <w:p>
      <w:pPr>
        <w:spacing w:after="0" w:line="22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Significant and highly specialized experience. </w:t>
      </w:r>
      <w:r>
        <w:rPr>
          <w:rFonts w:ascii="Times New Roman" w:cs="Times New Roman" w:eastAsia="Times New Roman" w:hAnsi="Times New Roman"/>
          <w:sz w:val="18"/>
          <w:szCs w:val="18"/>
          <w:color w:val="auto"/>
        </w:rPr>
        <w:t>Through existing customer engagements and the government-focused acquisitions we have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and completed over the past several years, we have amassed significant and highly specialized experience in areas directly related to C5ISR, including cybersecurity, cyberwarfare, information assurance and situational awareness; military range operations and technical services; missile, rocket, and weapons systems test and evaluation; mission launch services; modeling and simulation; UAS and UGS products and technology; advanced network engineering and IT services; and public safety, security and surveillance systems integration. We also produce products and provide solutions and services related to certain C5ISR platforms, unmanned system platforms, weapons systems, national security related assets and Warfighter systems. This collective experience, or past performance qualifications, is a requirement for the majority of our contract vehicles and customer engagements. Many of our approximately 3,600 employees have specialized national security expertise. Many of the products that we produce include or contain our intellectual property. Many of the program positions we have are on a “sole source” basis. We believe these characteristics represent a significant competitive strength and position us to win renewal or follow-on business.</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Specialized national security focus aligned with mission-critical national security priorities. </w:t>
      </w:r>
      <w:r>
        <w:rPr>
          <w:rFonts w:ascii="Times New Roman" w:cs="Times New Roman" w:eastAsia="Times New Roman" w:hAnsi="Times New Roman"/>
          <w:sz w:val="18"/>
          <w:szCs w:val="18"/>
          <w:color w:val="auto"/>
        </w:rPr>
        <w:t>Continued concerns related to the threats posed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foreign nations and terrorists have caused the U.S. Government to identify national security as an area of functional and spending priority. Budget pressures, particularly related to DoD spending, have placed a premium on developing and fielding relatively low-cost, high-technology solutions to assist in national security missions. Our primary capabilities and areas of focus, listed below, are strongly aligned with the objectives of the U.S. Government:</w:t>
      </w:r>
    </w:p>
    <w:p>
      <w:pPr>
        <w:spacing w:after="0" w:line="182" w:lineRule="exact"/>
        <w:rPr>
          <w:sz w:val="20"/>
          <w:szCs w:val="20"/>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systems</w:t>
      </w:r>
    </w:p>
    <w:p>
      <w:pPr>
        <w:spacing w:after="0" w:line="27"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communications and radio frequency detection</w:t>
      </w:r>
    </w:p>
    <w:p>
      <w:pPr>
        <w:spacing w:after="0" w:line="9"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warfare, attack, missile, and radar systems</w:t>
      </w:r>
    </w:p>
    <w:p>
      <w:pPr>
        <w:spacing w:after="0" w:line="9"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Intelligence, surveillance and reconnaissance</w:t>
      </w:r>
    </w:p>
    <w:p>
      <w:pPr>
        <w:spacing w:after="0" w:line="9"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Ballistic missile defense</w:t>
      </w:r>
    </w:p>
    <w:p>
      <w:pPr>
        <w:spacing w:after="0" w:line="9"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Command, control and combat systems</w:t>
      </w:r>
    </w:p>
    <w:p>
      <w:pPr>
        <w:spacing w:after="0" w:line="9"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information assurance</w:t>
      </w:r>
    </w:p>
    <w:p>
      <w:pPr>
        <w:spacing w:after="0" w:line="205"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Diverse base of key contracts with low concentration. </w:t>
      </w:r>
      <w:r>
        <w:rPr>
          <w:rFonts w:ascii="Times New Roman" w:cs="Times New Roman" w:eastAsia="Times New Roman" w:hAnsi="Times New Roman"/>
          <w:sz w:val="18"/>
          <w:szCs w:val="18"/>
          <w:color w:val="auto"/>
        </w:rPr>
        <w:t>Many of our contracts are single-award and or sole source in nature, where Kratos is the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awardee by the customer. In many cases, our ability to obtain single award, sole source contracts is due to our intellectual property, past performance qualifications and relative experience. Additionally, as a result of our business development focus on securing key contracts, we are also a preferred contractor on numerous multi-year, government-wide acquisition contracts (“GWACs”) and multiple award contracts ("MACs"). Our preferred contractor status provides us with the opportunity to bid on billions of dollars of business each year against a discrete number of other pre-qualified companies. We have a highly diverse base of contracts with no contract representing more than 5% of 2014 revenue. Our fixed-price contracts, almost all of which are production contracts, represent approximately 83% of our 2014 revenue. Our cost-plus-fee contracts and time and materials contracts represent approximately 12% and 5%, respectively, of our 2014 revenue. We believe our diverse base of key contracts and low reliance on any one contract provides us with a stable, balanced revenue stream.</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In-depth understanding of customer missions. </w:t>
      </w:r>
      <w:r>
        <w:rPr>
          <w:rFonts w:ascii="Times New Roman" w:cs="Times New Roman" w:eastAsia="Times New Roman" w:hAnsi="Times New Roman"/>
          <w:sz w:val="18"/>
          <w:szCs w:val="18"/>
          <w:color w:val="auto"/>
        </w:rPr>
        <w:t>We have a reputation for successfully providing mission-critical products, solutions and services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Our long-term relationships with the U.S. Air Force, U.S. Army, and U.S. Navy and other national security related customers and agencies enable us to develop an in-depth understanding of their missions and technical requirements. In addition, the majority of our employees are located at our customer sites, at secure manufacturing facilities or at critical infrastructure locations, all of which provides valuable strategic insight into our customers' ongoing missions and future program requirements. This understanding of our customers' missions, requirements and needs, in conjunction with the strategic location of our employees, enables us to offer technical solutions tailored to our customers' specific requirements and evolving mission objectives. In addition, once we are on-site with a customer, we have historically been successful in winning new and recompete business.</w:t>
      </w:r>
    </w:p>
    <w:p>
      <w:pPr>
        <w:spacing w:after="0" w:line="183"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Significant cash flow visibility driven by stable backlog. </w:t>
      </w:r>
      <w:r>
        <w:rPr>
          <w:rFonts w:ascii="Times New Roman" w:cs="Times New Roman" w:eastAsia="Times New Roman" w:hAnsi="Times New Roman"/>
          <w:sz w:val="18"/>
          <w:szCs w:val="18"/>
          <w:color w:val="auto"/>
        </w:rPr>
        <w:t>As of December 28, 2014, our total backlog (see Backlog below) was approximately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of which approximately $662.0 million was funded backlog. The majority of our sales are from orders issued under long-term contracts, typically three to five years in duration. Our contract backlog provides visibility into stable future revenue and cash flow over a diverse set of contracts.</w:t>
      </w:r>
    </w:p>
    <w:p>
      <w:pPr>
        <w:spacing w:after="0" w:line="79"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Highly skilled employees and an experienced management team. </w:t>
      </w:r>
      <w:r>
        <w:rPr>
          <w:rFonts w:ascii="Times New Roman" w:cs="Times New Roman" w:eastAsia="Times New Roman" w:hAnsi="Times New Roman"/>
          <w:sz w:val="18"/>
          <w:szCs w:val="18"/>
          <w:color w:val="auto"/>
        </w:rPr>
        <w:t>We deliver our services through a skilled and primarily technically 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workforce of approximately 3,600 employees. Our senior managers have significant experience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U.S. Government agencies, the U.S. military and U.S. Government contractors. Many of our employees hold National Security clearances. Members of our management team have experience growing businesses both organically and through acquisitions. We believe that the cumulative experience and differentiated expertise of our personnel in our core focus areas, coupled with our sizable employee base, allow us to qualify for and bid on larger projects in a prime contracting role.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strategy is to continue to grow our business as a leading provider of highly differentiated technology, products, solutions and services in our core areas of focus, as noted previously, by delivering comprehensive, leading technology products, high-end engineering services, technical solutions, product manufacturing, and IT solutions to U.S. Government agencies, while improving our margin rates, overall profitability and operating cash flows. To achieve our objective, we intend to primarily focus on internal growth and to eliminate costs where possible.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Growth</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are focused on generating internal growth by capitalizing on our current contract base and customer relationships, expanding product, solution and service offerings provided to our existing technology, intellectual property, and product, customers, and expanding our overall customer and contract base.</w:t>
      </w:r>
    </w:p>
    <w:p>
      <w:pPr>
        <w:spacing w:after="0" w:line="9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 Technology Product, Solution and Service Offerings Provided to Existing customers. </w:t>
      </w:r>
      <w:r>
        <w:rPr>
          <w:rFonts w:ascii="Times New Roman" w:cs="Times New Roman" w:eastAsia="Times New Roman" w:hAnsi="Times New Roman"/>
          <w:sz w:val="18"/>
          <w:szCs w:val="18"/>
          <w:color w:val="auto"/>
        </w:rPr>
        <w:t>We are focused on expanding the technology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we provide to our current customers by leveraging our strong relationships, technical capabilities and past performance record and by offering a wider range of comprehensive technology rich products and solutions as we make select investments in specialized products and solutions we believe can be growth areas for us. In regard to areas of specialization, our product and service offerings include manufacturing of specialized defense electronics products, integrated technology solutions for satellite communications and specialized unmanned aerial targets, unmanned aerial systems and unmanned ground systems. We believe our understanding of customer missions, processes, needs and requirements, and our ability to deliver low cost, technology leading products and solutions, position us well for success in the current constrained budget environment.</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Capitalize on Current Contract Base. </w:t>
      </w:r>
      <w:r>
        <w:rPr>
          <w:rFonts w:ascii="Times New Roman" w:cs="Times New Roman" w:eastAsia="Times New Roman" w:hAnsi="Times New Roman"/>
          <w:sz w:val="18"/>
          <w:szCs w:val="18"/>
          <w:color w:val="auto"/>
        </w:rPr>
        <w:t>We are pursuing new program and contract opportunities and awards as we build the business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technology base, contract portfolio, and product, solution and service offerings. We are also aggressively pursuing several new National Security programs, including SEWIP, NGJ, AMDR, SABR, F-35, AESA upgrades, 3DELRR directed energy systems, hypersonic systems, electromagnetic rail gun systems, unmanned combat aerial systems, unmanned ground systems and robotics. We also are aggressively pursuing task orders under existing contract vehicles to maximize our revenue and strengthen our customer relationships.We have developed several internal tools that facilitate our ability to track, prioritize and win task orders under these vehicles. Combining these tools with our technical expertise, our strong past performance record and our knowledge of our customers' needs should position us to win additional task orders.</w:t>
      </w:r>
    </w:p>
    <w:p>
      <w:pPr>
        <w:spacing w:after="0" w:line="1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Customer and Contract Base. </w:t>
      </w:r>
      <w:r>
        <w:rPr>
          <w:rFonts w:ascii="Times New Roman" w:cs="Times New Roman" w:eastAsia="Times New Roman" w:hAnsi="Times New Roman"/>
          <w:sz w:val="18"/>
          <w:szCs w:val="18"/>
          <w:color w:val="auto"/>
        </w:rPr>
        <w:t>We are also focused on expanding our customer base into areas with significant growth opportunities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leveraging our technology capabilities, industry reputation, long-term customer relationships and diverse contract base. We anticipate that this expansion will enable us both to pursue additional higher value work and to further diversify our revenue base across the U.S. Government and with international and commercial customers.</w:t>
      </w:r>
    </w:p>
    <w:p>
      <w:pPr>
        <w:spacing w:after="0" w:line="99"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Improve Operating Margins. </w:t>
      </w:r>
      <w:r>
        <w:rPr>
          <w:rFonts w:ascii="Times New Roman" w:cs="Times New Roman" w:eastAsia="Times New Roman" w:hAnsi="Times New Roman"/>
          <w:sz w:val="18"/>
          <w:szCs w:val="18"/>
          <w:color w:val="auto"/>
        </w:rPr>
        <w:t>We believe that we have opportunities to increase our operating margins and improve profitability by capitalizing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infrastructure investments and internally developed tools, improving efficiencies and reducing costs, and concentrating our efforts on increasing the percentage of revenues generated from high value-added contracts.</w:t>
      </w:r>
    </w:p>
    <w:p>
      <w:pPr>
        <w:spacing w:after="0" w:line="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Capitalize on Corporate Infrastructure Investments. </w:t>
      </w:r>
      <w:r>
        <w:rPr>
          <w:rFonts w:ascii="Times New Roman" w:cs="Times New Roman" w:eastAsia="Times New Roman" w:hAnsi="Times New Roman"/>
          <w:sz w:val="18"/>
          <w:szCs w:val="18"/>
          <w:color w:val="auto"/>
        </w:rPr>
        <w:t>In recent periods, we have made significant investments in our senior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infrastructure in anticipation of future revenue growth for cyber security threats, increased and changing regulations we are subject to, and the changing national security environment. These investments included hiring senior executives with significant experience in the national security industry, strengthening our internal controls over financial reporting and accounting staff in support of public company reporting requirements, making significant investments to enhance security for cyber attacks, and expanding our backlog and bid and proposal pipeline. We will be allocating additional resources in our pursuit of new, larger and highly technical contract opportunities, leveraging our increased scale and robust past performance qualifications.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acquired and integrated businesses that meet our primary strategic objectives of expanding our customer relationships, enhancing our current portfolio, increasing our overall past performance qualifications and furthering our strategic positioning on national security priority programs. Our recent acquisitions are described below.</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Composite Engineering, Inc. (“CEi”): We acquired CEi in July 2012. 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 CEi is a part of the US reportable segment.</w:t>
      </w:r>
    </w:p>
    <w:p>
      <w:pPr>
        <w:spacing w:after="0" w:line="31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Critical Infrastructure Business: We acquired a critical infrastructure security and public safety system integration business in December 2011. 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PSS reportable segment.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See Note 3 of the Notes to Consolidated Financial Statements contained within this Annual Report for further information regarding our acquisitions.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representative list of our customers in our KGS and US segments during 2014 included the U.S. Air Force, U.S. Army, U.S. Navy, U.S. Marines, Missile Defense Agency, the DHS, NASA, Foreign Military Sales (“FMS”), the U.S. Southern Command, U.S. Intelligence Community and certain classified customers. In 2014, representative customers in the PSS segment included Metropolitan Transportation Authority of New York, Prince George’s County Public Schools, Children’s Hospital of Philadelphia, Alamo Colleges, University of New Hampshire, City of Galveston, Texas Orthopedic Hospital, Port Authority of New York &amp; New Jersey, Prudential, New York University, Fidelity, Scripps Clinic, PNC Bank, Halliburton, AT&amp;T, Chevron, Mellon Bank, Calpine Power Plants, Capital Health, DuPont Fabros, BP America, University of Houston, Meridian Health and Memorial Hermann Hospital System.</w:t>
      </w:r>
    </w:p>
    <w:p>
      <w:pPr>
        <w:spacing w:after="0" w:line="200" w:lineRule="exact"/>
        <w:rPr>
          <w:sz w:val="20"/>
          <w:szCs w:val="20"/>
          <w:color w:val="auto"/>
        </w:rPr>
      </w:pPr>
    </w:p>
    <w:p>
      <w:pPr>
        <w:spacing w:after="0" w:line="25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65%, 64% and 59% of total revenues in 2012, 2013,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December 29, 2013 and December 28, 2014, our backlog was approximately $1.1 billion in both years of which $541.0 million was funded in 2013 and $662.0 million was funded in 2014.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Unfunded backlog reflects our estimate of future revenue under awarded government contracts and task orders for which either funding has not yet been appropriated or expenditure has not yet been authorized. Our total backlog does not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8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28, 2014, we had a work force of approximately 3,600 full-time, part-time and on-call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market is competitive and includes the full range of companies in the U.S. defense industry and the information, services and security integration industries. Many of the companies that we compete against have significantly greater financial, technical and marketing resources and generate greater revenues than we do. Competition in the KGS and US segments include tier one, large U.S. Government contractors such as Northrop Grumman, Lockheed Martin, General Dynamics, SAIC, Leidos, Engility, ITT Systems, Computer Sciences Corporation, Raytheon, BAE Systems, L3, Orbital/ATK, Boeing, and CACI. While we view government contractors as competitors, we often team with these same companies in joint proposals or in the delivery of our services for customers. Tier two competitors include smaller and mid-tier government contractors such as AeroVironment, API Technologies, iRobot and Mercury Computer Systems. Intense competition and long operating cycles are both key characteristics of our business within the defense industry. It is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 Competition in the PSS segment includes Siemens Building Technology, Johnson Controls, Diebold, and Convergint Technologies, among others.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principal competitive factors in our ability to win new business include past performance qualifications, customer relationships, domain and technology expertise, intellectual property positions, the ability to replace contract vehicles, the ability to deliver results within budget (time and cost), reputation, accountability, staffing flexibility, and project management expertise, and our ability to deliver cost effective products, solutions and services that meet our customers’ requirements. We believe our ability to compete also depends on a number of additional factors, including the ability of our customers to perform the services themselves and competitive pricing for similar services. The current Federal Procurement environment is driven primarily by “low price, technically acceptable” contract award decisions. Accordingly, innovation and the ability for a contractor to quickly deliver a low cost, technically compliant solution or product are critical in the current competitive environment. In addition, competitor bid protests have become more prevalent in the current competitive environment, resulting in further delay of contract procurement activity.</w:t>
      </w:r>
    </w:p>
    <w:p>
      <w:pPr>
        <w:spacing w:after="0" w:line="10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U.S. defense industry, IT, and services markets, the U.S. Government has stressed competition and affordability in connection with its future procurement of products and services. This has lead to fewer sole source awards, as well as more emphasis on cost competitiveness. In addition, the DoD has announced several initiatives to improve efficiency, refocus priorities, modify contract terms, and enhance DoD best practices including those used to procure goods and services from defense contractors. See the Industry Background section in Item 7 “Management's Discussion and Analysis of Financial Condition and Results of Operations” and the Industry Update section in Item 1 "Business" contained within this Annual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Report. These initiatives, when implemented, together with planned reductions in defense spending levels, are likely to result in fewer new opportunities for our industry as a whole with more demanding terms. A reduced opportunity set is likely to intensify competition within the industry as companies compete for a more limited set of new programs.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our future success depends upon our ability to continue to develop new products and services, and enhancements to and applications for our existing products and services. Our research and development expenses were $17.8 million, $21.4 million and $23.0 million, respectively, in 2012, 2013, and 2014,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unmanned systems, electronic warfare, satellite communications and signal monitoring.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95"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As of December 28, 2014, we held U.S. patents and foreign patents. We do not consider our business to be materially dependent upon any individual patent.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or have rights to use certain trademarks, service marks and trade names that we use in conjunction with the operation of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trademarks have also been registered in selected foreign countries.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8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Federal Acquisition Regulations and supplemental agency regulations, which comprehensively regulate the formation, administration, and performance under government contracts;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Truth in Negotiations Act, which requires certification and disclosure of all cost and pricing data in connection with contract negotiations;</w:t>
      </w:r>
    </w:p>
    <w:p>
      <w:pPr>
        <w:spacing w:after="0" w:line="144"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Cost Accounting Standards, which impose accounting requirements that govern our right to reimbursement under cost-based government contracts;</w:t>
      </w:r>
    </w:p>
    <w:p>
      <w:pPr>
        <w:spacing w:after="0" w:line="8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Foreign Corrupt Practices Act, which prohibits U.S. companies from providing anything of value to a foreign official to help obtain, retain or direct business, or obtain any unfair advantages;</w:t>
      </w:r>
    </w:p>
    <w:p>
      <w:pPr>
        <w:spacing w:after="0" w:line="8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8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and the exportation of certain products and technical data.</w:t>
      </w:r>
    </w:p>
    <w:p>
      <w:pPr>
        <w:spacing w:after="0" w:line="8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also need special security clearances to continue working on and advancing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the export from the U.S. of certain of our products may require the issuance of a license by the U.S. Department of Commerce under the Export Administration Act, as amended, and is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9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business may require compliance with state or local laws designed to limit the uses of personal user information gathered online or require online services to establish privacy policies.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Availability</w:t>
      </w:r>
    </w:p>
    <w:p>
      <w:pPr>
        <w:spacing w:after="0" w:line="14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procure critical material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manufacturing operations are subject to many requirements under environmental laws. In the U.S., the United States Environmental Protection Agency and similar state agencies administer laws that restrict the emission of pollutants into the air, discharges of pollutants into bodies of water and disposal of pollutants on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typically allow citizens to bring private enforcement actions in some situations. Outside the U.S., the environmental laws and their enforcement vary and may be more burdensome. We have management programs and processes in place that are intended to minimize the potential for violations of these laws.</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Times New Roman" w:cs="Times New Roman" w:eastAsia="Times New Roman" w:hAnsi="Times New Roman"/>
          <w:sz w:val="18"/>
          <w:szCs w:val="18"/>
          <w:i w:val="1"/>
          <w:iCs w:val="1"/>
          <w:color w:val="auto"/>
        </w:rPr>
        <w:t>www.kratosdefense.com</w:t>
      </w:r>
      <w:r>
        <w:rPr>
          <w:rFonts w:ascii="Times New Roman" w:cs="Times New Roman" w:eastAsia="Times New Roman" w:hAnsi="Times New Roman"/>
          <w:sz w:val="18"/>
          <w:szCs w:val="18"/>
          <w:color w:val="auto"/>
        </w:rPr>
        <w:t>. You may read and copy any materials we file with the SEC at the SEC’s Public Reference Room at 100 F Street, NE, Washington,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 20549. You may obtain information on the operation of the Public Reference Room by calling the SEC at 1-800-SEC-0330. The SEC also maintains an Internet site that contains our reports, proxy and information statements, and other information at www.sec.gov.</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related notes.</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fiscal 2012, 2013 and 2014, we generated 65%, 64% and 59%, respectively, of our total revenues from contracts with the U.S. Government (including all branches of the U.S. military), either as a prime contractor or a subcontractor. We expect to continue to derive most of our revenues from work performed under U.S. Government contracts. See the Industry Update section in Item 1 “Business” contained 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 If the Congress and the President do not reach a fiscal agreement for the federal 2016 budget, sequestration returns on October, 2016, the impact of which could adversely impact our business.</w:t>
      </w:r>
    </w:p>
    <w:p>
      <w:pPr>
        <w:spacing w:after="0" w:line="1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8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results of operations.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for material uncured breach by the other. If we breach a contract or fail to perform in accordance with contractual service levels, delivery schedules, performance specifications, or other contractual requirements we could be terminated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Other factors that may affect revenue and profitability could be inaccurate cost estimates, design issues, unforeseen costs and expenses not covered by insurance or indemnification from the customer, diversion of management focus in responding to unforeseen problems, and loss of follow-on work.</w:t>
      </w:r>
    </w:p>
    <w:p>
      <w:pPr>
        <w:spacing w:after="0" w:line="3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5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a prime contractor, we often rely upon other companies as subcontractors to perform work we are obligated to perform for our customers. As we secure more work under certain of our contract vehicles, we expect to require an increasing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Recently, procurement awards have been based on lowest price, technically acceptable proposals. In addition, we may face competition from our subcontractors who, from time-to-time, seek to obtain prime contractor status on contracts for which they currently serve as a subcontractor to us.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and public relations resources, larger customer bases and greater brand or name recognition than we do. These competitors could, among other things:</w:t>
      </w:r>
    </w:p>
    <w:p>
      <w:pPr>
        <w:spacing w:after="0" w:line="133" w:lineRule="exact"/>
        <w:rPr>
          <w:sz w:val="20"/>
          <w:szCs w:val="20"/>
          <w:color w:val="auto"/>
        </w:rPr>
      </w:pPr>
    </w:p>
    <w:p>
      <w:pPr>
        <w:ind w:left="1300" w:right="60" w:hanging="320"/>
        <w:spacing w:after="0" w:line="239" w:lineRule="exact"/>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sales from us by winning very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government contracts, a risk that is enhanced by the recent trend in government procurement practices to bundle services into larger contracts and the recent trend of awards on a lowest price, technically acceptable basis;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sales from us by the award of government contracts to our competitors who may be willing to bid at substantially lower prices;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us to charge lower prices; or</w:t>
      </w:r>
    </w:p>
    <w:p>
      <w:pPr>
        <w:spacing w:after="0" w:line="9" w:lineRule="exact"/>
        <w:rPr>
          <w:rFonts w:ascii="Times New Roman" w:cs="Times New Roman" w:eastAsia="Times New Roman" w:hAnsi="Times New Roman"/>
          <w:sz w:val="18"/>
          <w:szCs w:val="18"/>
          <w:color w:val="auto"/>
        </w:rPr>
      </w:pPr>
    </w:p>
    <w:p>
      <w:pPr>
        <w:ind w:left="1300" w:right="26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relationships with current customers, including our ability to continue to win competitively awarded engagements in which we are the incumbent.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lose business to our competitors or are forced to lower our prices, our revenue and our operating profits could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our ability to keep pace with the latest technological changes.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offerings will develop or continue to expand or that we will be successful in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than our competitors, our ability to procure new contracts could be negatively impacted, which could negatively impact our results of operations and financial condition.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our GSA contracts or GWACs could impair our ability to attract new business.</w:t>
      </w:r>
    </w:p>
    <w:p>
      <w:pPr>
        <w:spacing w:after="0" w:line="13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 prime contractor under several General Services Administration ("GSA") contracts and Government wide Acquisition Contracts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7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67"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existing contracts;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potential future income from our existing contracts;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some of the terms and conditions in our existing contracts;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permanently prohibit us from doing business with the U.S. Government or with any specific government agency;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penalties;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criminal prosecution;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work under existing multiple year contracts and related task orders if the necessary funds are not appropriated by Congress;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extend an existing multiple year contract;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technologies and systems invented, developed or produced by us.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of December 28, 2014, our total backlog was approximately $1.1 billion, of which $662.0 million was funded.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$437.0 million of our total backlog as of December 28, 2014 is unfunded. Unfunded backlog reflects our estimate of future revenue under awarded government contracts and task orders for which either funding has not yet been appropriated or expenditure has not yet been authorized. Unfunded backlog does not include estimates of revenue from GWAC or GSA schedules beyond awarded or funded task orders but does include estimates of revenue beyond awarded or funded task orders for other types of indefinite delivery, indefinite quantity contracts. The amount of unfunded backlog is not exact or guaranteed and is based upon, among other things, management's experience under such contracts and similar contracts, the particular customers, the type of work and budgetary expectations. Our management may not accurately assess these factors or estimate the revenue we will realize from these contracts, and our funded, unfunded and total backlog may not reflect the actual revenue ultimately received from these contracts.</w:t>
      </w:r>
    </w:p>
    <w:p>
      <w:pPr>
        <w:spacing w:after="0" w:line="19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preference for minority-owned, small and small disadvantaged businesses could impact our ability to be a prime contractor on certain governmental procurements.</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or restrict our ability to recompete on incumbent work that is placed in the set-aside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in-sourcing could result in loss of business opportunities and personnel.</w:t>
      </w:r>
    </w:p>
    <w:p>
      <w:pPr>
        <w:spacing w:after="0" w:line="13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working on contracts could also be hired by the government. This loss of our employees would necessitate the need to retain and train new employees. Accordingly, the effect of in-sourcing or the continuation of in-sourcing at a faster than expected rate, could have an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security threats, including cybersecurity threats, and other disruptions.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Many of the systems we develop, install and maintain involve managing and protecting information involved in intelligence, national security and other sensitive or classified U.S. Government functions. We face various security threats, including cybersecurity threats, to gain unauthorized access to this sensitive information. Such threats can come from external as well as internal sources.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customers. Further, any losses we incur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such a security breach could exceed the policy limits under our errors and omissions and product liability insurance. Any losses we incur, any damage to our reputation or any limitations on our eligibility for additional work resulting from a security breach could materially reduce our revenue and could have a material adverse effect on our business, financial condition and results of operations.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 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systems or service failure, our reputation could be harmed and our customers could assert claims against us for damages or refunds.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76"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revenue due to adverse customer reaction;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provide additional services to a customer at no charge;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customers to postpone, cancel or fail to renew contracts;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negative publicity, which could damage our reputation and adversely affect our ability to attract or retain customers;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claims for substantial damages.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ensure that provisions in our customer contracts will be legally sufficient to protect us if we are sued.</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products, including but not limited to unmanned vehicles, aerial targets, and ballistic missile targets, are extremely complex and must operate successfully with complex products from other vendors.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2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 to quarter.</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cause our financial results to fluctuate from quarter to quarter include those addressed elsewhere in these Risk Factors and the following factors, among others:</w:t>
      </w:r>
    </w:p>
    <w:p>
      <w:pPr>
        <w:spacing w:after="0" w:line="162"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for our services and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any particular quarter;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shipments and product deliveries;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or performance incentive fee notices;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bid and proposal costs;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remediating unknown defects, errors or performance problems of our product offerings;</w:t>
      </w:r>
    </w:p>
    <w:p>
      <w:pPr>
        <w:spacing w:after="0" w:line="9" w:lineRule="exact"/>
        <w:rPr>
          <w:rFonts w:ascii="Times New Roman" w:cs="Times New Roman" w:eastAsia="Times New Roman" w:hAnsi="Times New Roman"/>
          <w:sz w:val="18"/>
          <w:szCs w:val="18"/>
          <w:color w:val="auto"/>
        </w:rPr>
      </w:pPr>
    </w:p>
    <w:p>
      <w:pPr>
        <w:ind w:left="1300" w:right="128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GSA Schedule 70 contracts, GWACs, blanket purchase agreements and other indefinite delivery/indefinite quantity contracts;</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and delays related to the export of defense articles and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government inquiries;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and joint ventures;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or changes in business strategy;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extent to which we use subcontractors;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staff utilization rates;</w:t>
      </w:r>
    </w:p>
    <w:p>
      <w:pPr>
        <w:spacing w:after="0" w:line="9" w:lineRule="exact"/>
        <w:rPr>
          <w:rFonts w:ascii="Times New Roman" w:cs="Times New Roman" w:eastAsia="Times New Roman" w:hAnsi="Times New Roman"/>
          <w:sz w:val="18"/>
          <w:szCs w:val="18"/>
          <w:color w:val="auto"/>
        </w:rPr>
      </w:pPr>
    </w:p>
    <w:p>
      <w:pPr>
        <w:ind w:left="1300" w:right="42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our debt under the credit agreement. In addition, fluctuations in our financial results could cause our stock price to decline. See the risks and uncertainties related to our ability to raise additional capital below in </w:t>
      </w:r>
      <w:r>
        <w:rPr>
          <w:rFonts w:ascii="Times New Roman" w:cs="Times New Roman" w:eastAsia="Times New Roman" w:hAnsi="Times New Roman"/>
          <w:sz w:val="18"/>
          <w:szCs w:val="18"/>
          <w:i w:val="1"/>
          <w:iCs w:val="1"/>
          <w:color w:val="auto"/>
        </w:rPr>
        <w:t>“We may need additional capital to fund the growth of our business, and financing may not be available on favorable terms or at all.”</w:t>
      </w:r>
    </w:p>
    <w:p>
      <w:pPr>
        <w:spacing w:after="0" w:line="151"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price contracts in our total contract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-223520</wp:posOffset>
            </wp:positionV>
            <wp:extent cx="6413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12% and 83%, respectively, of our federal business revenues for the year ended December 28, 2014. To the extent that we enter into more cost-plus-fee or less fixed-price contracts in proportion to our total contract mix in the future, our margins and operating results may suffer.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flow and profitability could be reduced if expenditures are incurred prior to the final receipt of a contract.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continue to incur goodwill impairment charges in our reporting entities, which could harm our profitability.</w:t>
      </w:r>
    </w:p>
    <w:p>
      <w:pPr>
        <w:spacing w:after="0" w:line="22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of December 28, 2014, goodwill represented approximately 52% of our total assets. In accordance with </w:t>
      </w:r>
      <w:r>
        <w:rPr>
          <w:rFonts w:ascii="Times New Roman" w:cs="Times New Roman" w:eastAsia="Times New Roman" w:hAnsi="Times New Roman"/>
          <w:sz w:val="18"/>
          <w:szCs w:val="18"/>
          <w:i w:val="1"/>
          <w:iCs w:val="1"/>
          <w:color w:val="auto"/>
        </w:rPr>
        <w:t>Financial Accounting Standards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(“FASB”) Accounting Standards Codification (“ASC”) Topic 350 Intangibles-Goodwill and Other (“Topic 350”), </w:t>
      </w:r>
      <w:r>
        <w:rPr>
          <w:rFonts w:ascii="Times New Roman" w:cs="Times New Roman" w:eastAsia="Times New Roman" w:hAnsi="Times New Roman"/>
          <w:sz w:val="18"/>
          <w:szCs w:val="18"/>
          <w:color w:val="auto"/>
        </w:rPr>
        <w:t>we periodically review the carrying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goodwill to determine whether such carrying values exceed the fair market value.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2012, as a result of our annual review, we recorded a goodwill impairment charge of $82.0 million related to our KGS segment to reflect the declining market valuations and the economic uncertainty in the U.S. defense industry as a result of uncertainty in our business environment due to the substantial fiscal and economic challenges facing the U.S. Government. Given the current market conditions and continued economic uncertainty in the U.S. defense industry, including sequestration and issues surrounding the national debt ceiling, our future revenues, profits and cash flows could be substantially lower than our current projections. Additional market factors that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including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additional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properly manage projects may result in additional costs or claims.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 See the Critical Accounting Principles and Estimates section in Item 7 “Management's Discussion and Analysis of Financial Condition and Results of Operations” contained within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 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first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 ended December 28, 2014, there was no impact of such limitations on the income tax provision since the amount of taxable income did not exceed the annual limitation amount. In addition, future equity offerings or acquisitions that have equity as a component of the purchase price could also cause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fund the growth of our business, and financing may not be available on favorable terms or at all.</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currently anticipate that our available capital resources, including our credit agreement and operating cash flow, will be sufficient to meet our expected working capital and capital expenditure requirements for at least the next 12 months. However, these resources may not be sufficient to fund the long-term growth of our business. If we determine that it is necessary to raise additional funds, either through an expansion or refinancing of our agreement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access to capital and could require us to pay down our existing debt under the credit agreement. Our lenders may not agree to extend additional or continuing credit under our credit agreement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2011 and 2012, we acquired five companies. In the future, we may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88"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the operating synergies anticipated in the acquisitions;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ongoing business concerns to integration matters;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consolidating and rationalizing IT platforms and administrative infrastructures;</w:t>
      </w:r>
    </w:p>
    <w:p>
      <w:pPr>
        <w:spacing w:after="0" w:line="9" w:lineRule="exact"/>
        <w:rPr>
          <w:rFonts w:ascii="Times New Roman" w:cs="Times New Roman" w:eastAsia="Times New Roman" w:hAnsi="Times New Roman"/>
          <w:sz w:val="18"/>
          <w:szCs w:val="18"/>
          <w:color w:val="auto"/>
        </w:rPr>
      </w:pPr>
    </w:p>
    <w:p>
      <w:pPr>
        <w:ind w:left="1300" w:right="8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transitioning U.S. Government contracts pursuant to federal acquisition regulations;</w:t>
      </w:r>
    </w:p>
    <w:p>
      <w:pPr>
        <w:spacing w:after="0" w:line="9" w:lineRule="exact"/>
        <w:rPr>
          <w:rFonts w:ascii="Times New Roman" w:cs="Times New Roman" w:eastAsia="Times New Roman" w:hAnsi="Times New Roman"/>
          <w:sz w:val="18"/>
          <w:szCs w:val="18"/>
          <w:color w:val="auto"/>
        </w:rPr>
      </w:pPr>
    </w:p>
    <w:p>
      <w:pPr>
        <w:ind w:left="1300" w:right="24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cash flow interruption or loss of revenue as a result of change of ownership transitional matters;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costs.</w:t>
      </w:r>
    </w:p>
    <w:p>
      <w:pPr>
        <w:spacing w:after="0" w:line="20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our business and financial results could suffer.</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could impair our relationships with U.S. Government customers and disrupt the management of our business.</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and our ability to operate profitably depends on the continued contributions of the members of our senior management. We rely on our senior management to generate business and execute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growth of our business and revenue depends in large part upon our ability to attract and retain sufficient numbers of highly qualified individuals who have advanced IT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8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7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to industry in connection with classified U.S. government contracts.</w:t>
      </w:r>
    </w:p>
    <w:p>
      <w:pPr>
        <w:spacing w:after="0" w:line="14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4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any benefit from our cost reduction and restructuring effort and our profitability may be hurt or our business otherwise might be adversely affected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in cost reduction and restructuring activities in the past and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1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Board has hired an investment bank to assist in performing a formal review of the Company’s businesses, markets and competitive positioning and to evaluate strategic alternatives, including the divestment of certain businesses. This review may or may not result in the divestiture of one or more of our businesses. We may engage in the divestiture of one or more of our business units or product or service offerings, which may have an adverse effect on our business, and there is no assurance that any divestiture we pursue will be completed on favorable terms, on a timely basis, or at all.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strategy involves assessing our business units and portfolio of product and service offerings with a view of divesting business units or product and service offerings where doing so may create shareholder value, while remaining consistent to our Stated Strategy Our Board of Directors is currently working with an investment banking firm to assist it in formally reviewing our businesses, markets and competitive positioning and in evaluating strategic alternatives, including the potential divestment of certain of our businesses. This may or may not result in divestment of certain of our businesses. Any divestitures may result in a dilutive impact to our future earnings, as well as significant write-offs, including those related to goodwill and other intangible assets, which could have an impact on our results of operations and financial condition. Impacts may include, without limitation, a reduction in our net operating losses to offset potential taxable gains resulting from the transaction and/or as a result of tax structuring related to a potential transaction. Divestitures could involve additional risks, including difficulties in the separation of operations, services, products and personnel, the diversion of management’s attention from other business concerns, the disruption of our business and the potential loss of key employees. We may not be successful in managing these or any other significant risks that we encounter in divesting a product or service offering. Further, even if we determine that it would be in the best interests of the Company and its stockholders to divest one or more business units or product or service offerings, we cannot assure that we will be able to successfully complete these transactions on favorable terms, on a timely basis, or at all.</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derived from our international business could be subject to global economic downturn and hardship.</w:t>
      </w:r>
    </w:p>
    <w:p>
      <w:pPr>
        <w:spacing w:after="0" w:line="229" w:lineRule="exact"/>
        <w:rPr>
          <w:sz w:val="20"/>
          <w:szCs w:val="20"/>
          <w:color w:val="auto"/>
        </w:rPr>
      </w:pPr>
    </w:p>
    <w:p>
      <w:pPr>
        <w:ind w:left="80" w:right="40" w:firstLine="648"/>
        <w:spacing w:after="0" w:line="256" w:lineRule="auto"/>
        <w:rPr>
          <w:sz w:val="20"/>
          <w:szCs w:val="20"/>
          <w:color w:val="auto"/>
        </w:rPr>
      </w:pPr>
      <w:r>
        <w:rPr>
          <w:rFonts w:ascii="Times New Roman" w:cs="Times New Roman" w:eastAsia="Times New Roman" w:hAnsi="Times New Roman"/>
          <w:sz w:val="18"/>
          <w:szCs w:val="18"/>
          <w:color w:val="auto"/>
        </w:rPr>
        <w:t>Our international business represents 13.1% of our total revenue,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additional risks.</w:t>
      </w:r>
    </w:p>
    <w:p>
      <w:pPr>
        <w:spacing w:after="0" w:line="3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outside of the U.S. are subject to risks that are inherent in conducting business under non-U.S. laws, regulations and customs, including those related to:</w:t>
      </w:r>
    </w:p>
    <w:p>
      <w:pPr>
        <w:spacing w:after="0" w:line="243"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potentially reducing the U.S. dollars we receive for sales denominated in foreign currency;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unfriendly nations or groups could boycott our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the markets in which we operate;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increased costs associated with overlapping tax structures;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control;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limited protection for intellectual property rights in some countries;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staffing and managing foreign 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of compliance with a wide variety of foreign laws and regulations;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cycles in certain foreign countries, whether due to cultural differences, exchange rate fluctuation or other factors;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transfer restrictions;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distribution networks.</w:t>
      </w:r>
    </w:p>
    <w:p>
      <w:pPr>
        <w:spacing w:after="0" w:line="207" w:lineRule="exact"/>
        <w:rPr>
          <w:sz w:val="20"/>
          <w:szCs w:val="20"/>
          <w:color w:val="auto"/>
        </w:rPr>
      </w:pPr>
    </w:p>
    <w:p>
      <w:pPr>
        <w:ind w:left="80" w:right="80" w:firstLine="648"/>
        <w:spacing w:after="0" w:line="255" w:lineRule="auto"/>
        <w:rPr>
          <w:sz w:val="20"/>
          <w:szCs w:val="20"/>
          <w:color w:val="auto"/>
        </w:rPr>
      </w:pPr>
      <w:r>
        <w:rPr>
          <w:rFonts w:ascii="Times New Roman" w:cs="Times New Roman" w:eastAsia="Times New Roman" w:hAnsi="Times New Roman"/>
          <w:sz w:val="18"/>
          <w:szCs w:val="18"/>
          <w:color w:val="auto"/>
        </w:rPr>
        <w:t>These risks, individually or in the aggregate, could have an adverse effect on our results of operations and financial condition. For example, we are subject to compliance with the United States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80" w:right="180"/>
        <w:spacing w:after="0" w:line="282" w:lineRule="auto"/>
        <w:rPr>
          <w:sz w:val="20"/>
          <w:szCs w:val="20"/>
          <w:color w:val="auto"/>
        </w:rPr>
      </w:pPr>
      <w:r>
        <w:rPr>
          <w:rFonts w:ascii="Times New Roman" w:cs="Times New Roman" w:eastAsia="Times New Roman" w:hAnsi="Times New Roman"/>
          <w:sz w:val="18"/>
          <w:szCs w:val="18"/>
          <w:color w:val="auto"/>
        </w:rPr>
        <w:t>we fail to meet such requirements. The impact of these factors is difficult to predict, but one or more of them could adversely affect our financial position, results of operations, or cash flows.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materially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indebtedness, which could adversely affect our cash flow, financial condition and business.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2014, we had approximately $664.1 million of total indebtedness outstanding, which includes $5.8 million of unamortized original issue discount and $0.1 million of capital lease obligations. As a result of this indebtedness, our interest payment obligations are significant. The degree to which we are leveraged could have adverse effects on our business, including the following:</w:t>
      </w:r>
    </w:p>
    <w:p>
      <w:pPr>
        <w:spacing w:after="0" w:line="17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business and the industries in which we operate;</w:t>
      </w:r>
    </w:p>
    <w:p>
      <w:pPr>
        <w:spacing w:after="0" w:line="27"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restrict us from making strategic acquisitions or exploiting business opportunities;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place us at a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borrow additional funds;</w:t>
      </w:r>
    </w:p>
    <w:p>
      <w:pPr>
        <w:spacing w:after="0" w:line="9"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prevent us from raising the funds necessary to repurchase our outstanding Notes tendered to us if there is a change of control, which would constitute a default under the indenture governing such notes and under our credit agreement; and</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decrease our ability to compete effectively or operate successfully under adverse economic and industry conditions.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high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4"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acceleration or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 rights between the relevant agreements. In addition,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more debt, which may increase the risks associated with our substantial leverage, including our ability to service our indebtedness.</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substantial leverage described above, including our possible inability to service our debt, would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macroeconomic conditions may affect our liquidity, increasing borrowing costs and limiting our financing options.</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debt or short-term credit facilities may increase and our financing options, including our access to the unsecured credit market, could be limited. We may also be subject to restrictive covenants that would reduce our flexibility.</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December 28, 2014, approximately 9% of our consolidated assets, based on book value, and 9% of our consolidated revenues for the year ended December 28, 2014, respectively, were held by foreign subsidiaries, which do not guarantee the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8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our debt, there may be a cost associated with repatriating the cash to the U.S.</w:t>
      </w:r>
    </w:p>
    <w:p>
      <w:pPr>
        <w:spacing w:after="0" w:line="1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5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the credit and security agreement governing our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credit agreement also requires us to comply with specified financial ratios, including a borrowing base availability and minimum fixed charge coverage ratio.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restrictions contained in the indenture and in our credit agreement could also limit the ability of the Company and its subsidiaries to plan for or react to market conditions, meet capital needs or otherwise restrict their activities or business plans and adversely affect the ability to finance their operations, enter into acquisitions or to engage in other business activities that would be in their interest.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rights.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Some of the technology that is developed by us is developed under contract for our DoD customers. Accordingly, such intellectual property and rights to technology development are owned by the U.S.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harmed by intellectual property infringement claims.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trade secrets could cause harm to our business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Environmental and Legal Issues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complex procurement laws and regulations could cause us to lose business and subject us to a variety of penalties.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8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86"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We have submitted incurred cost claims through 2013. The actual indirect cost audits by the DCAA have been completed for our subsidiaries for fiscal 2006. Although we have recorded contract revenues subsequent to fiscal 2006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or others acting on our behalf may engage in misconduct or other improper activities, which could cause us to lose contracts.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prevent fraud.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28, 2014.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distract us from operating our business.</w:t>
      </w:r>
    </w:p>
    <w:p>
      <w:pPr>
        <w:spacing w:after="0" w:line="22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 of the Notes to Consolidated Financial Statements contained within this Annual Report on Form 10-K for a further discussion of our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severe weather conditions could disrupt our business and result in loss of revenue or higher expenses.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contracts with the U.S. Government are classified, which may limit investor insight into portions of our business.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price of our stock has been in the past, and will continue to be, subject to fluctuations as a result of a number of factors, including: our operating results fail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us may be diluted in the future.</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37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59"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85" w:lineRule="exact"/>
        <w:rPr>
          <w:sz w:val="20"/>
          <w:szCs w:val="20"/>
          <w:color w:val="auto"/>
        </w:rPr>
      </w:pPr>
    </w:p>
    <w:p>
      <w:pPr>
        <w:ind w:left="1700" w:hanging="395"/>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w:t>
      </w:r>
    </w:p>
    <w:p>
      <w:pPr>
        <w:spacing w:after="0" w:line="27" w:lineRule="exact"/>
        <w:rPr>
          <w:rFonts w:ascii="Times New Roman" w:cs="Times New Roman" w:eastAsia="Times New Roman" w:hAnsi="Times New Roman"/>
          <w:sz w:val="18"/>
          <w:szCs w:val="18"/>
          <w:color w:val="auto"/>
        </w:rPr>
      </w:pPr>
    </w:p>
    <w:p>
      <w:pPr>
        <w:ind w:left="1640" w:hanging="335"/>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w:t>
      </w:r>
    </w:p>
    <w:p>
      <w:pPr>
        <w:spacing w:after="0" w:line="3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issue preferred stock without stockholder approval;</w:t>
      </w:r>
    </w:p>
    <w:p>
      <w:pPr>
        <w:spacing w:after="0" w:line="4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super-majority requirement to amend our certificate of incorporation or bylaws; and</w:t>
      </w:r>
    </w:p>
    <w:p>
      <w:pPr>
        <w:spacing w:after="0" w:line="4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directors, and not stockholders, to fill vacancies on our board of directors.</w:t>
      </w:r>
    </w:p>
    <w:p>
      <w:pPr>
        <w:spacing w:after="0" w:line="23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Delaware law also imposes some restrictions on mergers and other business combinations between us and any holder of 15% or more of our outstanding common stock.</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by making it more difficult for stockholders to replace members of our board, which is responsible for appointing the members of our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December 28, 2014, we owned or leased approximately 2.1 million square feet of floor space at approximately 86 separate locations, primarily in the U.S., for manufacturing, warehousing, research and development, administration and various other uses. At December 28, 2014, we leased to third parties approximately 163,251 square feet of our leased facilities, and had vacant floor space of approximately 149,471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major operations at the following locations:</w:t>
      </w:r>
    </w:p>
    <w:p>
      <w:pPr>
        <w:spacing w:after="0" w:line="140"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Kratos Government Solutions</w:t>
      </w:r>
      <w:r>
        <w:rPr>
          <w:rFonts w:ascii="Times New Roman" w:cs="Times New Roman" w:eastAsia="Times New Roman" w:hAnsi="Times New Roman"/>
          <w:sz w:val="18"/>
          <w:szCs w:val="18"/>
          <w:color w:val="auto"/>
        </w:rPr>
        <w:t>: Huntsville, AL; San Diego, CA; Colorado Springs, CO; Orlando, FL; Woburn, MA; Baltimore and Lanham, MD;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Lancaster and Dallastown, PA; Charleston and Walterboro, SC; and Dahlgren, Alexandria and Chantilly, VA. Locations outside the U.S. include France, Israel and the United Kingdom.</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Unmanned Systems: </w:t>
      </w:r>
      <w:r>
        <w:rPr>
          <w:rFonts w:ascii="Times New Roman" w:cs="Times New Roman" w:eastAsia="Times New Roman" w:hAnsi="Times New Roman"/>
          <w:sz w:val="18"/>
          <w:szCs w:val="18"/>
          <w:color w:val="auto"/>
        </w:rPr>
        <w:t>San Diego and Sacramento, CA; and Fort Walton Beach, FL.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Public Safety and Security</w:t>
      </w:r>
      <w:r>
        <w:rPr>
          <w:rFonts w:ascii="Times New Roman" w:cs="Times New Roman" w:eastAsia="Times New Roman" w:hAnsi="Times New Roman"/>
          <w:sz w:val="18"/>
          <w:szCs w:val="18"/>
          <w:color w:val="auto"/>
        </w:rPr>
        <w:t>: Fullerton, CA; Newport, DE; Fairlawn, NJ and Houston, TX.</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and other locations</w:t>
      </w:r>
      <w:r>
        <w:rPr>
          <w:rFonts w:ascii="Times New Roman" w:cs="Times New Roman" w:eastAsia="Times New Roman" w:hAnsi="Times New Roman"/>
          <w:sz w:val="18"/>
          <w:szCs w:val="18"/>
          <w:color w:val="auto"/>
        </w:rPr>
        <w:t>: San Diego, CA.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floor space at December 28, 2014:</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Square feet (in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1,701</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Unmanned Systems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Safety and Security</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(includes San Diego operations of KGS, US and PSS segments)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2,097</w:t>
            </w:r>
          </w:p>
        </w:tc>
      </w:tr>
      <w:tr>
        <w:trPr>
          <w:trHeight w:val="20"/>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See Note 6 of the Notes to Consolidated Financial Statements contained within this Annual Report on Form 10-K for information regarding commitments under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See Note 15 of Notes to the Consolidated Financial Statements contained within this Annual Report on Form 10-K for a further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42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and is traded under the symbol “KTOS.”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high and low sales prices for our common stock for the periods indicated, as reported by NASDAQ:</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00" w:type="dxa"/>
            <w:vAlign w:val="bottom"/>
          </w:tcPr>
          <w:p>
            <w:pPr>
              <w:spacing w:after="0"/>
              <w:rPr>
                <w:sz w:val="13"/>
                <w:szCs w:val="13"/>
                <w:color w:val="auto"/>
              </w:rPr>
            </w:pPr>
          </w:p>
        </w:tc>
        <w:tc>
          <w:tcPr>
            <w:tcW w:w="11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5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28, 2014:</w:t>
            </w: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29, 2013:</w:t>
            </w:r>
          </w:p>
        </w:tc>
        <w:tc>
          <w:tcPr>
            <w:tcW w:w="3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March 6, 2015, the closing sale price of our common stock as reported by the NASDAQ Global Select Market was $5.69 per share. On March 6, 2015, there were </w:t>
      </w:r>
      <w:r>
        <w:rPr>
          <w:rFonts w:ascii="Times New Roman" w:cs="Times New Roman" w:eastAsia="Times New Roman" w:hAnsi="Times New Roman"/>
          <w:sz w:val="18"/>
          <w:szCs w:val="18"/>
          <w:color w:val="1F497D"/>
        </w:rPr>
        <w:t>402</w:t>
      </w:r>
      <w:r>
        <w:rPr>
          <w:rFonts w:ascii="Times New Roman" w:cs="Times New Roman" w:eastAsia="Times New Roman" w:hAnsi="Times New Roman"/>
          <w:sz w:val="18"/>
          <w:szCs w:val="18"/>
          <w:color w:val="auto"/>
        </w:rPr>
        <w:t xml:space="preserve"> shareholders of record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entered into in connection with the issuance of our 7.00% Senior Secured Notes due 2019 and our amended credit and security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performance graph presents a comparison of the five year cumulative stockholder return on our common stock against the cumulative total return of a broad equity market index, the Russell 2000 Stock Index, and an industry index, including a peer group composed of AAR Corp., AeroVironment, Inc., American Science &amp; Engineering</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Inc., API Technologies </w:t>
      </w:r>
      <w:r>
        <w:rPr>
          <w:rFonts w:ascii="Times New Roman" w:cs="Times New Roman" w:eastAsia="Times New Roman" w:hAnsi="Times New Roman"/>
          <w:sz w:val="18"/>
          <w:szCs w:val="18"/>
          <w:color w:val="1F497D"/>
        </w:rPr>
        <w:t>Corp.,</w:t>
      </w:r>
      <w:r>
        <w:rPr>
          <w:rFonts w:ascii="Times New Roman" w:cs="Times New Roman" w:eastAsia="Times New Roman" w:hAnsi="Times New Roman"/>
          <w:sz w:val="18"/>
          <w:szCs w:val="18"/>
          <w:color w:val="auto"/>
        </w:rPr>
        <w:t xml:space="preserve"> Comtech Telecommunications Corp., iRobot </w:t>
      </w:r>
      <w:r>
        <w:rPr>
          <w:rFonts w:ascii="Times New Roman" w:cs="Times New Roman" w:eastAsia="Times New Roman" w:hAnsi="Times New Roman"/>
          <w:sz w:val="18"/>
          <w:szCs w:val="18"/>
          <w:color w:val="1F497D"/>
        </w:rPr>
        <w:t>Corporation</w:t>
      </w:r>
      <w:r>
        <w:rPr>
          <w:rFonts w:ascii="Times New Roman" w:cs="Times New Roman" w:eastAsia="Times New Roman" w:hAnsi="Times New Roman"/>
          <w:sz w:val="18"/>
          <w:szCs w:val="18"/>
          <w:color w:val="auto"/>
        </w:rPr>
        <w:t>, and Mercury Systems</w:t>
      </w:r>
      <w:r>
        <w:rPr>
          <w:rFonts w:ascii="Times New Roman" w:cs="Times New Roman" w:eastAsia="Times New Roman" w:hAnsi="Times New Roman"/>
          <w:sz w:val="18"/>
          <w:szCs w:val="18"/>
          <w:color w:val="1F497D"/>
        </w:rPr>
        <w:t>, Inc.,</w:t>
      </w:r>
      <w:r>
        <w:rPr>
          <w:rFonts w:ascii="Times New Roman" w:cs="Times New Roman" w:eastAsia="Times New Roman" w:hAnsi="Times New Roman"/>
          <w:sz w:val="18"/>
          <w:szCs w:val="18"/>
          <w:color w:val="auto"/>
        </w:rPr>
        <w:t xml:space="preserve"> for the period commencing December 28, 2009 and ending December 28, 2014. The performance graph assumes an initial investment of $100 in our common stock and in each of the Russell 2000 Stock Index and the peer groups, and further assumes that all dividends were reinvested and all returns are market-cap weighted. The historical information set forth below is not necessarily indicative of future stock price performance.</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Among Kratos Defense &amp; Security Solutions, Inc, the Russell 2000 Index,</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12065</wp:posOffset>
            </wp:positionV>
            <wp:extent cx="5145405" cy="3430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*$100 invested on 12/31/09 in stock or index, including reinvestment of dividends.</w:t>
      </w:r>
    </w:p>
    <w:p>
      <w:pPr>
        <w:spacing w:after="0" w:line="2"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Fiscal year ending December 31.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Amounts in millions except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4"/>
                <w:szCs w:val="14"/>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Consolidated Statements of Operations Data:</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240.0</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per common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(0.56)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(0.65)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56.8</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488"/>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24"/>
                <w:szCs w:val="24"/>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24"/>
                <w:szCs w:val="24"/>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Consolidated Balance Sheet Data:</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Working capital</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179.3</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1,216.6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1,138.8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Short-term debt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628.9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663.0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premium</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c>
          <w:tcPr>
            <w:tcW w:w="26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2011 and 2012 Consolidated Statements of Operations and Comprehensive Loss Data and Consolidated Balance Sheet Data were impacted by the acquisitions we completed in those periods. The Consolidated Statements of Operations and Comprehensive Loss Data reflect the results from operations for each of the acquired companies from the date of acquisition and forward, which contributed an aggregate $375.1 million and $287.3 million increase in revenues from 2010 to 2011; and 2011 to 2012, respectively. We incurred acquisition related expenses of $12.5 million for fiscal 2011 and a benefit of $(2.7) million related to acquisition items for fiscal 2012. In 2012, we incurred an impairment of goodwill and intangible assets of $96.6 million. The 2014 Consolidated Statement of Operations includes a loss on extinguishment of debt of $39.1 million related to the refinance of the $625.0 million 10% Senior Secured Notes (“the 10% Notes”) due in 2017 with the $625.0 million newly issued 7.00% Senior Secured Notes due in 2019 (“the 7% Notes”).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2011 and 2012 Consolidated Balance Sheet Data reflects the impact of our acquisitions as well as the issuance of $625.0 million in 10% Senior Secured Notes and the issuance of approximately 39.3 million common shares which were used to fund the acquisitions. The 2014 Consolidated Balance Sheet Data reflects the refinancing of the $625.0 million 10% Notes with $625.0 million of newly issued 7.00% Notes. The net proceeds of the 7% Notes was $618.5 million after an original issue discount of $6.5 million. The Company utilized the net proceeds from the 7% Notes, a $41.0 million draw on a new credit agreement, as well as cash from operations to extinguish the 10% Senior Secured Notes.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Risk Factors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80"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 specialized security technology business providing mission critical products, solutions and services for domestic and international customers, with our principal customers being agencies of the U.S. Government. Our core capabilities are sophisticated engineering, manufacturing, technology development, system integration, and test and evaluation offerings for national security platforms and programs. Our principal products and solutions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8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design, engineer, and manufacture specialized electronic components, subsystems and systems for electronic attack, electronic warfare, radar,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primary end customers are U.S. Government agencies, including the DoD, classified agencies, intelligence agencies, other national security agencies and homeland security related agencies. We also conduct business with local, state and foreign governments and domestic and international commercial customers. In fiscal 2012, 2013 and 2014, we generated 65%, 64% and 59%, respectively, of our total revenues from contracts with the U.S. Government (including all branches of the U.S. military), either as a prime contractor or a subcontractor. We believe our stable customer base, strong customer relationships, intellectual property, broad array of contract vehicles, "designed in" positions on strategic national security platforms, large employee base possessing specialized skills, specialized manufacturing facilities and equipment, extensive list of past performance qualifications, and significant management and operational capabilities position us for success.</w:t>
      </w:r>
    </w:p>
    <w:p>
      <w:pPr>
        <w:spacing w:after="0" w:line="18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on December 19, 1994 and began operations in March 1995. We reincorporated in the state of Delaware in 1998.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Faced with significant budget pressures, in recent years the U.S. Government has implemented reductions in government spending, including reductions in appropriations for the U.S. Department of Defense (DoD) and other federal agencies, pursuant to the Budget Control Act of 2011 ("BCA"), as amended by the American Taxpayer Relief Act of 2012 and the Bipartisan Budget Act of 2013. Pursuant to the terms of the BCA, a sequestration went into effect in March 2013 resulting in a 7.8% reduction to the DoD budget for fiscal year (the period running from October 1st to September 30th, a "FY") 2013 to $495.5 billion, excluding funding for military personnel. The DoD budget was approximately $496 billion in FY 2014 and remains at a similar level in FY 2015. The DoD base budget excludes funding for overseas contingency operations, such as Afghanistan, Iraq and Syria, which are appropriated separately and are not currently subject to the BCA.</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BCA, funding for the DoD base budget is expected to increase very modestly to approximately $500 billion for FY 2016. In the years beyond FY 2016, the BCA permits annual increases for DoD base budget funding of about 2.4% with such caps remaining in force through FY 2023. The Administration has publicly signaled its intent to submit DoD budget requests that are significantly higher than the BCA caps, as it did in submitting the FY 2016 budget request and the associated FY 2016 Future Year Defense Program ("FYDP") on February 2, 2015 with all years exceeding the caps under the BCA. Such levels of DoD budget funding would require the Congress to enact legislation to raise the BCA caps. In the event DoD appropriations exceed the BCA caps in any fiscal year through FY 2023, across-the-board sequestration would go into effect, as occurred in 2013.</w:t>
      </w:r>
    </w:p>
    <w:p>
      <w:pPr>
        <w:spacing w:after="0" w:line="14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U.S. Government appropriations have and likely will continue to be affected by larger U.S. Government budgetary issues and related legislation. When a formal appropriation bill has not been signed into law before the end of the fiscal year, Congress may pass a Continuing Resolution ("CR") that authorizes agencies of the U.S. Government to continue to operate, generally at the same funding levels from the prior year, but typically does not authorize new spending initiatives during this period. If Congress fails to enact a CR, the U.S. Government may shut down, which likely would result in the closure of government offices and furlough of government workers, as well as impact the availability of funds to pay its contractors for work performed. In addition, if the national debt reaches the statutory debt ceiling, which is currently expected to occur in the first half of 2015, the Congress must enact legislation to increase the statutory debt ceiling. If the Congress fails to do so, then the U.S. Government may default on its debts, which would likely have a material adverse effect on the global financial markets.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March 2014, the Pentagon submitted its FY 2015 Budget Request of approximately $496 billion, which was consistent with the Bipartisan Budget Spending Authorization. Also in March 2014, the Pentagon published the Quadrennial Defense Review ("QDR"). Both the Pentagon’s FY 2015 Budget Request and the QDR provide important insight for future national security funding priorities and related programs, which include cyber security and warfare, unmanned systems, satellite communications, missile defense and electronic warfare.</w:t>
      </w:r>
    </w:p>
    <w:p>
      <w:pPr>
        <w:spacing w:after="0" w:line="26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September 2014, the President signed a FY2015 Continuing Resolution ("CR") that funded the government through December 11, 2014. The bill set the discretionary funding level for the federal government during CR period at an annual rate of $1.012 trillion.</w:t>
      </w:r>
    </w:p>
    <w:p>
      <w:pPr>
        <w:spacing w:after="0" w:line="200" w:lineRule="exact"/>
        <w:rPr>
          <w:sz w:val="20"/>
          <w:szCs w:val="20"/>
          <w:color w:val="auto"/>
        </w:rPr>
      </w:pPr>
    </w:p>
    <w:p>
      <w:pPr>
        <w:spacing w:after="0" w:line="2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December 2014, the U.S. Congress and Senate passed the fiscal year 2015 omnibus appropriations bill, Consolidated and Further Continuing Appropriations Act, 2015 (the "2015 Appropriations Act") that totals $1.014 trillion in discretionary spending in compliance with the bipartisan Murray-Ryan budget agreement. The bill funds the government through September 30, 2015. The Department of Defense Appropriations Act, 2015, which is a part of the Appropriations Act, provides $554.2 billion in base and overseas contingency operation funding, compared to $572 billion enacted in fiscal year 2014 and $554.3 billion in the President’s budget request. The base budget appropriation is $496.1 billion with $64.2 billion for Overseas Contingency Operations ("OCO") of the Department of Defense ("DoD"), compared to $85.2 billion for DoD OCO enacted in fiscal year 2014.</w:t>
      </w:r>
    </w:p>
    <w:p>
      <w:pPr>
        <w:spacing w:after="0" w:line="13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Consequently, the DoD’s overall future spending levels remain uncertain, and we are unable to specifically predict potential changes to future DoD budgets on our programs and the effect that the foregoing would have on our future financial performance and outlook. In the event that BCA funding levels continue, or if other actions are taken to significantly reduce the DoD budget, it is possible that such reductions and related cancellations or delays affecting our existing contracts or programs could have a significant impact on the operating results of our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Reporting Segments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historically operated in two reportable segments: Kratos Government Solutions (“KGS”) and Public Safety &amp; Security (“PSS”). In the fourth quarter of 2014, the Company expanded the number of reportable segments to three as we separated the KGS segment into two reportable segments: KGS and Unmanned Systems (“US”). As a result, the KGS reportable segment is comprised of an aggregation of Kratos’ Government Solutions operating segments, including our electronic products, satellite communications, modular systems and rocket support operating segments.</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new Unmanned Systems reportable segment consists of our unmanned aerial, ground, seaborne and command, control and communications system business. The KGS and US segments provide products, solutions and services primarily for mission critical national security priorities. KGS and US customers primarily include national security related agencies, the DoD, intelligence agencies and classified agencies, and to a lesser degree, international government agencies and domestic and international commercial customers. The PSS segment provides independent integrated solutions for advanced homeland security, public safety, critical infrastructure, and security and surveillance systems for government and commercial applications. PSS customers are in the critical infrastructure, power generation, power transport, nuclear energy, financial, IT, healthcare, education, transportation and petro-chemical industries, as well as certain government and military customers.</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Kratos Government Solutions Segment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KGS segment provides C5ISR products, solutions and services primarily for strategic mission critical national security programs and priorities. Our primary end customers in the KGS segment are U.S. Government agencies, including the Department of Defense ("DoD"), classified agencies, intelligence agencies, civilian agencies, other national security agencies and homeland security related agencies. Our work includes electronic warfare/attack and intelligence, reconnaissance and surveillance; satellite command and control, satellite communications support, signal monitoring, interference detection and geolocation; unmanned aerial systems and unmanned ground systems; ballistic missile defense test and evaluation; cyber and IT; learning, performance and training solutions; missile range operations and technical services; weapon systems lifecycle sustainment, support and extension; manufacturing of specialized tactical combat products, shelters and enclosures for C5ISR systems, UAVs, modular data centers and critical infrastructure shelters, weapons systems and warfighters.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Unmanned Systems Segment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our US segment we design, manufacture, test, and operate aerial target drone systems and composite structures, such as the BQM-167A, BQM-167i, BQM-177A, BQM-177i, and BQM-178 or Firejet. We also supply UAS platforms with sensors, avionics and electronic components including electro-optical/infrared sensors, training systems and ground shelters. We also manufacture and provide avionics systems and ground flight control systems for certain UAS platforms. These products and solutions are used on UAS platforms such as the MQ 1C Gray Eagle, MQ-1C Sky Warrior, Gorgon Stare, MQ-8 Fire Scout, RQ-4B Broad Area Maritime Surveillance and the Persistent Threat Detection System ISR platform. We have manufactured the air frame for the Miniature Air Launched Decoy (MALD) unmanned aerial system. We are currently in development of a high performance Unmanned Combat Aerial System (UCAS) utilizing our existing UAS.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Public Safety &amp; Security Segment</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PSS segment provides independent integrated security solutions for homeland security, public safety, critical infrastructure, and strategic assets for government, industrial and commercial customers. Our solutions include designing, engineering, installing, operating and servicing physical security systems and technologies that protect people, critical infrastructure, strategic assets, and property and make facilities more secure and efficient. We provide solutions in such areas as the design, engineering and operation of command and control centers, the design, engineering, deployment and integration of access control, building automation and control, communications, digital and closed circuit television security and surveillance, fire and life safety, maintenance, services and product support services. We provide solutions for customers in the critical infrastructure, power generation, power transport, nuclear energy, financial, IT, healthcare, education, transportation and petro-chemical industries, as well as certain government and military customers. For example, we provide biometrics and other access control technologies to customers such as pipelines, electrical grids, municipal port authorities, power plants, communication centers, large data centers, government installations and other commercial enterprises.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Acquisitions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supplemented our organic growth by identifying, acquiring and integrating businesses that meet our primary objective of providing us with enhanced capabilities to pursue a broader cross section of the DoD, Department of Homeland Security and other government and critical infrastructure markets, complement and broaden our existing customer base and expand our primary service offerings. Our senior management team has significant acquisition experience.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 of CEi</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July 2, 2012, we completed the acquisition of Composite Engineering, Inc. (“CEi”) for approximately $164.0 million. The purchase price, including an adjustment for working capital and cash paid to the shareholders for an Internal Revenue Code ("IRC") Section 338(h)(10) election, included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was reduced by $1.0 million for the working capital adjustment paid to the Company in July 2013, at which time the remaining escrow was released to the CEi shareholders. In addition, we paid $2.5 million to retire certain pre-existing CEi debt and settle pre-existing accounts receivable from CEi at its carrying and fair value of $3.0 million. The Company made an election under Section 338(h)(10) of the IRC, which resulted in tax deductible goodwill related to this transaction, and paid approximately $1.6 million in additional tax liability incurred by the shareholders of CEi for this election. The Company estimates that the tax deductible goodwill and intangibles is approximately $136.3 million and can be deducted for federal and California state income taxes over a 15-year period.</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CEi acquisition, certain CEi personnel entered into long-term employment agreements with us. On July 2, 2012, we granted restricted stock units (“RSUs”) for an aggregate of 2.0 million shares of our common stock as long-term retention inducement grants to certain employees of CEi who joined Kratos. The RSUs had an estimated value of $11.9 million on the grant date, cliff vest on the fourth anniversary of the closing of the CEi acquisition, or earlier upon the occurrence of certain events, and are being accounted for as compensation expense over this four year period. As of December 28, 2014, 520,000 shares remain unvested and not forfeited.</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To fund the acquisition of CEi, on May 14, 2012, we sold 20.0 million shares of our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partially fund the purchase price of CEi.</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Acquisition of Critical Infrastructure Business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30, 2011, we acquired selected assets of a Critical Infrastructure Business for approximately $18.8 million, which includes a final agreement on the working capital adjustment. 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28, 2014, we consider the following factors to be important in understanding our financial statements.</w:t>
      </w:r>
    </w:p>
    <w:p>
      <w:pPr>
        <w:spacing w:after="0" w:line="225"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KGS' and US'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expenses. In accounting for our long-term contracts for production of products and services provided to the U.S. Government and provided to our PSS segment customers under fixed-price contracts, we utilize both cost-to-cost and units delivered measures under the percentage-of-completion method of accounting in accordance with the provisions of Financial Accounting Standards Board (“FASB”) Accounting Standards Codification (“ASC”)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8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29, 2013 to the Year ended December 28, 2014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reportable segment for the years ended December 29, 2013 and December 28, 2014 are as follows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5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Revenues decreased $82.6 million from $950.6 million in 2013 to $868.0 million in 2014. The decrease in revenues was primarily due to contract delays as a result of competitor protests on awards made to Kratos, a decline in shipments of our defense products, and delays in orders and awards as a result of the challenging federal government and DoD funding environment, all of which adversely impacted the timing of new contract awards, bookings and the Company’s revenues. Additionally, revenues in our KGS Segment were also adversely impacted by a decrease resulting from the expected completion of two sizable satellite communications projects as the scope of work completed its natural contract life cycle transitioning from production to sustainment, which impacted revenue by approximately $18.5 million, and continued ongoing weakness and increased competition and commoditization in our legacy government services businesses of approximately $26.1 million. Revenues in our US Segment were impacted by the reduction of shipments of certain of our aerial target products due primarily to delays in the timing of follow-on and new international contract awards. These reductions in our KGS and US segments were partially offset by growth in our simulation and training business of $18.8 million in our KGS Segment. PSS segment revenue decreased by $13.3 million, which was primarily due to the delay in contract awards and project starts in 2014 offset by the delivery of security related communication equipment of $13.0 million.</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Product sales decreased $29.8 million from $507.0 million for the year ended December 29, 2013 to $477.2 million for the year ended December 28, 2014, primarily as a result of the decline in product shipments due to the factors discussed above. As a percentage of total revenue, product revenues were 53.3% for the year ended December 29, 2013 as compared to 55.0% for the year ended December 28, 2014. Service revenues decreased by $52.8 million from $443.6 million for the year ended December 29, 2013 to $390.8 million for the year ended December 28, 2014. The decrease was primarily related to reductions in the legacy government service revenues and other service contracts in the KGS segment, which reductions are being experienced industry wide as a result of declining DoD budgets, changes in certain DoD procurement rules and other factors, as well as due to the expected completion of two sizable satellite communications projects.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78"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decreased from $710.6 million for the year ended December 29, 2013 to $649.8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28, 2014. The $60.8 million decrease in cost of revenues was primarily a result of decreased revenue discussed above.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declined from 25.2% for the year ended December 29, 2013 compared to 25.1% for the year ended December 28, 2014. Margins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decreased from 24.4% for the year ended December 29, 2013 to 22.1% for the year ended December 28, 2014, due primarily to an unfavorable mix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revenues and decreased margins in our PSS segment. Margins on product sales increased for the year ended December 29, 2013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2014 from 26.0% to 27.7%, respectively, primarily as a result of a change in mix of products sold. Margins in the KGS segment increased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for the year ended December 29, 2013 to 27.4% for the year ended December 28, 2014, primarily as a result of change in the mix of products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Margins in the US segment increased from 19.4% for the year ended December 29, 2013 to 23.2% for the year ended December 28, 2014, primarily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increased costs recorded of approximately $5.5 million on certain aerial target contracts to reflect retrofits necessary to address design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in the year ended December 29, 2013, compared to net increased costs recorded of $3.1 million for similar retrofit related matters and a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adjustment on certain of our unmanned aerial platforms recorded in the year ended December 28, 2014. Margins in the PSS segment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25.8% for the year ended December 29, 2013 to 19.3% for the year ended December 28, 2014 as a result of decreased service margins and due to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on two sizable projects, which were completed in 2014 or are near-completion, under which we are in the process of submitting or have submitted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orders to customers to reimburse us for the work we performed at our customers' request, but for which we have not completed negotiations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orders, and therefore have not reflected the estimated value of these change orders in our revenues to date.</w:t>
      </w:r>
    </w:p>
    <w:p>
      <w:pPr>
        <w:spacing w:after="0" w:line="20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decreased $19.6 million from $193.0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29, 2013 to $173.4 million for the year ended December 28, 2014. The decrease was primarily the result of a $13.7 million reduction of amortization of intangibles in 2014, as a result of certain intangible assets being fully amortized, as well as cost reduction actions taken by the Company. As a percentage of revenues, SG&amp;A decreased from 20.3% for fiscal 2013 to 20.0% for fiscal 2014. Excluding amortization of intangibles of $36.2 million for the year ended December 29, 2013 and amortization of intangibles of $22.5 million for the year ended December 28, 2014, SG&amp;A increased as a percentage of revenues from 16.5% to 17.4% for the year ended December 29, 2013 and December 28, 2014, respectively, primarily as a result of the decline in revenues discussed previously, and increased compliance costs including internal cyber security costs incurred to protect the Company’s assets, and Sarbanes Oxley and audit compliance costs including internal audit and external audit costs.</w:t>
      </w:r>
    </w:p>
    <w:p>
      <w:pPr>
        <w:spacing w:after="0" w:line="18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Merger and acquisition related items. </w:t>
      </w:r>
      <w:r>
        <w:rPr>
          <w:rFonts w:ascii="Times New Roman" w:cs="Times New Roman" w:eastAsia="Times New Roman" w:hAnsi="Times New Roman"/>
          <w:sz w:val="18"/>
          <w:szCs w:val="18"/>
          <w:color w:val="auto"/>
        </w:rPr>
        <w:t>Merger and acquisition expenses increased $4.0 million from a benefit of $3.8 million to $0.2 million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29, 2013 and December 28, 2014, respectively. The benefit of $3.8 million in 2013 was due to the reduction in a $3.1 million liability as a result of our final settlement of our obligations related to former officers and directors of Integral Systems, Inc. ("Integral") on July 1, 2013, as well as a $2.7 million settlement, net of associated legal fees, arising from a contract dispute with a former subcontractor of the Company pursuant to a settlement agreement executed in December 2013. Both of these benefits were offset partially by legal fees and settlements related to prior acquisitions.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 research and development (IR&amp;D) expenses. </w:t>
      </w:r>
      <w:r>
        <w:rPr>
          <w:rFonts w:ascii="Times New Roman" w:cs="Times New Roman" w:eastAsia="Times New Roman" w:hAnsi="Times New Roman"/>
          <w:sz w:val="18"/>
          <w:szCs w:val="18"/>
          <w:color w:val="auto"/>
        </w:rPr>
        <w:t>IR&amp;D expenses increased from $21.4 million for the year ended December 29, 2013 to $23.0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28, 2014. As a percentage of revenues, IR&amp;D increased from 2.3% of revenues for the year ended December 29, 2013 to 2.6% of revenues for the year ended December 28, 2014 as a result of certain investments the Company made primarily related to new programs and platforms in the electronic products business, the unmanned systems area, and the satellite communications business.</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Unused office space and other. </w:t>
      </w:r>
      <w:r>
        <w:rPr>
          <w:rFonts w:ascii="Times New Roman" w:cs="Times New Roman" w:eastAsia="Times New Roman" w:hAnsi="Times New Roman"/>
          <w:sz w:val="18"/>
          <w:szCs w:val="18"/>
          <w:color w:val="auto"/>
        </w:rPr>
        <w:t>The benefit of $2.4 million for the year ended December 29, 2013 was due to a reduction in the excess facility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office space at the Columbia, Maryland administrative facilities, partially offset by expenses related to workforce reductions as a result of cost reduction initiatives we implemented across the Company. The expense of $1.7 million for the year ended December 28, 2014 was primarily due to an estimated excess facility accrual of office space at our Sacramento, California administrative facilities, as well as due to employee termination costs related to personnel reduction actions taken during the year.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from $63.7 million to $92.8 million for the years ended December 29, 2013 and December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respectively. The increase in expense of $29.1 million was primarily related to $39.1 million loss on the extinguishment of the Company’s 10% Senior Secured Notes due 2017, offset by a $9.4 million reduction in interest expense, resulting from the refinance of the Company’s 10% Senior Secured Notes to the 7% Senior Secured Notes.</w:t>
      </w:r>
    </w:p>
    <w:p>
      <w:pPr>
        <w:spacing w:after="0" w:line="18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provision for income taxes changed from no provision on a loss of $31.9 million from continuing operations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for the year ended December 29, 2013 to a provision of $5.1 million on a loss before income taxes of $72.9 million for the year ended December 28, 2014. The zero provision for the year ended December 29, 2013 was primarily comprised of a provision for foreign and state taxes offset by a tax benefit related to a statute of limitations expiration of unrecognized tax benefits. The provision for the year ended December 28, 2014 was primarily comprised of a provision for foreign and state taxes increased by the change in the indefinite life deferred tax liability. See Note 8 of Notes to the Consolidated Financial Statements for a further discussion of our income taxes.</w:t>
      </w:r>
    </w:p>
    <w:p>
      <w:pPr>
        <w:spacing w:after="0" w:line="39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from discontinued operations. </w:t>
      </w:r>
      <w:r>
        <w:rPr>
          <w:rFonts w:ascii="Times New Roman" w:cs="Times New Roman" w:eastAsia="Times New Roman" w:hAnsi="Times New Roman"/>
          <w:sz w:val="18"/>
          <w:szCs w:val="18"/>
          <w:color w:val="auto"/>
        </w:rPr>
        <w:t>Loss from discontinued operations decreased from $5.3 million to $0.0 million for the years ended December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and December 28, 2014, respectively. The revenue and loss from discontinued operations for 2013 was primarily related to operations of the non-core businesses from the Integral acquisition that were classified as held for sale and subsequently sold. See Note 9 of the Notes to Consolidated Financial Statements for a further discussion of our discontinued operations.</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discontinued operations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87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100" w:type="dxa"/>
            <w:vAlign w:val="bottom"/>
            <w:tcBorders>
              <w:bottom w:val="single" w:sz="8" w:color="CCEEFF"/>
            </w:tcBorders>
          </w:tcPr>
          <w:p>
            <w:pPr>
              <w:spacing w:after="0"/>
              <w:rPr>
                <w:sz w:val="16"/>
                <w:szCs w:val="16"/>
                <w:color w:val="auto"/>
              </w:rPr>
            </w:pPr>
          </w:p>
        </w:tc>
      </w:tr>
      <w:tr>
        <w:trPr>
          <w:trHeight w:val="249"/>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30, 2012 to the Year ended December 29, 2013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reportable segment for the years ended December 30, 2012 and December 29, 2013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Unmanned Systems</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revenues</w:t>
            </w:r>
          </w:p>
        </w:tc>
        <w:tc>
          <w:tcPr>
            <w:tcW w:w="3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28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auto"/>
            </w:tcBorders>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revenues</w:t>
            </w:r>
          </w:p>
        </w:tc>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28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revenues</w:t>
            </w:r>
          </w:p>
        </w:tc>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28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auto"/>
            </w:tcBorders>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Revenues decreased $18.6 million from $969.2 million in 2012 to $950.6 million in 2013. Included in our 2013 revenues are increased revenues of $32.3 million generated from the acquisition of CEi in 2012 in our US segment. Revenues in our KGS segment were impacted by organic increases in our weapons range support work of $4.0 million were offset by continued reductions and compression in our legacy government service revenues of approximately $14.5 million, which have continued to be negatively impacted by increased competitive pricing pressures, and continued in-sourcing of our employees by the U.S. Government. In addition, expected reductions due to the completion of production and subsequent migration to the maintenance phase of certain of our satellite communications projects resulted in reduced annual revenues of $18.3 million. Finally, the delay of contract awards and shipments caused by the uncertainty in the DoD budgetary environment impacted revenues primarily in our ground equipment, ballistic missile target and our electronic warfare products business by an aggregate amount of $28.0 million. PSS segment revenue increased by $23.7 million, which was primarily due to strong demand for security and surveillance systems primarily in our transportation and utility vertical within our critical infrastructure business.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Product sales, which are all from the KGS and US segment, decreased $12.2 million from $519.2 million for the year ended December 30, 2012 to $507.0 million for the year ended December 29, 2013. As a percentage of total revenue, product revenues were 53.6% for the year ended December 30, 2012 as compared to 53.3% for the year ended December 29, 2013. An increase in product sales primarily related to the acquisition of CEi was offset by reduced orders and timing on shipments in our ground equipment and electronic warfare businesses. Service revenues decreased by $6.4 million from $450.0 million for the year ended December 30, 2012 to $443.6 million for the year ended December 29, 2013. The decrease was primarily related to the reductions in service revenue in other business units in the KGS segment as discussed above.</w:t>
      </w:r>
    </w:p>
    <w:p>
      <w:pPr>
        <w:spacing w:after="0" w:line="186"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decreased from $712.0 million for the year ended December 30, 2012 to $710.6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29, 2013. The $1.4 million decrease in cost of revenues was primarily a result of an increase resulting from our 2012 acquisition of CEi offset by reductions in cost of revenues in our KGS segment as a result of decreased revenue as discussed above.</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Gross margin declined from 26.5% for the year ended December 30, 2012 compared to 25.2% for the year ended December 29, 2013. Margins on services increased from 22.0% for the year ended December 30, 2012 to 24.4% for the year ended December 29, 2013, primarily reflecting the impact of cost reduction actions we have taken. Margins on products decreased for the year ended December 30, 2012 as compared to December 29, 2013 from 30.4% to 26.0%, respectively, as a result of a change in mix of products sold. Margins in the KGS segment decreased from 24.2% for the year ended December 30, 2012 to 23.7% for the year ended December 29, 2013 primarily as a result of change in mix of products sold. Margins in the US segment decreased from</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25.7% for the year ended December 30, 2012 to 19.5% for the year ended December 29, 2013 due primarily to contract design retrofit costs of approximately $7.6 million recorded in 2013 as a result of an unsuccessful flight test failure of one of our aerial targets. Margins in the PSS segment decreased from 26.5% for the year ended December 30, 2012 to 25.8% for the year ended December 29, 2013 as a result of the mix of revenue and due to the impact of certain larger projects that were awarded at more competitive margins.</w:t>
      </w:r>
    </w:p>
    <w:p>
      <w:pPr>
        <w:spacing w:after="0" w:line="18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decreased $0.1 million from $193.1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30, 2012 to $193.0 million for the year ended December 29, 2013. The decrease was primarily a result of the additional SG&amp;A expenses associated with the CEi business offset in part by cost reduction actions we have made. As a percentage of revenues, SG&amp;A increased from 19.9% for fiscal 2012 to 20.3% for fiscal 2013. Excluding amortization of intangibles of $43.9 million for the year ended December 30, 2012 and amortization of intangibles of $36.2 million for the year ended December 29, 2013, SG&amp;A increased as a percentage of revenues from 15.4% to 16.5% for the year ended December 30, 2012 and December 29, 2013, respectively, primarily reflecting a full year of the SG&amp;A of our acquisition of CEi, which operates at a higher SG&amp;A infrastructure support than our other businesses.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Merger and acquisition related items. </w:t>
      </w:r>
      <w:r>
        <w:rPr>
          <w:rFonts w:ascii="Times New Roman" w:cs="Times New Roman" w:eastAsia="Times New Roman" w:hAnsi="Times New Roman"/>
          <w:sz w:val="18"/>
          <w:szCs w:val="18"/>
          <w:color w:val="auto"/>
        </w:rPr>
        <w:t>Merger and acquisition benefit increased $1.1 million from $2.7 million benefit to a benefit of $3.8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years ended December 30, 2012 and December 29, 2013, respectively. Acquisition expenses related to our acquisitions of the Critical Infrastructure Business and CEi in 2012 were offset by a reduction in liabilities of $4.5 million as a result of reaching an agreement over previously disputed fees, a change in estimate of our indemnity obligations related to former directors and officers of Integral as a result of the settlement of the matter against one of the officers in November 2012 and an adjustment to the estimated contingent acquisition consideration owed to Southside Container &amp; Trailer, LLC ("SCT"). The benefit of $3.8 million in 2013 was due to the reduction in a $3.1 million liability as a result of our final settlement of our obligations related to former officers and directors of Integral on July 1, 2013, as well as a $2.7 million settlement, net of associated legal fees, arising from a contract dispute with a former subcontractor of the Company pursuant to a settlement agreement executed in December 2013. Both of these benefits were offset partially by legal fees and settlements related to prior acquisitions.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from $17.8 million for the year ended December 30, 2012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$21.4 million for the year ended December 29, 2013 primarily related to the acquisitions of CEi, as well as due to select investments we are making to enhance certain satellite, electronic warfare/electronic attack products and unmanned systems.</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and intangible assets. </w:t>
      </w:r>
      <w:r>
        <w:rPr>
          <w:rFonts w:ascii="Times New Roman" w:cs="Times New Roman" w:eastAsia="Times New Roman" w:hAnsi="Times New Roman"/>
          <w:sz w:val="18"/>
          <w:szCs w:val="18"/>
          <w:color w:val="auto"/>
        </w:rPr>
        <w:t>In 2012, as a result of reduced defense spending, the threat of sequestration and a decrease in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multiples and our stock price and the corresponding negative impact on the fair value of the KGS and US reporting units, we incurred a non-cash goodwill impairment charge of $82.0 million. We also incurred a non-cash intangible asset charge of $14.6 million related to the decision to minimize the use of the Charleston Marine Containers, Inc. and Henry Bros. Electronics, Inc. ("HBE"), trade names as part of our overall branding strategy.</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Unused office space and other. </w:t>
      </w:r>
      <w:r>
        <w:rPr>
          <w:rFonts w:ascii="Times New Roman" w:cs="Times New Roman" w:eastAsia="Times New Roman" w:hAnsi="Times New Roman"/>
          <w:sz w:val="18"/>
          <w:szCs w:val="18"/>
          <w:color w:val="auto"/>
        </w:rPr>
        <w:t>The expense of $2.1 million for the year ended December 30, 2012 was a result of an increase in our excess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 due to consolidation of office space at our Lanham, Maryland and Huntsville, Alabama administrative facilities. The credit of $4.7 million for the year ended December 29, 2013 was due to a reduction in the excess facility accrual of office space at the Columbia, Maryland administrative facilities, primarily offset by expenses related to workforce reductions as a result of cost reduction initiatives we have implemented across the Company.</w:t>
      </w:r>
    </w:p>
    <w:p>
      <w:pPr>
        <w:spacing w:after="0" w:line="180"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decreased from $64.8 million to $63.7 million for the years ended December 30, 2012 and December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respectively. The decrease in expense of $1.1 million was mainly due to a decrease of $2.4 million in the net interest income/expense, partially offset by a decrease in other income of $1.3 million.</w:t>
      </w:r>
    </w:p>
    <w:p>
      <w:pPr>
        <w:spacing w:after="0" w:line="174"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The provision for income taxes decreased from a benefit of $1.6 million on a loss of $114.5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operations before income taxes for the year ended December 30, 2012 to no provision on a loss before income taxes of $31.9 million for the year ended December 29, 2013. The benefit for the year ended December 30, 2012 was primarily due to the impairment of goodwill and intangible assets offset by state income taxes. The zero provision for the year ended December 29, 2013 was primarily comprised of a provision for foreign and state taxes offset by tax benefit related to a statute of limitations expiration of unrecognized tax benefits.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from discontinued operations. </w:t>
      </w:r>
      <w:r>
        <w:rPr>
          <w:rFonts w:ascii="Times New Roman" w:cs="Times New Roman" w:eastAsia="Times New Roman" w:hAnsi="Times New Roman"/>
          <w:sz w:val="18"/>
          <w:szCs w:val="18"/>
          <w:color w:val="auto"/>
        </w:rPr>
        <w:t>Loss from discontinued operations increased from $1.5 million to $5.3 million for the year ended December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and December 29, 2013, respectively. In 2012 and 2013, the loss was primarily due to the operations of the non-core businesses from the Integral acquisition that have been classified as held for sale. Revenues generated by these businesses were approximately $18.5 million and $3.7 million for the years ended December 30, 2012 and December 29, 2013, respectively. Loss before income taxes was $1.8 million and $5.3 million for the years ended December 30, 2012 and December 29, 2013, respectively. Included in the loss for December 30, 2012 is a goodwill impairment charge of $1.5 million. We recognized a tax benefit of $0.3 million in the year ended December 30, 2012 primarily related to the expiration of the statute of limitations for certain domestic and foreign tax contingencies.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discontinued operations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95"/>
        </w:trPr>
        <w:tc>
          <w:tcPr>
            <w:tcW w:w="870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29, 2013</w:t>
            </w:r>
          </w:p>
        </w:tc>
      </w:tr>
      <w:tr>
        <w:trPr>
          <w:trHeight w:val="249"/>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2014, we had cash and cash equivalents of $34.7 million compared with cash and cash equivalents of $55.7 million as of December 29, 2013, which includes $12.0 million and $16.0 million, respectively, of cash and cash equivalents held by our foreign subsidiaries. We are not presently aware of any restrictions on the repatriation of these funds, however, they are essentially considered permanently invested in these foreign subsidiaries. If these funds were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8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total debt, including capital lease obligations, principal due on the Notes, other term debt, and the discount of $5.8 million on the Notes issued, increased by $19.4 million from $644.7 million as of December 29, 2013 to $664.1 million as of December 28, 2014. The increase in debt was primarily due to the Company’s refinancing of its existing $625.0 million 10% Senior Secured Notes due 2017, which occurred in May 2014. The Company refinanced its existing 10% Senior Notes with an offering of $625.0 million aggregate principal amount of 7.00% Senior Secured Notes due 2019. The proceeds from the offering, as well as borrowings of $41.0 million from our new credit agreement and cash from operations were used to extinguish the Company’s existing 10% Senior Secured Notes due 2017 and to pay all fees and expenses related thereto.</w:t>
      </w:r>
    </w:p>
    <w:p>
      <w:pPr>
        <w:spacing w:after="0" w:line="188" w:lineRule="exact"/>
        <w:rPr>
          <w:sz w:val="20"/>
          <w:szCs w:val="20"/>
          <w:color w:val="auto"/>
        </w:rPr>
      </w:pPr>
    </w:p>
    <w:p>
      <w:pPr>
        <w:ind w:right="80" w:firstLine="690"/>
        <w:spacing w:after="0" w:line="255"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fund capital expenditures, our R&amp;D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As our mix of revenues has become more product rather than service focused, our days sales outstanding on our receivables have been impacted and can fluctuate due to contractual billing milestones under which we are unable to bill and collect certain amounts until the milestones have been satisfied.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w:t>
      </w:r>
    </w:p>
    <w:p>
      <w:pPr>
        <w:spacing w:after="0" w:line="18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operating activities from continuing operations from our Consolidated Statements of Cash Flows is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4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2"/>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6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Our cash provided by operating activities was impacted by interest and transaction expenses we paid related to the completion of a strategic acquisition 2012. We paid $64.0 million, $63.8 million, and $57.1 million in interest expense in 2012, 2013, and 2014, respectively. Cash provided by operating activities in 2012, 2013 and 2014 also includes $5.4 million, $0.6 million, and $0.0 million, respectively, in transaction costs paid related to our acquisitions. See Note 3 and Note 5 of the Notes to Consolidated Financial Statements contained within this Annual Report for a further discussion of our acquisitions and debt. Excluding the payment of transaction expenses, cash provided by operating activities was $57.7 million, $23.2 million, and $7.7 million in 2012, 2013, and 2014, respectively.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6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6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9"/>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disposition of discontinued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5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5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7"/>
        </w:trPr>
        <w:tc>
          <w:tcPr>
            <w:tcW w:w="6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6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Cash paid for acquisitions accounted for the most significant outlays for investing activities for the year ended December 30, 2012 as a result of the implementation of our strategy to diversify our business through strategic acquisitions. On July 2, 2012, we completed the acquisition of CEi and paid approximately $135.0 million for the cash portion of the purchase of CEi common stock and to retire CEi's existing debt and capital leases.</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Capital expenditures in 2012, 2013, and 2014 reflect investments we made for certain machinery, test equipment, and demonstration units in our unmanned aerial systems business, and to a lesser degree, investments we made in our electronic products business, and our satellite communications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provided by financing activities from continuing operations is summarized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contingent acquisition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under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 paid</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restricted stock units, employee stock options, and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1"/>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financing activities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6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as well as borrowings of $40.0 million from our revolving line of credit to fund the cash consideration paid to the stockholders of CEi in connection with our acquisition in July 2012. In September 2012, we repaid the $40.0 million borrowed on our revolving line of credit for the acquisition of CEi.</w:t>
      </w:r>
    </w:p>
    <w:p>
      <w:pPr>
        <w:spacing w:after="0" w:line="184" w:lineRule="exact"/>
        <w:rPr>
          <w:sz w:val="20"/>
          <w:szCs w:val="20"/>
          <w:color w:val="auto"/>
        </w:rPr>
      </w:pPr>
    </w:p>
    <w:p>
      <w:pPr>
        <w:jc w:val="both"/>
        <w:ind w:right="46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28, 2014 reflects refinancing $625.0 million of our 10% Senior Secured Notes due in 2017 with $625.0 million of 7.00% Senior Secured Notes due in 2019 as well as a $41.0 million borrowing on our new Credit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2"/>
        </w:trPr>
        <w:tc>
          <w:tcPr>
            <w:tcW w:w="6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provided by (used in) discontinued operations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7.00% Senior Secured Notes due 2019</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2014, we refinanced our $625.0 million 10% Senior Secured Notes due in 2017 (the "10% Notes") with $625.0 million of newly issued 7.00% Senior Secured Notes due in 2019 (the "7% Notes"). The net proceeds from the issuance of the 7% Notes was $618.5 million after an original issue discount of $6.5 million. We incurred debt issuance costs of $8.7 million associated with the new 7% Notes. We utilized the net proceeds from the 7% Notes, a $41.0 million draw on a new credit agreement discussed below, as well as cash from operations to extinguish the 10% Notes. The total reacquisition price of the 10% Notes was $661.5 million, including a $31.2 million early termination fee, the write off of $15.5 million of unamortized issue costs, $12.9 million of unamortized premium, along with $5.3 million of additional interest while in escrow, which resulted in a loss on extinguishment of $39.1 million.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completed the offering of the 7% Notes (hereafter the "Notes”) in a private placement conducted pursuant to Rule 144A and Regulation S under the Securities Act of 1933, as amended (the “Act”). The Notes are governed by an Indenture dated May 14, 2014 (the “Indenture”) among us, certain of our subsidiaries (the “Guarantors”) and Wilmington Trust, National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Association, as Trustee and Collateral Agent. A Guarantor can be released from its Guarantee if (a) all of the Capital Stock issued by such Guarantor or all or substantially all of the assets of such Guarantor are sold or otherwise disposed of; (b) we designate such Guarantor as an Unrestricted Subsidiary; (c) we exercised our legal defeasance option or its covenant defeasance option; (d) upon satisfaction and discharge of the Indenture or payment in full in cash of the principal of, premium, if any, accrued and unpaid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Company's $110.0 million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pay interest on the Notes semi-annually, in arrears, on May 15 and November 15 of each year.</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28, 2014, we were in compliance with the covenants contained in the Indenture governing the Notes.</w:t>
      </w:r>
    </w:p>
    <w:p>
      <w:pPr>
        <w:spacing w:after="0" w:line="187"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On or after May 15, 2016, we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of the aggregate principal amount of such notes plus accrued and unpaid interest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17, 2014, we commenced an offer to exchange the outstanding Notes for an equal amount of new 7.00% Senior Secured Notes due 2019 (the “Exchange Notes”) that have been registered under the Securities Act of 1933, as amended. We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us and each of our subsidiaries, as the guarantors thereof. The Company pays interest on the Exchange Notes semi-annually, in arrears, on May 15 and November 15 of each year. We completed the exchange offer on October 16, 2014, at which time the holders of all outstanding Notes had elected to exchange their Notes for Exchange Notes. We have no further obligations under the Registration Rights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Indebtedness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Agreement</w:t>
      </w:r>
    </w:p>
    <w:p>
      <w:pPr>
        <w:spacing w:after="0" w:line="2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14, 2014, we replaced the credit facility with KeyBank National Association and entered into a Credit and Security Agreement (the “Credit Agreement”), by and among the us,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our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1.50% - 2.00% for base rate revolving loans and swingline loans and 2.50% - 3.00%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then-held eligible raw materials inventory, work-in-process inventory, and applicable reserves. As of December 28, 2014, there was $41.0 million outstanding on the Credit Agreement and $13.6 million was outstanding on letters of credit, resulting in net borrowing base availability of $45.1 million. We were in compliance with the financial covenants as of December 28, 2014.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 of Herley</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assumed a $10.0 million ten-year term loan with a bank in Israel that Herley entered into on September 16, 2008 in connection with the acquisition of one of its wholly owned subsidiaries. The balance as of December 28, 2014 was $3.8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December 28, 2014.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Payments in Connection with Acquisitions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our business acquisitions, we agreed to make additional future payments to sellers based on final purchase price adjustments and the expiration of certain indemnification obligations. Pursuant to the provisions of </w:t>
      </w:r>
      <w:r>
        <w:rPr>
          <w:rFonts w:ascii="Times New Roman" w:cs="Times New Roman" w:eastAsia="Times New Roman" w:hAnsi="Times New Roman"/>
          <w:sz w:val="18"/>
          <w:szCs w:val="18"/>
          <w:i w:val="1"/>
          <w:iCs w:val="1"/>
          <w:color w:val="auto"/>
        </w:rPr>
        <w:t>Topic 805</w:t>
      </w:r>
      <w:r>
        <w:rPr>
          <w:rFonts w:ascii="Times New Roman" w:cs="Times New Roman" w:eastAsia="Times New Roman" w:hAnsi="Times New Roman"/>
          <w:sz w:val="18"/>
          <w:szCs w:val="18"/>
          <w:color w:val="auto"/>
        </w:rPr>
        <w:t>, such amounts are recorded at fair value on the acquisition date.</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we were obligated to pay certain additional contingent consideration (the “DEI Contingent Consideration”). We have paid $5.0 million related to the DEI Contingent Consideration, of which $2.5 million and $2.1 million was paid in April 2012 and April 2013, respectively.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in Regulation S-K, Item 303(a)(4)(ii).</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20"/>
          </w:cols>
          <w:pgMar w:left="24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other commitments at December 28, 2014, and the effect such obligations could have on our liquidity and cash flow in future periods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Payments due/forecast by Period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5"/>
        </w:trPr>
        <w:tc>
          <w:tcPr>
            <w:tcW w:w="3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23"/>
                <w:szCs w:val="23"/>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2016 - 2017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2018 - 2019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 and After</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net of interest(1)</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interest on debt(2)</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orders(3)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leases(4)</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penalties(5)</w:t>
            </w:r>
          </w:p>
        </w:tc>
        <w:tc>
          <w:tcPr>
            <w:tcW w:w="3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commitments and recorded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12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in the aggregate principal amount of $625.0 million are due May 15, 2019. See Note 5 in the Notes to Consolidated Financial Statements contained within this Annual Report for further details.</w:t>
      </w:r>
    </w:p>
    <w:p>
      <w:pPr>
        <w:spacing w:after="0" w:line="161" w:lineRule="exact"/>
        <w:rPr>
          <w:rFonts w:ascii="Times New Roman" w:cs="Times New Roman" w:eastAsia="Times New Roman" w:hAnsi="Times New Roman"/>
          <w:sz w:val="18"/>
          <w:szCs w:val="18"/>
          <w:color w:val="auto"/>
        </w:rPr>
      </w:pPr>
    </w:p>
    <w:p>
      <w:pPr>
        <w:ind w:left="660" w:right="3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payments based on current interest rates for variable rate debt and the Notes. See Note 5 in the Notes to Consolidated Financial Statements contained within in this Annual Report for further details.</w:t>
      </w:r>
    </w:p>
    <w:p>
      <w:pPr>
        <w:spacing w:after="0" w:line="161" w:lineRule="exact"/>
        <w:rPr>
          <w:rFonts w:ascii="Times New Roman" w:cs="Times New Roman" w:eastAsia="Times New Roman" w:hAnsi="Times New Roman"/>
          <w:sz w:val="18"/>
          <w:szCs w:val="18"/>
          <w:color w:val="auto"/>
        </w:rPr>
      </w:pPr>
    </w:p>
    <w:p>
      <w:pPr>
        <w:ind w:left="660" w:right="60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include commitments in which a written purchase order has been issued to a vendor, but the goods have not been received or services have not been performed.</w:t>
      </w:r>
    </w:p>
    <w:p>
      <w:pPr>
        <w:spacing w:after="0" w:line="161" w:lineRule="exact"/>
        <w:rPr>
          <w:rFonts w:ascii="Times New Roman" w:cs="Times New Roman" w:eastAsia="Times New Roman" w:hAnsi="Times New Roman"/>
          <w:sz w:val="18"/>
          <w:szCs w:val="18"/>
          <w:color w:val="auto"/>
        </w:rPr>
      </w:pPr>
    </w:p>
    <w:p>
      <w:pPr>
        <w:jc w:val="both"/>
        <w:ind w:left="660" w:right="4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or acquired various non-cancelable operating lease agreements that expire on various dates through 2022. The amounts include $11.3 million in excess facility costs and exclude expected sublease income. See Note 6 in the Notes to Consolidated Financial Statements contained within this Annual Report for further details.</w:t>
      </w:r>
    </w:p>
    <w:p>
      <w:pPr>
        <w:spacing w:after="0" w:line="176"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Balance Sheet at December 28, 2014 included a $2.8 million noncurrent liability for uncertain tax positions, all of which may result in cash payments. The future payments related to uncertain tax positions have not been presented in the table above due to the uncertainty of the amounts and timing of cash settlement with the taxing authorities.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28, 2014, we have $13.6 million of standby letters of credit outstanding. Our letters of credit are primarily related to milestone payments received from foreign customers for which the customer has not yet received the product, and our prior workers compensation program. Additional information regarding our financial commitments at December 28, 2014 is provided in the Notes to Consolidated Financial Statements contained in this Annual Report, specifically Note 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Liquidity Matters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intend to fund our cash requirements with cash flows from operating activities and borrowings under the Credit Agreement. We believe these sources should be sufficient to meet our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our more significant judgments and estimates used in the preparation of our Consolidated Financial Statements. The preparation of our financial statements in conformity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warranties, accruals for partial self-insurance, contingencies and litigation, business combination purchase price allocations, contingent acquisition consideration, stock-based compensation,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generate our revenue from three different types of contractual arrangements: cost-plus-fee contracts, time-and-materials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three basic categories of fixed-price contracts: fixed unit price, fixed-price level of effort, and fixed-price completion. Revenue recognition methods on fixed-price contracts will vary depending on the nature of the work and the contract terms. Revenues on fixed-price service contracts are recorded as work is performed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generally requires revenue to be deferred until all of the following have occurred: (1) there is a contract in place, (2) 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we are paid a specific amount to provide services for a stated period of time is recognized ratably over the service period.</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portion of our fixed-price completion contracts are within the scope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when our customers have requested that we commence work prior to receipt of the contract award and funding, we have incurred costs related to that specific anticipated contract, and we believe recoverability of the costs is probable, we may defer those costs incurred until the associated contract has been awarded and funded by the customer.</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accounting for our long-term contracts for production of products provided to the U.S. Government, we utilize both cost-to-cost and units delivered measures under the percentage-of-completion method of accounting under the provisions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units delivered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that is accounted for using the percentage-of-completion method may adversely affect our gross margins for the period in which the contract is modified or canceled.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our policy to review any arrangement containing software or software deliverables and services against the criteria contained in </w:t>
      </w:r>
      <w:r>
        <w:rPr>
          <w:rFonts w:ascii="Times New Roman" w:cs="Times New Roman" w:eastAsia="Times New Roman" w:hAnsi="Times New Roman"/>
          <w:sz w:val="18"/>
          <w:szCs w:val="18"/>
          <w:i w:val="1"/>
          <w:iCs w:val="1"/>
          <w:color w:val="auto"/>
        </w:rPr>
        <w:t>FASB ASC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985, Software (“Topic 985”) </w:t>
      </w:r>
      <w:r>
        <w:rPr>
          <w:rFonts w:ascii="Times New Roman" w:cs="Times New Roman" w:eastAsia="Times New Roman" w:hAnsi="Times New Roman"/>
          <w:sz w:val="18"/>
          <w:szCs w:val="18"/>
          <w:color w:val="auto"/>
        </w:rPr>
        <w:t>and related technical practice aids. Under the provisions of</w:t>
      </w:r>
      <w:r>
        <w:rPr>
          <w:rFonts w:ascii="Times New Roman" w:cs="Times New Roman" w:eastAsia="Times New Roman" w:hAnsi="Times New Roman"/>
          <w:sz w:val="18"/>
          <w:szCs w:val="18"/>
          <w:i w:val="1"/>
          <w:iCs w:val="1"/>
          <w:color w:val="auto"/>
        </w:rPr>
        <w:t xml:space="preserve"> Topic 985</w:t>
      </w:r>
      <w:r>
        <w:rPr>
          <w:rFonts w:ascii="Times New Roman" w:cs="Times New Roman" w:eastAsia="Times New Roman" w:hAnsi="Times New Roman"/>
          <w:sz w:val="18"/>
          <w:szCs w:val="18"/>
          <w:color w:val="auto"/>
        </w:rPr>
        <w:t>, we review the contract value of software deliverables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and determine allocations of the contract value based on Vendor Specific Objective Evidence (“VSOE”). All software arrangements requiring significant production, modification, or customization of the software are accounted for in conformity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contracts may include the provision of more than one of our services (“multiple element arrangements”). In these situations, we apply the guidance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multiple element arrangements that include hardware products containing software essential to the hardware products' functionality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our management, taking into consideration our marketing strategy.</w:t>
      </w:r>
    </w:p>
    <w:p>
      <w:pPr>
        <w:spacing w:after="0" w:line="18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Depending on the contractual arrangement, these expenses may be reimbursed with or without a fee.</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Depending on the specific circumstances of the arrangement we consider the following criteria, among others, for recording revenue on a gross or net basis:</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act as a principal in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take title to the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assume risks and rewards of ownership, such as risk of loss for collection, delivery or returns;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serve as an agent or broker, with compensation on a commission or fee basis;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assume the credit risk for the amount billed to the customer subsequent to delivery.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8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proceed with work based on customer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customer, communications with the customer regarding funding status, and our knowledge of available funding for the contract or program.</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maintain an allowance for doubtful accounts for estimated losses resulting from the potential inability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9" w:lineRule="exact"/>
        <w:rPr>
          <w:sz w:val="20"/>
          <w:szCs w:val="20"/>
          <w:color w:val="auto"/>
        </w:rPr>
      </w:pPr>
    </w:p>
    <w:p>
      <w:pPr>
        <w:jc w:val="both"/>
        <w:ind w:right="120"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Long-lived and Intangible Assets. </w:t>
      </w:r>
      <w:r>
        <w:rPr>
          <w:rFonts w:ascii="Times New Roman" w:cs="Times New Roman" w:eastAsia="Times New Roman" w:hAnsi="Times New Roman"/>
          <w:sz w:val="17"/>
          <w:szCs w:val="17"/>
          <w:color w:val="auto"/>
        </w:rPr>
        <w:t>We account for long-lived assets in accordance with the provisions of</w:t>
      </w:r>
      <w:r>
        <w:rPr>
          <w:rFonts w:ascii="Times New Roman" w:cs="Times New Roman" w:eastAsia="Times New Roman" w:hAnsi="Times New Roman"/>
          <w:sz w:val="17"/>
          <w:szCs w:val="17"/>
          <w:i w:val="1"/>
          <w:iCs w:val="1"/>
          <w:color w:val="auto"/>
        </w:rPr>
        <w:t xml:space="preserve"> FASB ASC Topic 360 Property, Plant, and Equipment (“Topic 360”). Topic 360 </w:t>
      </w:r>
      <w:r>
        <w:rPr>
          <w:rFonts w:ascii="Times New Roman" w:cs="Times New Roman" w:eastAsia="Times New Roman" w:hAnsi="Times New Roman"/>
          <w:sz w:val="17"/>
          <w:szCs w:val="17"/>
          <w:color w:val="auto"/>
        </w:rPr>
        <w:t>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Times New Roman" w:cs="Times New Roman" w:eastAsia="Times New Roman" w:hAnsi="Times New Roman"/>
          <w:sz w:val="18"/>
          <w:szCs w:val="18"/>
          <w:i w:val="1"/>
          <w:iCs w:val="1"/>
          <w:color w:val="auto"/>
        </w:rPr>
        <w:t>Topic 360</w:t>
      </w:r>
      <w:r>
        <w:rPr>
          <w:rFonts w:ascii="Times New Roman" w:cs="Times New Roman" w:eastAsia="Times New Roman" w:hAnsi="Times New Roman"/>
          <w:sz w:val="18"/>
          <w:szCs w:val="18"/>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85"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Topic 360</w:t>
      </w:r>
      <w:r>
        <w:rPr>
          <w:rFonts w:ascii="Times New Roman" w:cs="Times New Roman" w:eastAsia="Times New Roman" w:hAnsi="Times New Roman"/>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stock price for a sustained period;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relative to net book value.</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Purchased Intangibles. </w:t>
      </w:r>
      <w:r>
        <w:rPr>
          <w:rFonts w:ascii="Times New Roman" w:cs="Times New Roman" w:eastAsia="Times New Roman" w:hAnsi="Times New Roman"/>
          <w:sz w:val="18"/>
          <w:szCs w:val="18"/>
          <w:color w:val="auto"/>
        </w:rPr>
        <w:t>The purchase price of an acquired business is allocated to the underlying tangible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121" w:right="2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8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We perform our impairment test for goodwill in accordance with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KGS has five operating segments: Defense Rocket Support Services ("DRSS"), Electronic Products ("EP"), Technical and Training Solutions ("TTS"), Modular Systems ("MS"), and Unmanned Systems ("US") that provide technology based defense solutions, involving products and services, primarily for mission critical United States National Security priorities, with the primary focus relating to the nation’s C5ISR requirements. The PSS operating segment provides integrated solutions for advanced homeland security, public safety, critical infrastructure security, and security and surveillance systems for government, industrial and commercial customers. The Company has identified its reporting units to be the DRSS, EP, TTS, MS, and US divisions within its KGS and US reportable segments, and the PSS reportable segment to be tested for potential impairment in its fiscal year 2014 annual test.</w:t>
      </w:r>
    </w:p>
    <w:p>
      <w:pPr>
        <w:spacing w:after="0" w:line="14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fourth quarter of fiscal year 2014, we prospectively changed our goodwill testing date from the last day of our fiscal year to the last day of our fiscal October. The change was to better align our impairment testing procedures with the completion of our annual financial and strategic planning process as discussed in Note 2 of the Notes to Consolidated Financial Statements. We also perform impairment tests for goodwill whenever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by calculating our market capitalization based upon an average of our stock price prior to and subsequent to the date we perform our analysis and assuming a control premium.</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62" w:lineRule="exact"/>
        <w:rPr>
          <w:sz w:val="20"/>
          <w:szCs w:val="20"/>
          <w:color w:val="auto"/>
        </w:rPr>
      </w:pPr>
    </w:p>
    <w:p>
      <w:pPr>
        <w:ind w:left="980" w:right="20" w:hanging="324"/>
        <w:spacing w:after="0" w:line="313"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spacing w:after="0" w:line="138" w:lineRule="exact"/>
        <w:rPr>
          <w:rFonts w:ascii="Times New Roman" w:cs="Times New Roman" w:eastAsia="Times New Roman" w:hAnsi="Times New Roman"/>
          <w:sz w:val="17"/>
          <w:szCs w:val="17"/>
          <w:color w:val="auto"/>
        </w:rPr>
      </w:pPr>
    </w:p>
    <w:p>
      <w:pPr>
        <w:ind w:left="980" w:right="1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161"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historical market multiples are used to estimate future market pricing.</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an estimated control premium in reconciling the aggregate value of our reporting units to our market capitalization. As discussed in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control premiums may effectively cause a company's aggregate fair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121" w:right="29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980" w:right="20"/>
        <w:spacing w:after="0" w:line="308" w:lineRule="auto"/>
        <w:rPr>
          <w:sz w:val="20"/>
          <w:szCs w:val="20"/>
          <w:color w:val="auto"/>
        </w:rPr>
      </w:pPr>
      <w:r>
        <w:rPr>
          <w:rFonts w:ascii="Times New Roman" w:cs="Times New Roman" w:eastAsia="Times New Roman" w:hAnsi="Times New Roman"/>
          <w:sz w:val="18"/>
          <w:szCs w:val="18"/>
          <w:color w:val="auto"/>
        </w:rPr>
        <w:t>value of its reporting unit(s) to exceed its current market 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53"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While our methodology for evaluating goodwill and intangibles for impairment has always used the income and market approach, in the past the market approach was used solely to validate that the fair value derived from the income approach was comparable to its market peers. Beginning 2011, we used a weighting of the income and market approach to derive the fair value of our reporting units which resulted in a more conservative fair value.</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2012 KGS was impacted by continued declining market valuations and the economic uncertainty in the U.S. defense industry, which resulted in the book value of KGS exceeding its fair value in step one of the impairment test during our annual test in 2012. As a result, we performed the second step of the goodwill impairment test to measure the amount of the impairment loss, if any.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we recorded an $82.0 million goodwill impairment related to KGS, as of December 30, 2012.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 Prior to conducting step one of our 2012 goodwill impairment test, we reviewed certain of our long-lived assets for recoverability and recorded intangible asset impairment losses related to a change in the estimated life of trade names of $12.9 million and $1.7 million in our PSS and KGS reporting units, respectively. See Note 2 of the Notes to Consolidated Financial Statements for a further discussion of these intangible asset and goodwill impairments.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goodwill of the PSS, US, and KGS reportable segments are $35.6 million, $97.3 million and $463.5 million, respectively, at December 28, 2014.</w:t>
      </w:r>
    </w:p>
    <w:p>
      <w:pPr>
        <w:spacing w:after="0" w:line="23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determining the fair value of our reporting units, there are key assumptions related to our future operating performance and revenue growth. If the actual operating performance and financial results are not consistent with our assumptions an impairment in our $596.4 million goodwill and $52.3 million long-lived intangibles could occur in future periods. In particular, the US reporting unit fair value includes assumptions that the development of the high performance UCAS product is successful and we are awarded future contracts for the UCAS product. Additionally, the US reporting unit fair value assumes that we will receive follow on orders for the Sub-Sonic Aerial Target ("SSAT"), which us currently under contract with the US Navy. Additional risks for goodwill across all reporting units include, but not limited to the risks discussed in Item 1A “Risk Factors” contained within this Annual Report and:</w:t>
      </w:r>
    </w:p>
    <w:p>
      <w:pPr>
        <w:spacing w:after="0" w:line="188" w:lineRule="exact"/>
        <w:rPr>
          <w:sz w:val="20"/>
          <w:szCs w:val="20"/>
          <w:color w:val="auto"/>
        </w:rPr>
      </w:pPr>
    </w:p>
    <w:p>
      <w:pPr>
        <w:ind w:left="980" w:right="20" w:hanging="324"/>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 and resulting market capitalization, if we determine the decline is sustained and is indicative of a reduction in the fair value below the carrying value of our reporting units;</w:t>
      </w:r>
    </w:p>
    <w:p>
      <w:pPr>
        <w:ind w:left="980" w:right="72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programs or requirements, including the increased use of small business providers;</w:t>
      </w:r>
    </w:p>
    <w:p>
      <w:pPr>
        <w:spacing w:after="0" w:line="9" w:lineRule="exact"/>
        <w:rPr>
          <w:rFonts w:ascii="Times New Roman" w:cs="Times New Roman" w:eastAsia="Times New Roman" w:hAnsi="Times New Roman"/>
          <w:sz w:val="18"/>
          <w:szCs w:val="18"/>
          <w:color w:val="auto"/>
        </w:rPr>
      </w:pPr>
    </w:p>
    <w:p>
      <w:pPr>
        <w:ind w:left="980" w:right="5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reach our internal forecasts could impact our ability to achieve our forecasted levels of cash flows and reduce the estimated discounted value of our reporting units; and</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equity and debt markets resulting in higher discount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political factors that could impact the success of new products, especially related to new unmanned systems platforms.</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It is not possible at this time to determine if an impairment charge would result from these factors, or, if it does, whether such charge would be material. We will continue to monitor the recoverability of our goodwill.</w:t>
      </w:r>
    </w:p>
    <w:p>
      <w:pPr>
        <w:spacing w:after="0" w:line="160"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and tax contingencies. Topic 740 </w:t>
      </w:r>
      <w:r>
        <w:rPr>
          <w:rFonts w:ascii="Times New Roman" w:cs="Times New Roman" w:eastAsia="Times New Roman" w:hAnsi="Times New Roman"/>
          <w:sz w:val="18"/>
          <w:szCs w:val="18"/>
          <w:color w:val="auto"/>
        </w:rPr>
        <w:t>provides the accounting treatment for uncertainty in income taxes recognized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enterprise's financial statements. </w:t>
      </w:r>
      <w:r>
        <w:rPr>
          <w:rFonts w:ascii="Times New Roman" w:cs="Times New Roman" w:eastAsia="Times New Roman" w:hAnsi="Times New Roman"/>
          <w:sz w:val="18"/>
          <w:szCs w:val="18"/>
          <w:i w:val="1"/>
          <w:iCs w:val="1"/>
          <w:color w:val="auto"/>
        </w:rPr>
        <w:t>Topic 740</w:t>
      </w:r>
      <w:r>
        <w:rPr>
          <w:rFonts w:ascii="Times New Roman" w:cs="Times New Roman" w:eastAsia="Times New Roman" w:hAnsi="Times New Roman"/>
          <w:sz w:val="18"/>
          <w:szCs w:val="18"/>
          <w:color w:val="auto"/>
        </w:rPr>
        <w:t xml:space="preserve"> prescribes a recognition threshold and measurement attribute for the financial statement recognition and measurement of a tax position taken or expected to be taken in a tax return.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Topic 740 </w:t>
      </w:r>
      <w:r>
        <w:rPr>
          <w:rFonts w:ascii="Times New Roman" w:cs="Times New Roman" w:eastAsia="Times New Roman" w:hAnsi="Times New Roman"/>
          <w:sz w:val="18"/>
          <w:szCs w:val="18"/>
          <w:color w:val="auto"/>
        </w:rPr>
        <w:t>also provides guidance on derecognizing, classification, interest and penalties, accounting in interim periods, disclosure and transition.</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a valuation allowance at December 28, 2014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2014 effective tax rate at December 28, 2014 for annual and interim reporting periods could be impacted if uncertain tax positions that are not recognized at December 28, 2014 are settled at an amount which differs from our estimate. Finally, during 2014 and thereafter, if we are impacted by a change in the valuation allowance as of December 28, 2014 resulting from a change in judgment regarding the realizability of deferred tax assets beyond December 28, 2014, such effect will be recognized in the interim period in which the change occurs.</w:t>
      </w:r>
    </w:p>
    <w:p>
      <w:pPr>
        <w:spacing w:after="0" w:line="17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Contingencies and litigation. </w:t>
      </w:r>
      <w:r>
        <w:rPr>
          <w:rFonts w:ascii="Times New Roman" w:cs="Times New Roman" w:eastAsia="Times New Roman" w:hAnsi="Times New Roman"/>
          <w:sz w:val="18"/>
          <w:szCs w:val="18"/>
          <w:color w:val="auto"/>
        </w:rPr>
        <w:t>We are currently involved in certain legal proceedings. We estimate a range of liability related to pending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where 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w:t>
      </w:r>
      <w:r>
        <w:rPr>
          <w:rFonts w:ascii="Times New Roman" w:cs="Times New Roman" w:eastAsia="Times New Roman" w:hAnsi="Times New Roman"/>
          <w:sz w:val="18"/>
          <w:szCs w:val="18"/>
          <w:i w:val="1"/>
          <w:iCs w:val="1"/>
          <w:color w:val="auto"/>
        </w:rPr>
        <w:t>FASB ASC Topic 450 Contingencies.</w:t>
      </w:r>
      <w:r>
        <w:rPr>
          <w:rFonts w:ascii="Times New Roman" w:cs="Times New Roman" w:eastAsia="Times New Roman" w:hAnsi="Times New Roman"/>
          <w:sz w:val="18"/>
          <w:szCs w:val="18"/>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Item 3 “Legal Proceedings” contained within this Annual Report for additional information.</w:t>
      </w:r>
    </w:p>
    <w:p>
      <w:pPr>
        <w:spacing w:after="0" w:line="183"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account for stock-based compensation arrangements in accordance with the provisions of</w:t>
      </w:r>
      <w:r>
        <w:rPr>
          <w:rFonts w:ascii="Times New Roman" w:cs="Times New Roman" w:eastAsia="Times New Roman" w:hAnsi="Times New Roman"/>
          <w:sz w:val="18"/>
          <w:szCs w:val="18"/>
          <w:i w:val="1"/>
          <w:iCs w:val="1"/>
          <w:color w:val="auto"/>
        </w:rPr>
        <w:t xml:space="preserve"> FASB ASC Topic 718, Compensation-Stock Compensation (“Topic 718”), </w:t>
      </w:r>
      <w:r>
        <w:rPr>
          <w:rFonts w:ascii="Times New Roman" w:cs="Times New Roman" w:eastAsia="Times New Roman" w:hAnsi="Times New Roman"/>
          <w:sz w:val="18"/>
          <w:szCs w:val="18"/>
          <w:color w:val="auto"/>
        </w:rPr>
        <w:t>which requires the measurement and recognition of compensation expense for all stock-based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employees and directors based on estimated fair values.</w:t>
      </w:r>
    </w:p>
    <w:p>
      <w:pPr>
        <w:spacing w:after="0" w:line="17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valuation provisions of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xml:space="preserve"> apply to new awards and to awards that are outstanding on the effective date and subsequently modified or canceled. We use the Black-Scholes option pricing model and a lattice options pricing model for market condition options to estimate the fair value of our stock options at the grant date. The Black-Scholes option pricing model was developed for use in estimating the fair value of traded options which have no vesting restrictions and are fully transferable. The lattice options pricing model breaks down the time to expiration into potentially a very large number of time intervals, or steps which makes it possible to check at every point in an option's life for the possibility of early exercise. Our employee stock options are generally subject to vesting restrictions and are generally not transferable.</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contained within this Annual Report on Form 10-K for a discussion of recent accounting pronouncements.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and Foreign Currency Risks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Exposure to market risk for foreign currency exchange rate risk is related to receipts from customers, payments to suppliers and intercompany loans denominated in foreign currencies. Accordingly, a strengthening of the U.S. dollar ("USD") will negatively impact revenues and gross margins expressed in consolidated USD terms. We currently enter into limited foreign currency forward contracts to manage foreign currency exchange rate risk because to date exchange rate fluctuations have had minimal impact on our operating results and cash flows.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28, 2014 were $34.7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28,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 Management</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supplementary data required by this item are set forth at the pages indicated in Item 15(a) (1) and 15(a) (2),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28, 2014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the policies and procedures may deteriorate.</w:t>
      </w:r>
    </w:p>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Based on the results of our evaluation, our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as of December 28, 2014.</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28,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accounting and reporting (as defined in Rules 13a-15(f) and 15d-15(f) of the Exchange Act) during the fourth quarter of the fiscal year ended December 28, 2014 that have materially affected, or are reasonably likely to materially affect, our internal control over financial reporting.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6, 2015, we entered into an employment agreement which is effective as of January 1, 2015 (the “Employment Agreement”) with Richard Poirier to serve as President of the Company’s Electronic Products Division through December 31, 2018. The Employment Agreement provides the following principal terms: (i) a base salary of $485,000; (ii) an opportunity to earn annual incentive compensation in an amount up to 60% of the base salary, at the sole and absolute discretion of the Company; (iii) an opportunity to participate in the Company’s employee benefit plans that are generally made available to the Company’s employees, including but not limited to insurance programs; (iv) payment of severance in the event of a termination of employment without cause or upon a change of control and subject to Mr. Poirier’s execution of a customary release of claims agreement; and (v) confidentiality, non-interference, and non-disparagement provisions, which apply during the employee’s employment and for a certain restricted period after termination of employment. The description of the Employment Agreement set forth herein is a summary only and is qualified in its entirety by the full text Employment Agreement attached as Exhibit 10.48 to this Annual Report on Form 10-K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2015 Annual Meeting of Stockholders or an amendment to this Annual Report to be filed with the SEC within 120 days after the close of our fiscal year ended December 28, 2014.</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2015 Annual Meeting of Stockholders or an amendment to this Annual Report to be filed with the SEC within 120 days after the close of our fiscal year ended December 28, 2014.</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2015 Annual Meeting of Stockholders or an amendment to this Annual Report to be filed with the SEC within 120 days after the close of our fiscal year ended December 28, 2014.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2015 Annual Meeting of Stockholders or an amendment to this Annual Report to be filed with the SEC within 120 days after the close of our fiscal year ended December 28, 2014.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filed in connection with our 2015 Annual Meeting of Stockholders or an amendment to this Annual Report to be filed with the SEC within 120 days after the close of our fiscal year ended December 28,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Statements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(a)(1)</w:t>
        <w:tab/>
        <w:t>Financial Statements</w:t>
      </w:r>
    </w:p>
    <w:p>
      <w:pPr>
        <w:spacing w:after="0" w:line="229" w:lineRule="exact"/>
        <w:rPr>
          <w:sz w:val="20"/>
          <w:szCs w:val="20"/>
          <w:color w:val="auto"/>
        </w:rPr>
      </w:pPr>
    </w:p>
    <w:p>
      <w:pPr>
        <w:ind w:right="940" w:firstLine="648"/>
        <w:spacing w:after="0" w:line="313" w:lineRule="auto"/>
        <w:rPr>
          <w:sz w:val="20"/>
          <w:szCs w:val="20"/>
          <w:color w:val="auto"/>
        </w:rPr>
      </w:pPr>
      <w:r>
        <w:rPr>
          <w:rFonts w:ascii="Times New Roman" w:cs="Times New Roman" w:eastAsia="Times New Roman" w:hAnsi="Times New Roman"/>
          <w:sz w:val="17"/>
          <w:szCs w:val="17"/>
          <w:color w:val="auto"/>
        </w:rPr>
        <w:t>The Consolidated Financial Statements of Kratos Defense &amp; Security Solutions, Inc. and Reports of Deloitte &amp; Touche LLP, and Grant Thornton LLP, Independent Registered Public Accounting Firms, are included in a separate section of this Annual Report beginning on page F-1.</w:t>
      </w:r>
    </w:p>
    <w:p>
      <w:pPr>
        <w:spacing w:after="0" w:line="13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(a)(2)</w:t>
        <w:tab/>
        <w:t>Financial Statement Schedules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are not required or the information required to be set forth therein is included in the Consolidated Financial Statements or the notes thereto.</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 Date (File No.)</w:t>
            </w: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5"/>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February 7, 2011,</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Lanza Acquisition, Co. and Herley Industries,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Annex A to the Prospectus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 dated February 8, 2011, pursuant to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S-3 of Kratos Defense &amp;</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02/08/2011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Solutions, Inc.)</w:t>
            </w:r>
          </w:p>
        </w:tc>
        <w:tc>
          <w:tcPr>
            <w:tcW w:w="1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(333-161340)</w:t>
            </w:r>
          </w:p>
        </w:tc>
        <w:tc>
          <w:tcPr>
            <w:tcW w:w="1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May 15, 2011, by</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Integral Systems, Inc., IRIS Merger Sub Inc., and IRIS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05/18/2011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Sub LLC.</w:t>
            </w: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Agreement, dated May 8, 2012, by and</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Kratos Defense &amp; Security Solutions, Inc.,</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Composite Engineering, Inc., and Amy Fournier, the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w:t>
            </w: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(000-27231)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Ownership and Merger of Kratos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&amp; Security Solutions, Inc. into Wireless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09/14/2007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Inc.</w:t>
            </w: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(000-27231)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Amendment to Amended and Restated</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Incorporation of Kratos Defense &amp; Security</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 Inc.</w:t>
            </w: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Designations, Preferences and Rights of</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(000-27231)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gridSpan w:val="2"/>
          </w:tcPr>
          <w:p>
            <w:pPr>
              <w:jc w:val="right"/>
              <w:ind w:right="1113"/>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1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Designations, Preferences and Rights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 (included as Exhibit A to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Purchase Agreement dated as of May 16,</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2002 among the Company, Meritech Capital Partners II</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L.P., Meritech Capital Affiliates II L.P., MCB</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Entrepreneur Partners II L.P., Oak Investment Partners X,</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Limited Partnership, Oak X Affiliates Fund, Limited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Oak Investment Partners IX, L.P, Oak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Affiliates Fund, L.P, Oak IX Affiliates Fund-A, L.P, and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KLS Trust dated July 14, 1999).</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Designation of Series C Preferred Stock.</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Bylaws of Kratos</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Defense &amp; Security Solutions, Inc.</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the Second Amended and Restated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Bylaws of Kratos Defense &amp; Security Solutions, Inc.</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Specimen Stock Certificate.</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as of May 14, 2014, among Kratos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Defense &amp; Security Solutions, Inc., as Issuer,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Guarantors party thereto, and Wilmington Trust, National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Trustee and Collateral Agent (including</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Form of 7.00% Senor Secured Notes due 2019).</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May 14,</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2014, among Kratos Defense &amp; Security Solutions,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as Issuer, the Guarantors party thereto, and SunTrust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Robinson Humphrey, Inc., as Representative of the Initial</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Purchasers.</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Commitment Letter, dated February 7, 2011, by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among Kratos Defense &amp; Security Solutions, Inc.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Jefferies Group, Inc., Key Capital Corporation and OPY</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Credit Corp.</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by and between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and its</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1999 Employee Stock Purchase Plan and related offering</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documents.</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2000 Nonstatutory Stock Option Plan.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and Grant Notice used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 connection with the 2000 Nonstatutory Stock Option</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10.5#</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10.6#</w:t>
            </w: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10.7#</w:t>
            </w: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2005 Equity Incentive Plan.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Option Agreement pursuant to the 2005</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10.8#</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Equity Incentive Plan.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and Form of</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10.9#</w:t>
            </w:r>
          </w:p>
        </w:tc>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Notice of Grant under the 2005 Equity Incentive Plan.</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10.10#</w:t>
            </w:r>
          </w:p>
        </w:tc>
        <w:tc>
          <w:tcPr>
            <w:tcW w:w="2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Herley Industries, Inc. 1996 Stock Option Plan.</w:t>
            </w:r>
          </w:p>
        </w:tc>
      </w:tr>
    </w:tbl>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06/05/2002 (000-</w:t>
            </w:r>
          </w:p>
        </w:tc>
        <w:tc>
          <w:tcPr>
            <w:tcW w:w="720" w:type="dxa"/>
            <w:vAlign w:val="bottom"/>
          </w:tcPr>
          <w:p>
            <w:pPr>
              <w:spacing w:after="0"/>
              <w:rPr>
                <w:sz w:val="18"/>
                <w:szCs w:val="18"/>
                <w:color w:val="auto"/>
              </w:rPr>
            </w:pPr>
          </w:p>
        </w:tc>
      </w:tr>
      <w:tr>
        <w:trPr>
          <w:trHeight w:val="234"/>
        </w:trPr>
        <w:tc>
          <w:tcPr>
            <w:tcW w:w="7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4.1</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12/17/2004 (000-</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3.1</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03/15/2011</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3.1</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11/07/2014</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3.8</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03/02/2011</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4.1</w:t>
            </w:r>
          </w:p>
        </w:tc>
      </w:tr>
      <w:tr>
        <w:trPr>
          <w:trHeight w:val="900"/>
        </w:trPr>
        <w:tc>
          <w:tcPr>
            <w:tcW w:w="7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720" w:type="dxa"/>
            <w:vAlign w:val="bottom"/>
          </w:tcPr>
          <w:p>
            <w:pPr>
              <w:spacing w:after="0"/>
              <w:rPr>
                <w:sz w:val="24"/>
                <w:szCs w:val="24"/>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4.1</w:t>
            </w:r>
          </w:p>
        </w:tc>
      </w:tr>
      <w:tr>
        <w:trPr>
          <w:trHeight w:val="900"/>
        </w:trPr>
        <w:tc>
          <w:tcPr>
            <w:tcW w:w="7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720" w:type="dxa"/>
            <w:vAlign w:val="bottom"/>
          </w:tcPr>
          <w:p>
            <w:pPr>
              <w:spacing w:after="0"/>
              <w:rPr>
                <w:sz w:val="24"/>
                <w:szCs w:val="24"/>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10.1</w:t>
            </w:r>
          </w:p>
        </w:tc>
      </w:tr>
      <w:tr>
        <w:trPr>
          <w:trHeight w:val="684"/>
        </w:trPr>
        <w:tc>
          <w:tcPr>
            <w:tcW w:w="7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02/07/2011</w:t>
            </w:r>
          </w:p>
        </w:tc>
        <w:tc>
          <w:tcPr>
            <w:tcW w:w="720" w:type="dxa"/>
            <w:vAlign w:val="bottom"/>
          </w:tcPr>
          <w:p>
            <w:pPr>
              <w:spacing w:after="0"/>
              <w:rPr>
                <w:sz w:val="24"/>
                <w:szCs w:val="24"/>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7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720" w:type="dxa"/>
            <w:vAlign w:val="bottom"/>
          </w:tcPr>
          <w:p>
            <w:pPr>
              <w:spacing w:after="0"/>
              <w:rPr>
                <w:sz w:val="24"/>
                <w:szCs w:val="24"/>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10.8</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08/18/1999</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(333-85515)</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10.5</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11/14/2000</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(000-27231)</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10.2</w:t>
            </w:r>
          </w:p>
        </w:tc>
      </w:tr>
      <w:tr>
        <w:trPr>
          <w:trHeight w:val="468"/>
        </w:trPr>
        <w:tc>
          <w:tcPr>
            <w:tcW w:w="7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11/14/2000</w:t>
            </w:r>
          </w:p>
        </w:tc>
        <w:tc>
          <w:tcPr>
            <w:tcW w:w="720" w:type="dxa"/>
            <w:vAlign w:val="bottom"/>
          </w:tcPr>
          <w:p>
            <w:pPr>
              <w:spacing w:after="0"/>
              <w:rPr>
                <w:sz w:val="24"/>
                <w:szCs w:val="24"/>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10.3</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11/24/2004</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(000-27231)</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10.44</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08/01/2005 (333-</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127060)</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99.2</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08/01/2005 (333-</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127060)</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99.1</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01/17/2007 (000-</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27231)</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99.3</w:t>
            </w:r>
          </w:p>
        </w:tc>
      </w:tr>
      <w:tr>
        <w:trPr>
          <w:trHeight w:val="252"/>
        </w:trPr>
        <w:tc>
          <w:tcPr>
            <w:tcW w:w="7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20" w:type="dxa"/>
            <w:vAlign w:val="bottom"/>
          </w:tcPr>
          <w:p>
            <w:pPr>
              <w:spacing w:after="0"/>
              <w:rPr>
                <w:sz w:val="21"/>
                <w:szCs w:val="21"/>
                <w:color w:val="auto"/>
              </w:rPr>
            </w:pPr>
          </w:p>
        </w:tc>
      </w:tr>
      <w:tr>
        <w:trPr>
          <w:trHeight w:val="234"/>
        </w:trPr>
        <w:tc>
          <w:tcPr>
            <w:tcW w:w="7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4.10</w:t>
            </w:r>
          </w:p>
        </w:tc>
      </w:tr>
    </w:tbl>
    <w:p>
      <w:pPr>
        <w:sectPr>
          <w:pgSz w:w="11900" w:h="16838" w:orient="portrait"/>
          <w:cols w:equalWidth="0" w:num="2">
            <w:col w:w="5800" w:space="280"/>
            <w:col w:w="4139"/>
          </w:cols>
          <w:pgMar w:left="240" w:top="108" w:right="1440"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10.11#</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Herley Industries, Inc. 1997 Stock Option Plan.</w:t>
            </w:r>
          </w:p>
        </w:tc>
      </w:tr>
      <w:tr>
        <w:trPr>
          <w:trHeight w:val="486"/>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10.12#</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Herley Industries, Inc. 1998 Stock Option Plan.</w:t>
            </w:r>
          </w:p>
        </w:tc>
      </w:tr>
      <w:tr>
        <w:trPr>
          <w:trHeight w:val="486"/>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10.13#</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Herley Industries, Inc. 2000 Stock Option Plan.</w:t>
            </w:r>
          </w:p>
        </w:tc>
      </w:tr>
      <w:tr>
        <w:trPr>
          <w:trHeight w:val="486"/>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10.14#</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Herley Industries, Inc. 2003 Stock Option Plan.</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Herley Industries, Inc. Amended and Restated 2006 New</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10.15#</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 Plan.</w:t>
            </w:r>
          </w:p>
        </w:tc>
      </w:tr>
      <w:tr>
        <w:trPr>
          <w:trHeight w:val="486"/>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10.16#</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2011 Equity Incentive Plan.</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Notice of Grant of Restricted Stock Units and</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 Award Agreement pursuant to the</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10.17#</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2011 Equity Incentive Plan.</w:t>
            </w:r>
          </w:p>
        </w:tc>
      </w:tr>
      <w:tr>
        <w:trPr>
          <w:trHeight w:val="486"/>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10.18#</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2014 Equity Incentive Plan</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Restricted Stock Unit Grant &amp; Award</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10.19#</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pursuant to the 2014 Equity Incentive Plan.</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as of July 22, 2010, by</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between Kratos Government Solutions, Inc. and</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10.20#</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David Carter.</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First Amendment to Employment Agreement, dated as of</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4, 2011, by and between Kratos Defense</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10.21#</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Engineering Solutions, Inc. and David Carter.</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Amended and Restated Executive Employment</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dated as of August 4, 2011, by and between</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Kratos Defense &amp; Security Solutions, Inc. and Eric</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10.22#</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DeMarco</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Second Amended and Restated Severance and Change of</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 Agreement, dated as of August 4, 2011, by and</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between Kratos Defense &amp; Security Solutions, Inc. and</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10.23#</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Deanna Lund.</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Amended and Restated Severance and Change of Control</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dated as of August 4, 2011, by and between</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Kratos Defense &amp; Security Solutions, Inc. and Deborah</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10.24#</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Butera.</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as of August 4, 2011, by</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between Kratos Public Safety &amp; Security</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10.25#</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Solutions, Inc. and Ben Goodwin.</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Agreement and General Release of Claims,</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dated as of October 16, 2009, among Kratos Defense &amp;</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 Solutions, Inc., KeyBank National Association,</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10.26#</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Field Point III, Ltd. and SPF CDO I, Ltd.</w:t>
            </w:r>
          </w:p>
        </w:tc>
      </w:tr>
      <w:tr>
        <w:trPr>
          <w:trHeight w:val="252"/>
        </w:trPr>
        <w:tc>
          <w:tcPr>
            <w:tcW w:w="720" w:type="dxa"/>
            <w:vAlign w:val="bottom"/>
          </w:tcPr>
          <w:p>
            <w:pPr>
              <w:spacing w:after="0"/>
              <w:rPr>
                <w:sz w:val="21"/>
                <w:szCs w:val="21"/>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Sublease Agreement, dated as of December 17, 2009, by</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between Amylin Pharmaceuticals, Inc. (Sublessor)</w:t>
            </w:r>
          </w:p>
        </w:tc>
      </w:tr>
      <w:tr>
        <w:trPr>
          <w:trHeight w:val="216"/>
        </w:trPr>
        <w:tc>
          <w:tcPr>
            <w:tcW w:w="7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Kratos Defense &amp; Security Solutions, Inc.</w:t>
            </w:r>
          </w:p>
        </w:tc>
      </w:tr>
      <w:tr>
        <w:trPr>
          <w:trHeight w:val="234"/>
        </w:trPr>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2"/>
              </w:rPr>
              <w:t>10.27#</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(Sublessee).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18"/>
                <w:szCs w:val="18"/>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5"/>
              </w:rPr>
              <w:t>4.11</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4.12</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4.13</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4.14</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04/08/2011</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(333-173383)</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4.15</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04/15/2011</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DEF 14A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n/a</w:t>
            </w:r>
          </w:p>
        </w:tc>
      </w:tr>
      <w:tr>
        <w:trPr>
          <w:trHeight w:val="468"/>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10.2</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04/11/2014</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DEF 14A</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n/a</w:t>
            </w:r>
          </w:p>
        </w:tc>
      </w:tr>
      <w:tr>
        <w:trPr>
          <w:trHeight w:val="252"/>
        </w:trPr>
        <w:tc>
          <w:tcPr>
            <w:tcW w:w="10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11/07/2014</w:t>
            </w:r>
          </w:p>
        </w:tc>
        <w:tc>
          <w:tcPr>
            <w:tcW w:w="780" w:type="dxa"/>
            <w:vAlign w:val="bottom"/>
          </w:tcPr>
          <w:p>
            <w:pPr>
              <w:spacing w:after="0"/>
              <w:rPr>
                <w:sz w:val="21"/>
                <w:szCs w:val="21"/>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03/02/2011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468"/>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11/04/2011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10.9</w:t>
            </w:r>
          </w:p>
        </w:tc>
      </w:tr>
      <w:tr>
        <w:trPr>
          <w:trHeight w:val="684"/>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10.3</w:t>
            </w:r>
          </w:p>
        </w:tc>
      </w:tr>
      <w:tr>
        <w:trPr>
          <w:trHeight w:val="684"/>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10.4</w:t>
            </w:r>
          </w:p>
        </w:tc>
      </w:tr>
      <w:tr>
        <w:trPr>
          <w:trHeight w:val="684"/>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10.8</w:t>
            </w:r>
          </w:p>
        </w:tc>
      </w:tr>
      <w:tr>
        <w:trPr>
          <w:trHeight w:val="468"/>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11/04/2011</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684"/>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11/03/2009</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10.1</w:t>
            </w:r>
          </w:p>
        </w:tc>
      </w:tr>
      <w:tr>
        <w:trPr>
          <w:trHeight w:val="684"/>
        </w:trPr>
        <w:tc>
          <w:tcPr>
            <w:tcW w:w="10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03/11/2010</w:t>
            </w:r>
          </w:p>
        </w:tc>
        <w:tc>
          <w:tcPr>
            <w:tcW w:w="780" w:type="dxa"/>
            <w:vAlign w:val="bottom"/>
          </w:tcPr>
          <w:p>
            <w:pPr>
              <w:spacing w:after="0"/>
              <w:rPr>
                <w:sz w:val="24"/>
                <w:szCs w:val="24"/>
                <w:color w:val="auto"/>
              </w:rPr>
            </w:pPr>
          </w:p>
        </w:tc>
      </w:tr>
      <w:tr>
        <w:trPr>
          <w:trHeight w:val="234"/>
        </w:trPr>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10.26</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2">
            <w:col w:w="5440" w:space="180"/>
            <w:col w:w="4599"/>
          </w:cols>
          <w:pgMar w:left="240" w:top="121" w:right="1440"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300" w:right="480"/>
        <w:spacing w:after="0" w:line="254" w:lineRule="auto"/>
        <w:rPr>
          <w:sz w:val="20"/>
          <w:szCs w:val="20"/>
          <w:color w:val="auto"/>
        </w:rPr>
      </w:pPr>
      <w:r>
        <w:rPr>
          <w:rFonts w:ascii="Times New Roman" w:cs="Times New Roman" w:eastAsia="Times New Roman" w:hAnsi="Times New Roman"/>
          <w:sz w:val="18"/>
          <w:szCs w:val="18"/>
          <w:color w:val="auto"/>
        </w:rPr>
        <w:t>Purchase Agreement, dated as of May 12, 2010, by and among Kratos Defense &amp; Security Solutions, Inc., the Guarantors set forth therein, Jefferies &amp; Company, Inc., B. Riley &amp; Co., LLC, Imperial Capital, LLC, Keybanc Capital Markets Inc. and Noble International</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Investments, Inc.</w:t>
      </w:r>
    </w:p>
    <w:p>
      <w:pPr>
        <w:spacing w:after="0" w:line="45" w:lineRule="exact"/>
        <w:rPr>
          <w:sz w:val="20"/>
          <w:szCs w:val="20"/>
          <w:color w:val="auto"/>
        </w:rPr>
      </w:pPr>
    </w:p>
    <w:p>
      <w:pPr>
        <w:ind w:left="1300" w:right="460"/>
        <w:spacing w:after="0" w:line="272" w:lineRule="auto"/>
        <w:rPr>
          <w:sz w:val="20"/>
          <w:szCs w:val="20"/>
          <w:color w:val="auto"/>
        </w:rPr>
      </w:pPr>
      <w:r>
        <w:rPr>
          <w:rFonts w:ascii="Times New Roman" w:cs="Times New Roman" w:eastAsia="Times New Roman" w:hAnsi="Times New Roman"/>
          <w:sz w:val="17"/>
          <w:szCs w:val="17"/>
          <w:color w:val="auto"/>
        </w:rPr>
        <w:t>Security Agreement, dated as of May 19, 2010, by and among Kratos Defense &amp; Security Solutions, Inc., the Guarantors set forth therein and Wilmington Trust FSB,</w:t>
      </w:r>
    </w:p>
    <w:p>
      <w:pPr>
        <w:spacing w:after="0" w:line="2"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as Collateral Agent.</w:t>
      </w:r>
    </w:p>
    <w:p>
      <w:pPr>
        <w:spacing w:after="0" w:line="45" w:lineRule="exact"/>
        <w:rPr>
          <w:sz w:val="20"/>
          <w:szCs w:val="20"/>
          <w:color w:val="auto"/>
        </w:rPr>
      </w:pPr>
    </w:p>
    <w:p>
      <w:pPr>
        <w:ind w:left="1300" w:right="440"/>
        <w:spacing w:after="0" w:line="255" w:lineRule="auto"/>
        <w:rPr>
          <w:sz w:val="20"/>
          <w:szCs w:val="20"/>
          <w:color w:val="auto"/>
        </w:rPr>
      </w:pPr>
      <w:r>
        <w:rPr>
          <w:rFonts w:ascii="Times New Roman" w:cs="Times New Roman" w:eastAsia="Times New Roman" w:hAnsi="Times New Roman"/>
          <w:sz w:val="18"/>
          <w:szCs w:val="18"/>
          <w:color w:val="auto"/>
        </w:rPr>
        <w:t>Intercreditor Agreement, dated as of May 19, 2010, by and among Kratos Defense &amp; Security Solutions, Inc., the Guarantors set forth therein, Wilmington Trust FSB, as Indenture Agent, and KeyBank National Association,</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as Credit Facility Agent.</w:t>
      </w:r>
    </w:p>
    <w:p>
      <w:pPr>
        <w:spacing w:after="0" w:line="45" w:lineRule="exact"/>
        <w:rPr>
          <w:sz w:val="20"/>
          <w:szCs w:val="20"/>
          <w:color w:val="auto"/>
        </w:rPr>
      </w:pPr>
    </w:p>
    <w:p>
      <w:pPr>
        <w:ind w:left="1300" w:right="600"/>
        <w:spacing w:after="0" w:line="268" w:lineRule="auto"/>
        <w:rPr>
          <w:sz w:val="20"/>
          <w:szCs w:val="20"/>
          <w:color w:val="auto"/>
        </w:rPr>
      </w:pPr>
      <w:r>
        <w:rPr>
          <w:rFonts w:ascii="Times New Roman" w:cs="Times New Roman" w:eastAsia="Times New Roman" w:hAnsi="Times New Roman"/>
          <w:sz w:val="17"/>
          <w:szCs w:val="17"/>
          <w:color w:val="auto"/>
        </w:rPr>
        <w:t>Credit Agreement, dated as of March 3, 2010, among Kratos Defense &amp; Security Solutions, Inc., KeyBank National Association, as Administrative Agent and Lender, Bank of America, N.A., as Syndication Agent and Lender, and the other financial institutions parties thereto with Keybanc Capital Markets and Banc of America Securities, LLC, as Co-Lead Arrangers and</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7"/>
          <w:szCs w:val="17"/>
          <w:color w:val="auto"/>
        </w:rPr>
        <w:t>Book Runners.</w:t>
      </w:r>
    </w:p>
    <w:p>
      <w:pPr>
        <w:spacing w:after="0" w:line="45" w:lineRule="exact"/>
        <w:rPr>
          <w:sz w:val="20"/>
          <w:szCs w:val="20"/>
          <w:color w:val="auto"/>
        </w:rPr>
      </w:pPr>
    </w:p>
    <w:p>
      <w:pPr>
        <w:ind w:left="1300" w:right="460"/>
        <w:spacing w:after="0" w:line="255" w:lineRule="auto"/>
        <w:rPr>
          <w:sz w:val="20"/>
          <w:szCs w:val="20"/>
          <w:color w:val="auto"/>
        </w:rPr>
      </w:pPr>
      <w:r>
        <w:rPr>
          <w:rFonts w:ascii="Times New Roman" w:cs="Times New Roman" w:eastAsia="Times New Roman" w:hAnsi="Times New Roman"/>
          <w:sz w:val="18"/>
          <w:szCs w:val="18"/>
          <w:color w:val="auto"/>
        </w:rPr>
        <w:t>First Amendment Agreement, dated as of December 13, 2010, by and among Kratos Defense &amp; Security Solutions, Inc., as Borrower, the Lenders named therein and KeyBank National Association, as Lead Arranger,</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Sole Book Runner and Administrative Agent.</w:t>
      </w:r>
    </w:p>
    <w:p>
      <w:pPr>
        <w:spacing w:after="0" w:line="45" w:lineRule="exact"/>
        <w:rPr>
          <w:sz w:val="20"/>
          <w:szCs w:val="20"/>
          <w:color w:val="auto"/>
        </w:rPr>
      </w:pPr>
    </w:p>
    <w:p>
      <w:pPr>
        <w:ind w:left="1300" w:right="440"/>
        <w:spacing w:after="0" w:line="257" w:lineRule="auto"/>
        <w:rPr>
          <w:sz w:val="20"/>
          <w:szCs w:val="20"/>
          <w:color w:val="auto"/>
        </w:rPr>
      </w:pPr>
      <w:r>
        <w:rPr>
          <w:rFonts w:ascii="Times New Roman" w:cs="Times New Roman" w:eastAsia="Times New Roman" w:hAnsi="Times New Roman"/>
          <w:sz w:val="18"/>
          <w:szCs w:val="18"/>
          <w:color w:val="auto"/>
        </w:rPr>
        <w:t>Second Amendment Agreement, dated as of February 7, 2011, among Kratos Defense &amp; Security solutions, the Lenders named therein and KeyBank National</w:t>
      </w:r>
    </w:p>
    <w:p>
      <w:pPr>
        <w:spacing w:after="0" w:line="2"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8"/>
          <w:szCs w:val="18"/>
          <w:color w:val="auto"/>
        </w:rPr>
        <w:t>Association.</w:t>
      </w:r>
    </w:p>
    <w:p>
      <w:pPr>
        <w:spacing w:after="0" w:line="45" w:lineRule="exact"/>
        <w:rPr>
          <w:sz w:val="20"/>
          <w:szCs w:val="20"/>
          <w:color w:val="auto"/>
        </w:rPr>
      </w:pPr>
    </w:p>
    <w:p>
      <w:pPr>
        <w:ind w:left="1300" w:right="340"/>
        <w:spacing w:after="0" w:line="254" w:lineRule="auto"/>
        <w:rPr>
          <w:sz w:val="20"/>
          <w:szCs w:val="20"/>
          <w:color w:val="auto"/>
        </w:rPr>
      </w:pPr>
      <w:r>
        <w:rPr>
          <w:rFonts w:ascii="Times New Roman" w:cs="Times New Roman" w:eastAsia="Times New Roman" w:hAnsi="Times New Roman"/>
          <w:sz w:val="18"/>
          <w:szCs w:val="18"/>
          <w:color w:val="auto"/>
        </w:rPr>
        <w:t>Purchase Agreement, dated March 22, 2011, by and among Kratos Defense &amp; Security Solutions, Inc., Acquisition Co. Lanza Parent, Lanza Acquisition Co., the guarantors named therein, Jefferies &amp; Company, Inc., KeyBanc Capital Markets, Inc. and Oppenheimer &amp; Co.</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8"/>
          <w:szCs w:val="18"/>
          <w:color w:val="auto"/>
        </w:rPr>
        <w:t>Inc.</w:t>
      </w:r>
    </w:p>
    <w:p>
      <w:pPr>
        <w:spacing w:after="0" w:line="45" w:lineRule="exact"/>
        <w:rPr>
          <w:sz w:val="20"/>
          <w:szCs w:val="20"/>
          <w:color w:val="auto"/>
        </w:rPr>
      </w:pPr>
    </w:p>
    <w:p>
      <w:pPr>
        <w:ind w:left="1300" w:right="420"/>
        <w:spacing w:after="0" w:line="276" w:lineRule="auto"/>
        <w:rPr>
          <w:sz w:val="20"/>
          <w:szCs w:val="20"/>
          <w:color w:val="auto"/>
        </w:rPr>
      </w:pPr>
      <w:r>
        <w:rPr>
          <w:rFonts w:ascii="Times New Roman" w:cs="Times New Roman" w:eastAsia="Times New Roman" w:hAnsi="Times New Roman"/>
          <w:sz w:val="17"/>
          <w:szCs w:val="17"/>
          <w:color w:val="auto"/>
        </w:rPr>
        <w:t>Security Agreement, dated March 25, 2011, by and among Acquisition Co. Lanza Parent, Lanza Acquisition</w:t>
      </w:r>
    </w:p>
    <w:p>
      <w:pPr>
        <w:spacing w:after="0" w:line="1"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7"/>
          <w:szCs w:val="17"/>
          <w:color w:val="auto"/>
        </w:rPr>
        <w:t>Co. and Wilmington Trust FSB, as Collateral Agent.</w:t>
      </w:r>
    </w:p>
    <w:p>
      <w:pPr>
        <w:spacing w:after="0" w:line="45" w:lineRule="exact"/>
        <w:rPr>
          <w:sz w:val="20"/>
          <w:szCs w:val="20"/>
          <w:color w:val="auto"/>
        </w:rPr>
      </w:pPr>
    </w:p>
    <w:p>
      <w:pPr>
        <w:ind w:left="1300" w:right="680"/>
        <w:spacing w:after="0" w:line="254" w:lineRule="auto"/>
        <w:rPr>
          <w:sz w:val="20"/>
          <w:szCs w:val="20"/>
          <w:color w:val="auto"/>
        </w:rPr>
      </w:pPr>
      <w:r>
        <w:rPr>
          <w:rFonts w:ascii="Times New Roman" w:cs="Times New Roman" w:eastAsia="Times New Roman" w:hAnsi="Times New Roman"/>
          <w:sz w:val="18"/>
          <w:szCs w:val="18"/>
          <w:color w:val="auto"/>
        </w:rPr>
        <w:t>Credit and Security Agreement, dated as of May 19, 2010, as amended and restated as of July 27, 2011, among Kratos Defense &amp; Security Solutions, Inc., as Borrower, the Lenders named therein and KeyBank National Association, as Lead Arranger, Sole Book</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10.36</w:t>
      </w:r>
      <w:r>
        <w:rPr>
          <w:sz w:val="20"/>
          <w:szCs w:val="20"/>
          <w:color w:val="auto"/>
        </w:rPr>
        <w:tab/>
      </w:r>
      <w:r>
        <w:rPr>
          <w:rFonts w:ascii="Times New Roman" w:cs="Times New Roman" w:eastAsia="Times New Roman" w:hAnsi="Times New Roman"/>
          <w:sz w:val="18"/>
          <w:szCs w:val="18"/>
          <w:color w:val="auto"/>
        </w:rPr>
        <w:t>Runner and Administrative Agent.</w:t>
      </w:r>
    </w:p>
    <w:p>
      <w:pPr>
        <w:spacing w:after="0" w:line="45" w:lineRule="exact"/>
        <w:rPr>
          <w:sz w:val="20"/>
          <w:szCs w:val="20"/>
          <w:color w:val="auto"/>
        </w:rPr>
      </w:pPr>
    </w:p>
    <w:p>
      <w:pPr>
        <w:ind w:left="1300" w:right="440"/>
        <w:spacing w:after="0" w:line="270" w:lineRule="auto"/>
        <w:rPr>
          <w:sz w:val="20"/>
          <w:szCs w:val="20"/>
          <w:color w:val="auto"/>
        </w:rPr>
      </w:pPr>
      <w:r>
        <w:rPr>
          <w:rFonts w:ascii="Times New Roman" w:cs="Times New Roman" w:eastAsia="Times New Roman" w:hAnsi="Times New Roman"/>
          <w:sz w:val="17"/>
          <w:szCs w:val="17"/>
          <w:color w:val="auto"/>
        </w:rPr>
        <w:t>First Amendment Agreement, dated as of November 14, 2011, by and among Kratos Defense &amp; Security Solutions, Inc., as Borrower, the Lenders named therein, and Key Bank National Association, as Lead Arranger,</w:t>
      </w:r>
    </w:p>
    <w:p>
      <w:pPr>
        <w:spacing w:after="0" w:line="3" w:lineRule="exact"/>
        <w:rPr>
          <w:sz w:val="20"/>
          <w:szCs w:val="20"/>
          <w:color w:val="auto"/>
        </w:rPr>
      </w:pPr>
    </w:p>
    <w:p>
      <w:pPr>
        <w:ind w:left="380"/>
        <w:spacing w:after="0"/>
        <w:tabs>
          <w:tab w:leader="none" w:pos="1280" w:val="left"/>
        </w:tabs>
        <w:rPr>
          <w:sz w:val="20"/>
          <w:szCs w:val="20"/>
          <w:color w:val="auto"/>
        </w:rPr>
      </w:pPr>
      <w:r>
        <w:rPr>
          <w:rFonts w:ascii="Times New Roman" w:cs="Times New Roman" w:eastAsia="Times New Roman" w:hAnsi="Times New Roman"/>
          <w:sz w:val="18"/>
          <w:szCs w:val="18"/>
          <w:color w:val="auto"/>
        </w:rPr>
        <w:t>10.37</w:t>
      </w:r>
      <w:r>
        <w:rPr>
          <w:sz w:val="20"/>
          <w:szCs w:val="20"/>
          <w:color w:val="auto"/>
        </w:rPr>
        <w:tab/>
      </w:r>
      <w:r>
        <w:rPr>
          <w:rFonts w:ascii="Times New Roman" w:cs="Times New Roman" w:eastAsia="Times New Roman" w:hAnsi="Times New Roman"/>
          <w:sz w:val="18"/>
          <w:szCs w:val="18"/>
          <w:color w:val="auto"/>
        </w:rPr>
        <w:t>Sole Book Runner and Administrative Agent.</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05/25/2010</w:t>
            </w:r>
          </w:p>
        </w:tc>
        <w:tc>
          <w:tcPr>
            <w:tcW w:w="7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84"/>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05/25/2010</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900"/>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05/25/2010</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548"/>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03/08/2010</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900"/>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12/16/2010</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84"/>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02/07/2011</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116"/>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03/29/2011</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03/29/2011</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116"/>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07/29/2011</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900"/>
        </w:trPr>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11/18/2011</w:t>
            </w:r>
          </w:p>
        </w:tc>
        <w:tc>
          <w:tcPr>
            <w:tcW w:w="740" w:type="dxa"/>
            <w:vAlign w:val="bottom"/>
          </w:tcPr>
          <w:p>
            <w:pPr>
              <w:spacing w:after="0"/>
              <w:rPr>
                <w:sz w:val="24"/>
                <w:szCs w:val="24"/>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ectPr>
          <w:pgSz w:w="11900" w:h="16838" w:orient="portrait"/>
          <w:cols w:equalWidth="0" w:num="2">
            <w:col w:w="5800" w:space="380"/>
            <w:col w:w="4039"/>
          </w:cols>
          <w:pgMar w:left="240" w:top="121"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1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Purchase Agreement, dated July 14, 2011, by and among</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Guarantors named therein, Jefferies &amp; Company,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KeyBanc Capital Markets Inc. and B. Riley &amp; Co., LLC,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9"/>
              </w:rPr>
              <w:t>as amended by that certain Joinder Agreement, dated July</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10.38</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27, 2011.</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Stipulation and Agreement of Settlement of Derivative</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10.39</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Claims, dated as of January 5, 2010.</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Herley Industries, Inc. 2010</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10.40</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Stock Plan, and the forms of agreement related thereto.</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Integral Systems, Inc. 2008 Stock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 and the forms of agreement related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thereto.</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May 4, 2012,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the lenders named therein, and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10.42</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May 8, 2012,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the lenders named therein, and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10.43</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Standstill Agreement, dated May 14, 2012, between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Kratos Defense &amp; Security Solutions, Inc., Bandel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Carano, Oak Investment Partners IX, L.P., Oak IX</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w w:val="98"/>
              </w:rPr>
              <w:t>Affiliates Fund, L.P., Oak IX Affiliates Fund-A, L.P., Oak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X Affiliates Fund, L.P., Oak Investment Partners X, L.P.,</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10.44</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Oak Investment Partners XIII, L.P.</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entered into</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between Kratos Defense &amp; Security Solutions, Inc. and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10.45</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certain employees of Composite Engineering, Inc.</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Credit and Security Agreement,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dated as of February 27, 2013, among Kratos Defense &amp;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Security Solutions, the lenders named therein, and</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10.46</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effective January 17, 2014,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between Kratos Defense &amp; Security Solutions, Inc.</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10.47#</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Phil Carrai.</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effective January 1, 2015, by</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between Kratos Defense &amp; Security Solutions, Inc.</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10.48#</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and Richard Poirier.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Credit and Security Agreement, dated as of May 14,</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2014, among Kratos Defense &amp; Security Solutions,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 Borrower, the lenders named therein, SunTrust Bank,</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 Agent, and SunTrust Robinson Humphrey, Inc., as</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10.49</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Lead Arranger and Sole Book Runner.</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Preferability Letter, dated March 13, 2015, provided by</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Deloitte &amp; Touche LLP</w:t>
            </w:r>
          </w:p>
        </w:tc>
      </w:tr>
      <w:tr>
        <w:trPr>
          <w:trHeight w:val="486"/>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w:t>
            </w: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Firm.</w:t>
            </w:r>
          </w:p>
        </w:tc>
      </w:tr>
    </w:tbl>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11/04/2011</w:t>
            </w:r>
          </w:p>
        </w:tc>
        <w:tc>
          <w:tcPr>
            <w:tcW w:w="720" w:type="dxa"/>
            <w:vAlign w:val="bottom"/>
          </w:tcPr>
          <w:p>
            <w:pPr>
              <w:spacing w:after="0"/>
              <w:rPr>
                <w:sz w:val="18"/>
                <w:szCs w:val="18"/>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2"/>
        </w:trPr>
        <w:tc>
          <w:tcPr>
            <w:tcW w:w="7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04/29/2010</w:t>
            </w:r>
          </w:p>
        </w:tc>
        <w:tc>
          <w:tcPr>
            <w:tcW w:w="720" w:type="dxa"/>
            <w:vAlign w:val="bottom"/>
          </w:tcPr>
          <w:p>
            <w:pPr>
              <w:spacing w:after="0"/>
              <w:rPr>
                <w:sz w:val="21"/>
                <w:szCs w:val="21"/>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2"/>
        </w:trPr>
        <w:tc>
          <w:tcPr>
            <w:tcW w:w="7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03/08/2012</w:t>
            </w:r>
          </w:p>
        </w:tc>
        <w:tc>
          <w:tcPr>
            <w:tcW w:w="720" w:type="dxa"/>
            <w:vAlign w:val="bottom"/>
          </w:tcPr>
          <w:p>
            <w:pPr>
              <w:spacing w:after="0"/>
              <w:rPr>
                <w:sz w:val="21"/>
                <w:szCs w:val="21"/>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S-8</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(333-179977)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46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03/08/2012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S-8</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(333-179977)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684"/>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684"/>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116"/>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07/27/2012</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S-8</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(333-182910)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684"/>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05/09/2013</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01/22/2014</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6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03/12/2015</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900"/>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05/15/2014</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738"/>
        </w:trPr>
        <w:tc>
          <w:tcPr>
            <w:tcW w:w="7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03/12/2014</w:t>
            </w:r>
          </w:p>
        </w:tc>
        <w:tc>
          <w:tcPr>
            <w:tcW w:w="720" w:type="dxa"/>
            <w:vAlign w:val="bottom"/>
          </w:tcPr>
          <w:p>
            <w:pPr>
              <w:spacing w:after="0"/>
              <w:rPr>
                <w:sz w:val="24"/>
                <w:szCs w:val="24"/>
                <w:color w:val="auto"/>
              </w:rPr>
            </w:pPr>
          </w:p>
        </w:tc>
      </w:tr>
      <w:tr>
        <w:trPr>
          <w:trHeight w:val="234"/>
        </w:trPr>
        <w:tc>
          <w:tcPr>
            <w:tcW w:w="7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10-K</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800" w:space="340"/>
            <w:col w:w="4640"/>
          </w:cols>
          <w:pgMar w:left="240" w:top="108" w:right="8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67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w:t>
            </w:r>
          </w:p>
        </w:tc>
        <w:tc>
          <w:tcPr>
            <w:tcW w:w="2700" w:type="dxa"/>
            <w:vAlign w:val="bottom"/>
          </w:tcPr>
          <w:p>
            <w:pPr>
              <w:spacing w:after="0"/>
              <w:rPr>
                <w:sz w:val="24"/>
                <w:szCs w:val="24"/>
                <w:color w:val="auto"/>
              </w:rPr>
            </w:pP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Firm.</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2700" w:type="dxa"/>
            <w:vAlign w:val="bottom"/>
          </w:tcPr>
          <w:p>
            <w:pPr>
              <w:spacing w:after="0"/>
              <w:rPr>
                <w:sz w:val="21"/>
                <w:szCs w:val="21"/>
                <w:color w:val="auto"/>
              </w:rPr>
            </w:pP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2700" w:type="dxa"/>
            <w:vAlign w:val="bottom"/>
          </w:tcPr>
          <w:p>
            <w:pPr>
              <w:spacing w:after="0"/>
              <w:rPr>
                <w:sz w:val="21"/>
                <w:szCs w:val="21"/>
                <w:color w:val="auto"/>
              </w:rPr>
            </w:pP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27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2700" w:type="dxa"/>
            <w:vAlign w:val="bottom"/>
          </w:tcPr>
          <w:p>
            <w:pPr>
              <w:spacing w:after="0"/>
              <w:rPr>
                <w:sz w:val="18"/>
                <w:szCs w:val="18"/>
                <w:color w:val="auto"/>
              </w:rPr>
            </w:pP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for Eric M. DeMarco.</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w:t>
            </w:r>
          </w:p>
        </w:tc>
        <w:tc>
          <w:tcPr>
            <w:tcW w:w="27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w:t>
            </w:r>
          </w:p>
        </w:tc>
        <w:tc>
          <w:tcPr>
            <w:tcW w:w="2700" w:type="dxa"/>
            <w:vAlign w:val="bottom"/>
          </w:tcPr>
          <w:p>
            <w:pPr>
              <w:spacing w:after="0"/>
              <w:rPr>
                <w:sz w:val="18"/>
                <w:szCs w:val="18"/>
                <w:color w:val="auto"/>
              </w:rPr>
            </w:pP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for Deanna Lund.</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 from the Annual Report on</w:t>
            </w:r>
          </w:p>
        </w:tc>
        <w:tc>
          <w:tcPr>
            <w:tcW w:w="2700" w:type="dxa"/>
            <w:vAlign w:val="bottom"/>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Form 10K of Kratos Defense &amp; Security Solutions, Inc.</w:t>
            </w:r>
          </w:p>
        </w:tc>
        <w:tc>
          <w:tcPr>
            <w:tcW w:w="27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28, 2014, formatted in</w:t>
            </w:r>
          </w:p>
        </w:tc>
        <w:tc>
          <w:tcPr>
            <w:tcW w:w="27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XBRL: (i) the Consolidated Balance Sheets, (ii) the</w:t>
            </w:r>
          </w:p>
        </w:tc>
        <w:tc>
          <w:tcPr>
            <w:tcW w:w="27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and</w:t>
            </w:r>
          </w:p>
        </w:tc>
        <w:tc>
          <w:tcPr>
            <w:tcW w:w="27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(iii) the Consolidated Statements of</w:t>
            </w:r>
          </w:p>
        </w:tc>
        <w:tc>
          <w:tcPr>
            <w:tcW w:w="27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(iv) the Notes to the Consolidated Financial</w:t>
            </w:r>
          </w:p>
        </w:tc>
        <w:tc>
          <w:tcPr>
            <w:tcW w:w="2700" w:type="dxa"/>
            <w:vAlign w:val="bottom"/>
          </w:tcPr>
          <w:p>
            <w:pPr>
              <w:spacing w:after="0"/>
              <w:rPr>
                <w:sz w:val="18"/>
                <w:szCs w:val="18"/>
                <w:color w:val="auto"/>
              </w:rPr>
            </w:pPr>
          </w:p>
        </w:tc>
      </w:tr>
      <w:tr>
        <w:trPr>
          <w:trHeight w:val="234"/>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Statements.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8"/>
        <w:spacing w:after="0" w:line="282" w:lineRule="auto"/>
        <w:tabs>
          <w:tab w:leader="none" w:pos="2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00"/>
          </w:cols>
          <w:pgMar w:left="240" w:top="108" w:right="7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397" w:lineRule="exact"/>
        <w:rPr>
          <w:sz w:val="20"/>
          <w:szCs w:val="20"/>
          <w:color w:val="auto"/>
        </w:rPr>
      </w:pPr>
    </w:p>
    <w:p>
      <w:pPr>
        <w:ind w:left="660" w:right="8760" w:hanging="652"/>
        <w:spacing w:after="0" w:line="533" w:lineRule="auto"/>
        <w:tabs>
          <w:tab w:leader="none" w:pos="257"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 Schedules </w:t>
      </w:r>
      <w:r>
        <w:rPr>
          <w:rFonts w:ascii="Times New Roman" w:cs="Times New Roman" w:eastAsia="Times New Roman" w:hAnsi="Times New Roman"/>
          <w:sz w:val="17"/>
          <w:szCs w:val="17"/>
          <w:color w:val="auto"/>
        </w:rPr>
        <w:t>See Item 15(a)(2) above.</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2015</w:t>
      </w:r>
    </w:p>
    <w:p>
      <w:pPr>
        <w:spacing w:after="0" w:line="3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/s/ Eric M. DeMarco</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Eric M. DeMarco</w:t>
      </w:r>
    </w:p>
    <w:p>
      <w:pPr>
        <w:spacing w:after="0" w:line="2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(Principal</w:t>
      </w:r>
    </w:p>
    <w:p>
      <w:pPr>
        <w:spacing w:after="0" w:line="34"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00" w:lineRule="exact"/>
        <w:rPr>
          <w:sz w:val="20"/>
          <w:szCs w:val="20"/>
          <w:color w:val="auto"/>
        </w:rPr>
      </w:pPr>
    </w:p>
    <w:p>
      <w:pPr>
        <w:sectPr>
          <w:pgSz w:w="11900" w:h="16838" w:orient="portrait"/>
          <w:cols w:equalWidth="0" w:num="2">
            <w:col w:w="5840" w:space="720"/>
            <w:col w:w="4800"/>
          </w:cols>
          <w:pgMar w:left="240" w:top="121" w:right="299" w:bottom="1440" w:gutter="0" w:footer="0" w:header="0"/>
          <w:type w:val="continuous"/>
        </w:sectPr>
      </w:pPr>
    </w:p>
    <w:p>
      <w:pPr>
        <w:spacing w:after="0" w:line="6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60"/>
          </w:cols>
          <w:pgMar w:left="240" w:top="121" w:right="29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right"/>
        <w:ind w:right="37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0" w:lineRule="exact"/>
        <w:rPr>
          <w:sz w:val="20"/>
          <w:szCs w:val="20"/>
          <w:color w:val="auto"/>
        </w:rPr>
      </w:pPr>
    </w:p>
    <w:p>
      <w:pPr>
        <w:sectPr>
          <w:pgSz w:w="11900" w:h="16838" w:orient="portrait"/>
          <w:cols w:equalWidth="0" w:num="2">
            <w:col w:w="6140" w:space="720"/>
            <w:col w:w="4320"/>
          </w:cols>
          <w:pgMar w:left="240" w:top="121" w:right="479" w:bottom="1440" w:gutter="0" w:footer="0" w:header="0"/>
        </w:sectPr>
      </w:pPr>
    </w:p>
    <w:p>
      <w:pPr>
        <w:spacing w:after="0" w:line="34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Eric M. DeMarco</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Eric M. DeMarco</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Deanna H. Lund</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Deanna H. Lund</w:t>
      </w:r>
    </w:p>
    <w:p>
      <w:pPr>
        <w:spacing w:after="0" w:line="200" w:lineRule="exact"/>
        <w:rPr>
          <w:sz w:val="20"/>
          <w:szCs w:val="20"/>
          <w:color w:val="auto"/>
        </w:rPr>
      </w:pPr>
    </w:p>
    <w:p>
      <w:pPr>
        <w:spacing w:after="0" w:line="3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 Deborah S. Butera</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Deborah S. Butera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7"/>
          <w:szCs w:val="17"/>
          <w:color w:val="auto"/>
        </w:rPr>
        <w:t>/s/ Richard Duckworth</w:t>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Richard Duckworth</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Scott Anderson</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Scott Anderson</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Bandel Carano</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Bandel Carano</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William Hoglund</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William Hoglund</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Scot Jarvis</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Scot Jarvis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Jane E. Judd</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Jane E. Judd</w:t>
      </w:r>
    </w:p>
    <w:p>
      <w:pPr>
        <w:spacing w:after="0" w:line="200" w:lineRule="exact"/>
        <w:rPr>
          <w:sz w:val="20"/>
          <w:szCs w:val="20"/>
          <w:color w:val="auto"/>
        </w:rPr>
      </w:pPr>
    </w:p>
    <w:p>
      <w:pPr>
        <w:spacing w:after="0" w:line="372"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Sam Liberatore</w:t>
      </w:r>
    </w:p>
    <w:p>
      <w:pPr>
        <w:spacing w:after="0" w:line="2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Sam Liberatore</w:t>
      </w:r>
    </w:p>
    <w:p>
      <w:pPr>
        <w:spacing w:after="0" w:line="200" w:lineRule="exact"/>
        <w:rPr>
          <w:sz w:val="20"/>
          <w:szCs w:val="20"/>
          <w:color w:val="auto"/>
        </w:rPr>
      </w:pPr>
    </w:p>
    <w:p>
      <w:pPr>
        <w:spacing w:after="0" w:line="372"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/s/ Amy Zegart</w:t>
      </w:r>
    </w:p>
    <w:p>
      <w:pPr>
        <w:spacing w:after="0" w:line="2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Amy Zegart</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200" w:lineRule="exact"/>
        <w:rPr>
          <w:sz w:val="20"/>
          <w:szCs w:val="20"/>
          <w:color w:val="auto"/>
        </w:rPr>
      </w:pPr>
    </w:p>
    <w:p>
      <w:pPr>
        <w:spacing w:after="0" w:line="3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Executive Vice President, Chief Financial Officer (Principal Financial Officer)</w:t>
      </w:r>
    </w:p>
    <w:p>
      <w:pPr>
        <w:spacing w:after="0" w:line="200" w:lineRule="exact"/>
        <w:rPr>
          <w:sz w:val="20"/>
          <w:szCs w:val="20"/>
          <w:color w:val="auto"/>
        </w:rPr>
      </w:pP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Senior Vice President, General Counsel, Chief Compliance Officer and Secretary / Registered In-House Counsel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13, 2015</w:t>
      </w:r>
    </w:p>
    <w:p>
      <w:pPr>
        <w:sectPr>
          <w:pgSz w:w="11900" w:h="16838" w:orient="portrait"/>
          <w:cols w:equalWidth="0" w:num="3">
            <w:col w:w="3860" w:space="720"/>
            <w:col w:w="4820" w:space="360"/>
            <w:col w:w="1420"/>
          </w:cols>
          <w:pgMar w:left="240" w:top="121" w:right="47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0840" w:type="dxa"/>
            <w:vAlign w:val="bottom"/>
            <w:gridSpan w:val="10"/>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73"/>
        </w:trPr>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7660" w:type="dxa"/>
            <w:vAlign w:val="bottom"/>
            <w:gridSpan w:val="6"/>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60" w:type="dxa"/>
            <w:vAlign w:val="bottom"/>
            <w:gridSpan w:val="6"/>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KRATOS DEFENSE &amp; SECURITY SOLUTIONS, INC.</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10800" w:type="dxa"/>
            <w:vAlign w:val="bottom"/>
            <w:gridSpan w:val="9"/>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Reports of Independent Registered Public Accounting Firms</w:t>
              </w:r>
            </w:hyperlink>
          </w:p>
        </w:tc>
        <w:tc>
          <w:tcPr>
            <w:tcW w:w="560" w:type="dxa"/>
            <w:vAlign w:val="bottom"/>
            <w:gridSpan w:val="2"/>
          </w:tcPr>
          <w:p>
            <w:pPr>
              <w:ind w:left="300"/>
              <w:spacing w:after="0"/>
              <w:rPr>
                <w:rFonts w:ascii="Times New Roman" w:cs="Times New Roman" w:eastAsia="Times New Roman" w:hAnsi="Times New Roman"/>
                <w:sz w:val="18"/>
                <w:szCs w:val="18"/>
                <w:color w:val="0000EE"/>
                <w:w w:val="95"/>
              </w:rPr>
            </w:pPr>
            <w:hyperlink w:anchor="page69">
              <w:r>
                <w:rPr>
                  <w:rFonts w:ascii="Times New Roman" w:cs="Times New Roman" w:eastAsia="Times New Roman" w:hAnsi="Times New Roman"/>
                  <w:sz w:val="18"/>
                  <w:szCs w:val="18"/>
                  <w:color w:val="0000EE"/>
                  <w:w w:val="95"/>
                </w:rPr>
                <w:t>F-2</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Consolidated Balance Sheets as of December 29, 2013 and December 28, 2014</w:t>
              </w:r>
            </w:hyperlink>
          </w:p>
        </w:tc>
        <w:tc>
          <w:tcPr>
            <w:tcW w:w="5100" w:type="dxa"/>
            <w:vAlign w:val="bottom"/>
            <w:gridSpan w:val="4"/>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72">
              <w:r>
                <w:rPr>
                  <w:rFonts w:ascii="Times New Roman" w:cs="Times New Roman" w:eastAsia="Times New Roman" w:hAnsi="Times New Roman"/>
                  <w:sz w:val="18"/>
                  <w:szCs w:val="18"/>
                  <w:color w:val="0000EE"/>
                  <w:w w:val="95"/>
                </w:rPr>
                <w:t>F-5</w:t>
              </w:r>
            </w:hyperlink>
          </w:p>
        </w:tc>
      </w:tr>
      <w:tr>
        <w:trPr>
          <w:trHeight w:val="250"/>
        </w:trPr>
        <w:tc>
          <w:tcPr>
            <w:tcW w:w="40" w:type="dxa"/>
            <w:vAlign w:val="bottom"/>
          </w:tcPr>
          <w:p>
            <w:pPr>
              <w:spacing w:after="0"/>
              <w:rPr>
                <w:sz w:val="21"/>
                <w:szCs w:val="21"/>
                <w:color w:val="auto"/>
              </w:rPr>
            </w:pPr>
          </w:p>
        </w:tc>
        <w:tc>
          <w:tcPr>
            <w:tcW w:w="105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Consolidated Statements of Operations and Comprehensive Loss for the Years Ended December 30, 2012, December 29, 2013, and December 28,</w:t>
              </w:r>
            </w:hyperlink>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96"/>
        </w:trPr>
        <w:tc>
          <w:tcPr>
            <w:tcW w:w="400" w:type="dxa"/>
            <w:vAlign w:val="bottom"/>
            <w:gridSpan w:val="2"/>
          </w:tcPr>
          <w:p>
            <w:pPr>
              <w:ind w:left="40"/>
              <w:spacing w:after="0" w:line="196" w:lineRule="exact"/>
              <w:rPr>
                <w:rFonts w:ascii="Times New Roman" w:cs="Times New Roman" w:eastAsia="Times New Roman" w:hAnsi="Times New Roman"/>
                <w:sz w:val="18"/>
                <w:szCs w:val="18"/>
                <w:color w:val="0000EE"/>
                <w:w w:val="94"/>
              </w:rPr>
            </w:pPr>
            <w:hyperlink w:anchor="page73">
              <w:r>
                <w:rPr>
                  <w:rFonts w:ascii="Times New Roman" w:cs="Times New Roman" w:eastAsia="Times New Roman" w:hAnsi="Times New Roman"/>
                  <w:sz w:val="18"/>
                  <w:szCs w:val="18"/>
                  <w:color w:val="0000EE"/>
                  <w:w w:val="94"/>
                </w:rPr>
                <w:t>2014</w:t>
              </w:r>
            </w:hyperlink>
          </w:p>
        </w:tc>
        <w:tc>
          <w:tcPr>
            <w:tcW w:w="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ind w:left="300"/>
              <w:spacing w:after="0" w:line="196" w:lineRule="exact"/>
              <w:rPr>
                <w:rFonts w:ascii="Times New Roman" w:cs="Times New Roman" w:eastAsia="Times New Roman" w:hAnsi="Times New Roman"/>
                <w:sz w:val="18"/>
                <w:szCs w:val="18"/>
                <w:color w:val="0000EE"/>
                <w:w w:val="95"/>
              </w:rPr>
            </w:pPr>
            <w:hyperlink w:anchor="page73">
              <w:r>
                <w:rPr>
                  <w:rFonts w:ascii="Times New Roman" w:cs="Times New Roman" w:eastAsia="Times New Roman" w:hAnsi="Times New Roman"/>
                  <w:sz w:val="18"/>
                  <w:szCs w:val="18"/>
                  <w:color w:val="0000EE"/>
                  <w:w w:val="95"/>
                </w:rPr>
                <w:t>F-6</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800" w:type="dxa"/>
            <w:vAlign w:val="bottom"/>
            <w:gridSpan w:val="9"/>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Consolidated Statements of Stockholders' Equity for the Years Ended December 30, 2012, December 29, 2013, and December 28, 2014</w:t>
              </w:r>
            </w:hyperlink>
          </w:p>
        </w:tc>
        <w:tc>
          <w:tcPr>
            <w:tcW w:w="560" w:type="dxa"/>
            <w:vAlign w:val="bottom"/>
            <w:gridSpan w:val="2"/>
          </w:tcPr>
          <w:p>
            <w:pPr>
              <w:ind w:left="300"/>
              <w:spacing w:after="0"/>
              <w:rPr>
                <w:rFonts w:ascii="Times New Roman" w:cs="Times New Roman" w:eastAsia="Times New Roman" w:hAnsi="Times New Roman"/>
                <w:sz w:val="18"/>
                <w:szCs w:val="18"/>
                <w:color w:val="0000EE"/>
                <w:w w:val="95"/>
              </w:rPr>
            </w:pPr>
            <w:hyperlink w:anchor="page74">
              <w:r>
                <w:rPr>
                  <w:rFonts w:ascii="Times New Roman" w:cs="Times New Roman" w:eastAsia="Times New Roman" w:hAnsi="Times New Roman"/>
                  <w:sz w:val="18"/>
                  <w:szCs w:val="18"/>
                  <w:color w:val="0000EE"/>
                  <w:w w:val="95"/>
                </w:rPr>
                <w:t>F-7</w:t>
              </w:r>
            </w:hyperlink>
          </w:p>
        </w:tc>
      </w:tr>
      <w:tr>
        <w:trPr>
          <w:trHeight w:val="250"/>
        </w:trPr>
        <w:tc>
          <w:tcPr>
            <w:tcW w:w="40" w:type="dxa"/>
            <w:vAlign w:val="bottom"/>
          </w:tcPr>
          <w:p>
            <w:pPr>
              <w:spacing w:after="0"/>
              <w:rPr>
                <w:sz w:val="21"/>
                <w:szCs w:val="21"/>
                <w:color w:val="auto"/>
              </w:rPr>
            </w:pPr>
          </w:p>
        </w:tc>
        <w:tc>
          <w:tcPr>
            <w:tcW w:w="9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Cash Flows for the Years Ended December 30, 2012, December 29, 2013, and December 28, 2014</w:t>
              </w:r>
            </w:hyperlink>
          </w:p>
        </w:tc>
        <w:tc>
          <w:tcPr>
            <w:tcW w:w="104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Times New Roman" w:cs="Times New Roman" w:eastAsia="Times New Roman" w:hAnsi="Times New Roman"/>
                <w:sz w:val="18"/>
                <w:szCs w:val="18"/>
                <w:color w:val="0000EE"/>
                <w:w w:val="95"/>
              </w:rPr>
            </w:pPr>
            <w:hyperlink w:anchor="page75">
              <w:r>
                <w:rPr>
                  <w:rFonts w:ascii="Times New Roman" w:cs="Times New Roman" w:eastAsia="Times New Roman" w:hAnsi="Times New Roman"/>
                  <w:sz w:val="18"/>
                  <w:szCs w:val="18"/>
                  <w:color w:val="0000EE"/>
                  <w:w w:val="95"/>
                </w:rPr>
                <w:t>F-8</w:t>
              </w:r>
            </w:hyperlink>
          </w:p>
        </w:tc>
      </w:tr>
      <w:tr>
        <w:trPr>
          <w:trHeight w:val="250"/>
        </w:trPr>
        <w:tc>
          <w:tcPr>
            <w:tcW w:w="40" w:type="dxa"/>
            <w:vAlign w:val="bottom"/>
          </w:tcPr>
          <w:p>
            <w:pPr>
              <w:spacing w:after="0"/>
              <w:rPr>
                <w:sz w:val="21"/>
                <w:szCs w:val="21"/>
                <w:color w:val="auto"/>
              </w:rPr>
            </w:pPr>
          </w:p>
        </w:tc>
        <w:tc>
          <w:tcPr>
            <w:tcW w:w="91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Notes to Consolidated Financial Statements</w:t>
              </w:r>
            </w:hyperlink>
          </w:p>
        </w:tc>
        <w:tc>
          <w:tcPr>
            <w:tcW w:w="170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0000EE"/>
            </w:tcBorders>
          </w:tcPr>
          <w:p>
            <w:pPr>
              <w:spacing w:after="0"/>
              <w:rPr>
                <w:rFonts w:ascii="Times New Roman" w:cs="Times New Roman" w:eastAsia="Times New Roman" w:hAnsi="Times New Roman"/>
                <w:sz w:val="18"/>
                <w:szCs w:val="18"/>
                <w:color w:val="0000EE"/>
                <w:w w:val="95"/>
              </w:rPr>
            </w:pPr>
            <w:hyperlink w:anchor="page77">
              <w:r>
                <w:rPr>
                  <w:rFonts w:ascii="Times New Roman" w:cs="Times New Roman" w:eastAsia="Times New Roman" w:hAnsi="Times New Roman"/>
                  <w:sz w:val="18"/>
                  <w:szCs w:val="18"/>
                  <w:color w:val="0000EE"/>
                  <w:w w:val="95"/>
                </w:rPr>
                <w:t>F-9</w:t>
              </w:r>
            </w:hyperlink>
          </w:p>
        </w:tc>
      </w:tr>
      <w:tr>
        <w:trPr>
          <w:trHeight w:val="723"/>
        </w:trPr>
        <w:tc>
          <w:tcPr>
            <w:tcW w:w="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6460" w:type="dxa"/>
            <w:vAlign w:val="bottom"/>
            <w:gridSpan w:val="5"/>
          </w:tcPr>
          <w:p>
            <w:pPr>
              <w:jc w:val="center"/>
              <w:ind w:right="380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Kratos Defense &amp; Security Solutions, Inc. and subsidiaries (the "Company") as of December 28, 2014 and December 29, 2013, and the related consolidated statements of operations and comprehensive loss, stockholders' equity, and cash flows for each of the two years in the period ended December 28, 2014. We also have audited the Company's internal control over financial reporting as of December 28, 2014,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The consolidated financial statements of the Company for the year ended December 30, 2012, before the effects of the retrospective adjustments to the disclosures for a change in the composition of reportable segments discussed in Note 14 to the consolidated financial statements, were audited by other auditors whose report, dated March 12, 2013, expressed an unqualified opinion on those statements.</w:t>
      </w:r>
    </w:p>
    <w:p>
      <w:pPr>
        <w:spacing w:after="0" w:line="17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28, 2014 and December 29, 2013, and the results of their operations and their cash flows for each of the two years in the period ended December 28, 2014, in conformity with accounting principles generally accepted in the United States of America. Also, in our opinion, the Company maintained, in all material respects, effective internal control over financial reporting as of December 28, 2014, based on the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r>
        <w:rPr>
          <w:rFonts w:ascii="Times New Roman" w:cs="Times New Roman" w:eastAsia="Times New Roman" w:hAnsi="Times New Roman"/>
          <w:sz w:val="18"/>
          <w:szCs w:val="18"/>
          <w:i w:val="1"/>
          <w:iCs w:val="1"/>
          <w:color w:val="auto"/>
        </w:rPr>
        <w: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the adjustments to the 2012 consolidated financial statements to retrospectively adjust the disclosures for a change in the composition of reportable segments in 2014, as discussed in Note 14 to the consolidated financial statements. Our procedures included (1) comparing the adjustment amounts of segment revenues, depreciation and amortization,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(loss) from continuing operations to the Company's underlying analysis and (2) testing the mathematical accuracy of the reconciliation of segment amounts to the consolidated financial statements. In our opinion, such retrospective adjustments are appropriate and have been properly applied. However, we were not engaged to audit, review, or apply any procedures to the 2012 consolidated financial statements of the Company other than with respect to the retrospective adjustments and, accordingly, we do not express an opinion or any other form of assurance on the 2012 consolidated financial statements taken as a whole.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2015</w:t>
      </w: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00"/>
          </w:cols>
          <w:pgMar w:left="240" w:top="121" w:right="4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comprehensive income (loss), stockholders’ equity, and cash flows of Kratos Defense &amp; Security Solutions, Inc. (the “Company”) for the year ended December 30, 2012. These financial statements are the responsibility of the Company’s management. Our responsibility is to express an opinion on these financial statements based on our audit.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results of the operations and cash flows of Kratos Defense &amp; Security Solutions, Inc. for the year ended December 30, 2012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29, 2013 and December 28, 2014</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 except par value and number of shares)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Inventoried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Income taxes receivable</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66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capital lease obligations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principal, net of current portion</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premium</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Line of credit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Capital lease obligations, net of current portion</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 of discontinued operations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$0.001 par value, 5,000,000 authorized, 0 shares outstanding at December 29, 2013 and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28, 2014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$0.001 par value, 195,000,000 shares authorized; 57,056,892 and 57,801,978 shares issued and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at December 29, 2013 and December 28, 2014, respectively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-4683760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-4340860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-3997960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-3655060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-3312160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-2968625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-2625725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-2282825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-1974215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-1287780</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-1630680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78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55.7</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34.7</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5.0</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265.8</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248.2</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74.6</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68.0</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16.7</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w:t>
            </w:r>
          </w:p>
        </w:tc>
      </w:tr>
      <w:tr>
        <w:trPr>
          <w:trHeight w:val="24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430.3</w:t>
            </w:r>
          </w:p>
        </w:tc>
        <w:tc>
          <w:tcPr>
            <w:tcW w:w="540" w:type="dxa"/>
            <w:vAlign w:val="bottom"/>
          </w:tcPr>
          <w:p>
            <w:pPr>
              <w:spacing w:after="0"/>
              <w:rPr>
                <w:sz w:val="21"/>
                <w:szCs w:val="21"/>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374.9</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84.8</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82.6</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596.4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596.4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69.9</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35.2</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32.6</w:t>
            </w:r>
          </w:p>
        </w:tc>
      </w:tr>
      <w:tr>
        <w:trPr>
          <w:trHeight w:val="237"/>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1,216.6</w:t>
            </w: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1,138.8</w:t>
            </w:r>
          </w:p>
        </w:tc>
      </w:tr>
      <w:tr>
        <w:trPr>
          <w:trHeight w:val="20"/>
        </w:trPr>
        <w:tc>
          <w:tcPr>
            <w:tcW w:w="1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759"/>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61.9</w:t>
            </w: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46.2</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44.9</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46.4</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5.2</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52.5</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28.4</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8.1</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0.3</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4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251.0</w:t>
            </w:r>
          </w:p>
        </w:tc>
        <w:tc>
          <w:tcPr>
            <w:tcW w:w="540" w:type="dxa"/>
            <w:vAlign w:val="bottom"/>
          </w:tcPr>
          <w:p>
            <w:pPr>
              <w:spacing w:after="0"/>
              <w:rPr>
                <w:sz w:val="21"/>
                <w:szCs w:val="21"/>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226.1</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628.8</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622.0</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14.5</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0.1</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0.7</w:t>
            </w:r>
          </w:p>
        </w:tc>
        <w:tc>
          <w:tcPr>
            <w:tcW w:w="54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25.5</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75"/>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0.2</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920.8</w:t>
            </w: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914.5</w:t>
            </w:r>
          </w:p>
        </w:tc>
      </w:tr>
      <w:tr>
        <w:trPr>
          <w:trHeight w:val="866"/>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856.0</w:t>
            </w:r>
          </w:p>
        </w:tc>
        <w:tc>
          <w:tcPr>
            <w:tcW w:w="5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863.4</w:t>
            </w:r>
          </w:p>
        </w:tc>
      </w:tr>
      <w:tr>
        <w:trPr>
          <w:trHeight w:val="270"/>
        </w:trPr>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75"/>
        </w:trPr>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(559.4)</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(637.4)</w:t>
            </w:r>
          </w:p>
        </w:tc>
      </w:tr>
      <w:tr>
        <w:trPr>
          <w:trHeight w:val="250"/>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295.8</w:t>
            </w: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224.3</w:t>
            </w:r>
          </w:p>
        </w:tc>
      </w:tr>
      <w:tr>
        <w:trPr>
          <w:trHeight w:val="237"/>
        </w:trPr>
        <w:tc>
          <w:tcPr>
            <w:tcW w:w="1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1,216.6</w:t>
            </w: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1,138.8</w:t>
            </w:r>
          </w:p>
        </w:tc>
      </w:tr>
      <w:tr>
        <w:trPr>
          <w:trHeight w:val="20"/>
        </w:trPr>
        <w:tc>
          <w:tcPr>
            <w:tcW w:w="1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-8255</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-359410</wp:posOffset>
            </wp:positionV>
            <wp:extent cx="1457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-1834515</wp:posOffset>
            </wp:positionV>
            <wp:extent cx="1457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-3172460</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-5222240</wp:posOffset>
            </wp:positionV>
            <wp:extent cx="1457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-6259830</wp:posOffset>
            </wp:positionV>
            <wp:extent cx="1457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660"/>
          </w:cols>
          <w:pgMar w:left="240" w:top="12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30, 2012, December 29, 2013, and December 28, 2014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1380" w:type="dxa"/>
            <w:vAlign w:val="bottom"/>
            <w:tcBorders>
              <w:bottom w:val="single" w:sz="8" w:color="CCEEFF"/>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390.8</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13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477.2</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868.0</w:t>
            </w:r>
          </w:p>
        </w:tc>
      </w:tr>
      <w:tr>
        <w:trPr>
          <w:trHeight w:val="21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304.6</w:t>
            </w:r>
          </w:p>
        </w:tc>
      </w:tr>
      <w:tr>
        <w:trPr>
          <w:trHeight w:val="33"/>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1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345.2</w:t>
            </w:r>
          </w:p>
        </w:tc>
      </w:tr>
      <w:tr>
        <w:trPr>
          <w:trHeight w:val="217"/>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costs</w:t>
            </w:r>
          </w:p>
        </w:tc>
        <w:tc>
          <w:tcPr>
            <w:tcW w:w="1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712.0</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710.6</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649.8</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218.2</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173.4</w:t>
            </w:r>
          </w:p>
        </w:tc>
      </w:tr>
      <w:tr>
        <w:trPr>
          <w:trHeight w:val="33"/>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Merger and acquisition related items</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Unused office space and other restructuring</w:t>
            </w:r>
          </w:p>
        </w:tc>
        <w:tc>
          <w:tcPr>
            <w:tcW w:w="13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r>
      <w:tr>
        <w:trPr>
          <w:trHeight w:val="204"/>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60"/>
        </w:trPr>
        <w:tc>
          <w:tcPr>
            <w:tcW w:w="50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3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33"/>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1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r>
      <w:tr>
        <w:trPr>
          <w:trHeight w:val="217"/>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1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1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 from continuing operations</w:t>
            </w:r>
          </w:p>
        </w:tc>
        <w:tc>
          <w:tcPr>
            <w:tcW w:w="1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tcBorders>
              <w:bottom w:val="single" w:sz="8" w:color="CCEEFF"/>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and diluted loss per common share:</w:t>
            </w: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138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0"/>
                <w:szCs w:val="20"/>
                <w:color w:val="auto"/>
              </w:rPr>
            </w:pPr>
          </w:p>
        </w:tc>
        <w:tc>
          <w:tcPr>
            <w:tcW w:w="136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33"/>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0.00</w:t>
            </w:r>
          </w:p>
        </w:tc>
      </w:tr>
      <w:tr>
        <w:trPr>
          <w:trHeight w:val="217"/>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380" w:type="dxa"/>
            <w:vAlign w:val="bottom"/>
            <w:tcBorders>
              <w:top w:val="single" w:sz="8" w:color="auto"/>
            </w:tcBorders>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ind w:right="1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73"/>
        </w:trPr>
        <w:tc>
          <w:tcPr>
            <w:tcW w:w="504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50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50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2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138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w:t>
            </w:r>
          </w:p>
        </w:tc>
      </w:tr>
      <w:tr>
        <w:trPr>
          <w:trHeight w:val="73"/>
        </w:trPr>
        <w:tc>
          <w:tcPr>
            <w:tcW w:w="504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50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Comprehensive Loss</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50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from above</w:t>
            </w:r>
          </w:p>
        </w:tc>
        <w:tc>
          <w:tcPr>
            <w:tcW w:w="138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Pr>
          <w:p>
            <w:pPr>
              <w:spacing w:after="0"/>
              <w:rPr>
                <w:sz w:val="20"/>
                <w:szCs w:val="20"/>
                <w:color w:val="auto"/>
              </w:rPr>
            </w:pPr>
          </w:p>
        </w:tc>
        <w:tc>
          <w:tcPr>
            <w:tcW w:w="1360" w:type="dxa"/>
            <w:vAlign w:val="bottom"/>
          </w:tcPr>
          <w:p>
            <w:pPr>
              <w:jc w:val="right"/>
              <w:ind w:right="1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4"/>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60"/>
        </w:trPr>
        <w:tc>
          <w:tcPr>
            <w:tcW w:w="50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cumulative translation adjustment</w:t>
            </w:r>
          </w:p>
        </w:tc>
        <w:tc>
          <w:tcPr>
            <w:tcW w:w="1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Post retirement benefit reserve adjustment net of tax expense</w:t>
            </w:r>
          </w:p>
        </w:tc>
        <w:tc>
          <w:tcPr>
            <w:tcW w:w="1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1380" w:type="dxa"/>
            <w:vAlign w:val="bottom"/>
            <w:tcBorders>
              <w:bottom w:val="single" w:sz="8" w:color="CCEEFF"/>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30, 2012, December 29, 2013, and December 28, 2014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3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96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96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59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25, 2011</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720.6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 options and warrants</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cash</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acquisitions</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repurchased for employee stock purchase plan</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units traded for taxes</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30, 2012</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847.1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 options and warrants</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units traded for taxes</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29, 2013</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856.0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 options and warrants</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units traded for taxes</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28, 2014</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5"/>
              <w:spacing w:after="0"/>
              <w:rPr>
                <w:sz w:val="20"/>
                <w:szCs w:val="20"/>
                <w:color w:val="auto"/>
              </w:rPr>
            </w:pPr>
            <w:r>
              <w:rPr>
                <w:rFonts w:ascii="Times New Roman" w:cs="Times New Roman" w:eastAsia="Times New Roman" w:hAnsi="Times New Roman"/>
                <w:sz w:val="14"/>
                <w:szCs w:val="14"/>
                <w:color w:val="auto"/>
              </w:rPr>
              <w:t>863.4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121" w:right="239" w:bottom="1440" w:gutter="0" w:footer="0" w:header="0"/>
        </w:sectPr>
      </w:pPr>
    </w:p>
    <w:bookmarkStart w:id="75" w:name="page76"/>
    <w:bookmarkEnd w:id="75"/>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KRATOS DEFENSE &amp; SECURITY SOLUTIONS, INC. CONSOLIDATED STATEMENTS OF CASH FLOWS Years ended December 30, 2012, December 29, 2013, and December 28, 2014 (in millions)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6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from continuing operations to net cash provided by</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 from continuing operations: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Goodwill and intangible asset impairment charge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premium and discount on Senior Secured Notes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accrual for excess facilities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Inventoried costs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Prepaid expenses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Accrued expenses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Accrued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Accrued interest</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Other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7"/>
        </w:trPr>
        <w:tc>
          <w:tcPr>
            <w:tcW w:w="66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 from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6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disposition of discontinued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transferred from (to) restricted cash</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7"/>
        </w:trPr>
        <w:tc>
          <w:tcPr>
            <w:tcW w:w="66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 from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6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long-term debt, net of issuance costs</w:t>
            </w:r>
          </w:p>
        </w:tc>
        <w:tc>
          <w:tcPr>
            <w:tcW w:w="9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 net of issuance costs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 under credit facility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37"/>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credit facility</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contingent acquisition consideration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restricted stock units, employee stock options, and employee stock</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 operations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1"/>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operating cash flows of discontinued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
        </w:trPr>
        <w:tc>
          <w:tcPr>
            <w:tcW w:w="66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14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64.0</w:t>
            </w:r>
          </w:p>
        </w:tc>
        <w:tc>
          <w:tcPr>
            <w:tcW w:w="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c>
          <w:tcPr>
            <w:tcW w:w="7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w:t>
            </w: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paid during the year for income taxes</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5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and stock options issued for acquisitions</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Liability for contingent cash consideration</w:t>
            </w:r>
          </w:p>
        </w:tc>
        <w:tc>
          <w:tcPr>
            <w:tcW w:w="142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transactions:</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 in acquisitions</w:t>
            </w:r>
          </w:p>
        </w:tc>
        <w:tc>
          <w:tcPr>
            <w:tcW w:w="142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218.3</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Liabilities assumed in acquisitions</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35.2</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Kratos Defense &amp; Security Solutions, Inc. (“Kratos” or the “Company”) is a specialized technology focused security business providing mission critical products, solutions and services for domestic and international customers, with our principal customers being agencies of the U.S. Government. Our core capabilities are sophisticated engineering, manufacturing, technology development, system integration, and test and evaluation offerings for national security platforms and programs. Our principal products and solutions are related to Command, Control, Communications, Computing, Combat Systems, Intelligence, Surveillance and Reconnaissance (“C5ISR”). We offer our customers products, solutions, services and expertise to support their mission critical needs by leveraging our skills across our core offering areas in C5ISR.</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designs, engineers and manufactures specialized electronic products, components, subsystems and systems for intelligence, surveillance, and reconnaissance (ISR), electronic attack, electronic warfare, radar, and missile system platforms; integrated product, software and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The Company believes our stable customer base, strong customer relationships, intellectual property, broad array of contract vehicles, "designed in" positions on strategic national security platforms, large technically oriented employee base possessing specialized skills, specialized manufacturing facilities and equipment, extensive list of past performance qualifications, and significant management and operational capabilities position us for success.</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in three principal reportable segments: Kratos Government Solutions (“KGS”), Kratos Unmanned Systems ("US") and Public Safety &amp; Security (“PSS”). The Company organizes its reportable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on Form 10-K (this “Annual Report”) are presented in a manner consistent with the Company's operating structure. For additional information regarding the Company's operating segments, see Note 14 of the Notes to the Consolidated Financial Statements.</w:t>
      </w:r>
    </w:p>
    <w:p>
      <w:pPr>
        <w:spacing w:after="0" w:line="184"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Kratos and its 100% owned subsidiaries, for which all intercompany transactions have been eliminated in consolidation.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2012, the Company committed to a plan to sell certain lines of business associated with antennas, satellite-cased products and fly-away terminals of the non-core businesses acquired in the Integral Systems, Inc. (“Integral”) acquisition. In accordance with </w:t>
      </w:r>
      <w:r>
        <w:rPr>
          <w:rFonts w:ascii="Times New Roman" w:cs="Times New Roman" w:eastAsia="Times New Roman" w:hAnsi="Times New Roman"/>
          <w:sz w:val="18"/>
          <w:szCs w:val="18"/>
          <w:i w:val="1"/>
          <w:iCs w:val="1"/>
          <w:color w:val="auto"/>
        </w:rPr>
        <w:t>Financial Accounting Standards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("FASB") Accounting Standards Codification ("ASC") Topic 205, Presentation of Financial Statements (“Topic 205”)</w:t>
      </w:r>
      <w:r>
        <w:rPr>
          <w:rFonts w:ascii="Times New Roman" w:cs="Times New Roman" w:eastAsia="Times New Roman" w:hAnsi="Times New Roman"/>
          <w:sz w:val="18"/>
          <w:szCs w:val="18"/>
          <w:color w:val="auto"/>
        </w:rPr>
        <w:t>, these businesses have been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held for sale and reported in discontinued operations in the accompanying Consolidated Financial Statements. See Note 9.</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with interim fiscal periods ending on the last Sunday of each calendar quarter. There were 52 calendar weeks in the fiscal years ended on December 29, 2013 and December 28, 2014. There were 53 calendar weeks in the fiscal year ended 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2012.</w:t>
      </w:r>
    </w:p>
    <w:p>
      <w:pPr>
        <w:spacing w:after="0" w:line="22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18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three basic categories of fixed-price contracts: fixed unit price, fixed-price-level of effort, and fixed-price-completion. Revenue recognition methods on fixed-price contracts will vary depending on the nature of the work and the contract terms. Revenues on fixed-price service contracts are recorded as work is performed in accordance with </w:t>
      </w:r>
      <w:r>
        <w:rPr>
          <w:rFonts w:ascii="Times New Roman" w:cs="Times New Roman" w:eastAsia="Times New Roman" w:hAnsi="Times New Roman"/>
          <w:sz w:val="18"/>
          <w:szCs w:val="18"/>
          <w:i w:val="1"/>
          <w:iCs w:val="1"/>
          <w:color w:val="auto"/>
        </w:rPr>
        <w:t>ASC Topic 605, Revenue Recognition (“Topic 605”)</w:t>
      </w:r>
      <w:r>
        <w:rPr>
          <w:rFonts w:ascii="Times New Roman" w:cs="Times New Roman" w:eastAsia="Times New Roman" w:hAnsi="Times New Roman"/>
          <w:sz w:val="18"/>
          <w:szCs w:val="18"/>
          <w:color w:val="auto"/>
        </w:rPr>
        <w:t xml:space="preserve">, specifically </w:t>
      </w:r>
      <w:r>
        <w:rPr>
          <w:rFonts w:ascii="Times New Roman" w:cs="Times New Roman" w:eastAsia="Times New Roman" w:hAnsi="Times New Roman"/>
          <w:sz w:val="18"/>
          <w:szCs w:val="18"/>
          <w:i w:val="1"/>
          <w:iCs w:val="1"/>
          <w:color w:val="auto"/>
        </w:rPr>
        <w:t>Topic 605-10-S99</w:t>
      </w:r>
      <w:r>
        <w:rPr>
          <w:rFonts w:ascii="Times New Roman" w:cs="Times New Roman" w:eastAsia="Times New Roman" w:hAnsi="Times New Roman"/>
          <w:sz w:val="18"/>
          <w:szCs w:val="18"/>
          <w:color w:val="auto"/>
        </w:rPr>
        <w:t>, which generally requires revenue to be deferred until all of the following have occurred: (1) there is a contract in place; (2) 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the Company is paid a specific amount to provide services for a stated period of time is recognized ratably over the service period.</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a portion of the fixed price-completion contracts, revenue is recognized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on a contract-by-contract basis. If, as a result of this review, management determines that a loss on a contract is evident, then the full amount of estimated loss is charged to operations in the period. As of December 29, 2013 and December 28, 2014, the provisions for losses on contracts were $4.8 million and $2.9 million, respectively.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instances, when the Company's customers have requested that it commence work prior to receipt of the contract award and funding and it has incurred costs related to that specific anticipated contract, and the Company believes recoverability of the costs is probable, it may defer those costs incurred until the associated contract has been awarded and funded by the customer.</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accounting for the Company's long-term contracts for production of products provided to the U.S. Government, the Company utilizes both cost-to-cost and units delivered measures under the percentage-of-completion method of accounting under the provisions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Under the units delivered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delivered or as computed on the basis of the estimated final average unit costs plus profit. The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classifies contract revenues as product sales or service revenues depending upon the predominant attributes of the relevant underlying contracts.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the Company's revenue for any period if management made different judgments or utilized different estimates.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the Company's policy to review any arrangement containing software or software deliverables and services against the criteria contained in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985, Software (“Topic 985”). </w:t>
      </w:r>
      <w:r>
        <w:rPr>
          <w:rFonts w:ascii="Times New Roman" w:cs="Times New Roman" w:eastAsia="Times New Roman" w:hAnsi="Times New Roman"/>
          <w:sz w:val="18"/>
          <w:szCs w:val="18"/>
          <w:color w:val="auto"/>
        </w:rPr>
        <w:t>Under the provisions of</w:t>
      </w:r>
      <w:r>
        <w:rPr>
          <w:rFonts w:ascii="Times New Roman" w:cs="Times New Roman" w:eastAsia="Times New Roman" w:hAnsi="Times New Roman"/>
          <w:sz w:val="18"/>
          <w:szCs w:val="18"/>
          <w:i w:val="1"/>
          <w:iCs w:val="1"/>
          <w:color w:val="auto"/>
        </w:rPr>
        <w:t xml:space="preserve"> Topic 985</w:t>
      </w:r>
      <w:r>
        <w:rPr>
          <w:rFonts w:ascii="Times New Roman" w:cs="Times New Roman" w:eastAsia="Times New Roman" w:hAnsi="Times New Roman"/>
          <w:sz w:val="18"/>
          <w:szCs w:val="18"/>
          <w:color w:val="auto"/>
        </w:rPr>
        <w:t>, the Company reviews the contract value of software deliverables and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determines allocations of the contract value based on vendor-specific objective evidence (“VSOE”) of fair value for each of the software elements. All software arrangements requiring significant production, modification, or customization of the software are accounted for in conformity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contracts may include the provision of more than one of its services (“multiple element arrangements”). In these situations, the Company applies the guidance of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multiple element arrangements that include hardware products containing software essential to the hardware products' functionality,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Depending on the contractual arrangement, these expenses may be reimbursed with or without a fee.</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Times New Roman" w:cs="Times New Roman" w:eastAsia="Times New Roman" w:hAnsi="Times New Roman"/>
          <w:sz w:val="18"/>
          <w:szCs w:val="18"/>
          <w:i w:val="1"/>
          <w:iCs w:val="1"/>
          <w:color w:val="auto"/>
        </w:rPr>
        <w:t>Topic 605,</w:t>
      </w:r>
      <w:r>
        <w:rPr>
          <w:rFonts w:ascii="Times New Roman" w:cs="Times New Roman" w:eastAsia="Times New Roman" w:hAnsi="Times New Roman"/>
          <w:sz w:val="18"/>
          <w:szCs w:val="18"/>
          <w:color w:val="auto"/>
        </w:rPr>
        <w:t xml:space="preserve"> depending on the specific circumstances of the arrangement. The Company considers the following criteria, among others, for recording revenue on a gross or net basis: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100" w:hanging="471"/>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acts as a principal in the transaction;</w:t>
      </w:r>
    </w:p>
    <w:p>
      <w:pPr>
        <w:spacing w:after="0" w:line="22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takes title to the products;</w:t>
      </w:r>
    </w:p>
    <w:p>
      <w:pPr>
        <w:spacing w:after="0" w:line="22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risks and rewards of ownership, such as risk of loss for collection, delivery or returns;</w:t>
      </w:r>
    </w:p>
    <w:p>
      <w:pPr>
        <w:spacing w:after="0" w:line="22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serves as an agent or broker, with compensation on a commission or fee basis; and,</w:t>
      </w:r>
    </w:p>
    <w:p>
      <w:pPr>
        <w:spacing w:after="0" w:line="225" w:lineRule="exact"/>
        <w:rPr>
          <w:rFonts w:ascii="Times New Roman" w:cs="Times New Roman" w:eastAsia="Times New Roman" w:hAnsi="Times New Roman"/>
          <w:sz w:val="18"/>
          <w:szCs w:val="18"/>
          <w:color w:val="auto"/>
        </w:rPr>
      </w:pPr>
    </w:p>
    <w:p>
      <w:pPr>
        <w:ind w:left="1100" w:hanging="471"/>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8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customer, communications with the customer regarding funding status, and its knowledge of available funding for the contract or program. As of December 29, 2013 and December 28, 2014, approximately $3.7 million and $1.6 million, respectively, of the Company's unbilled accounts receivable balance were under an authorization to proceed or work order from its customers where a formal purchase order had not yet been received.</w:t>
      </w:r>
    </w:p>
    <w:p>
      <w:pPr>
        <w:spacing w:after="0" w:line="18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5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Inventoried costs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Inventoried costs are stated at the lower of cost or market. Cost is determined using the average cost or first-in, first-out methods and the applicable method is applied consistently within an operating entity. Inventoried costs primarily relate to work under fixed-price contracts using the percentage-of-completion under the units of delivery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Research and Development</w:t>
      </w:r>
    </w:p>
    <w:p>
      <w:pPr>
        <w:spacing w:after="0" w:line="227" w:lineRule="exact"/>
        <w:rPr>
          <w:sz w:val="20"/>
          <w:szCs w:val="20"/>
          <w:color w:val="auto"/>
        </w:rPr>
      </w:pPr>
    </w:p>
    <w:p>
      <w:pPr>
        <w:ind w:right="10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Costs incurred in research and development activities are expensed as incurred in accordance with FASB </w:t>
      </w:r>
      <w:r>
        <w:rPr>
          <w:rFonts w:ascii="Times New Roman" w:cs="Times New Roman" w:eastAsia="Times New Roman" w:hAnsi="Times New Roman"/>
          <w:sz w:val="18"/>
          <w:szCs w:val="18"/>
          <w:i w:val="1"/>
          <w:iCs w:val="1"/>
          <w:color w:val="auto"/>
        </w:rPr>
        <w:t>ASC Topic 730,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p>
    <w:p>
      <w:pPr>
        <w:spacing w:after="0" w:line="15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the recognition standards established by </w:t>
      </w:r>
      <w:r>
        <w:rPr>
          <w:rFonts w:ascii="Times New Roman" w:cs="Times New Roman" w:eastAsia="Times New Roman" w:hAnsi="Times New Roman"/>
          <w:sz w:val="18"/>
          <w:szCs w:val="18"/>
          <w:i w:val="1"/>
          <w:iCs w:val="1"/>
          <w:color w:val="auto"/>
        </w:rPr>
        <w:t>ASC Topic 740, Income Taxes (“Topic 740”)</w:t>
      </w:r>
      <w:r>
        <w:rPr>
          <w:rFonts w:ascii="Times New Roman" w:cs="Times New Roman" w:eastAsia="Times New Roman" w:hAnsi="Times New Roman"/>
          <w:sz w:val="18"/>
          <w:szCs w:val="18"/>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7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w:t>
      </w:r>
      <w:r>
        <w:rPr>
          <w:rFonts w:ascii="Times New Roman" w:cs="Times New Roman" w:eastAsia="Times New Roman" w:hAnsi="Times New Roman"/>
          <w:sz w:val="18"/>
          <w:szCs w:val="18"/>
          <w:i w:val="1"/>
          <w:iCs w:val="1"/>
          <w:color w:val="auto"/>
        </w:rPr>
        <w:t>ASC Topic 718, Compensation-Stock Compensation (“Topic 718”)</w:t>
      </w:r>
      <w:r>
        <w:rPr>
          <w:rFonts w:ascii="Times New Roman" w:cs="Times New Roman" w:eastAsia="Times New Roman" w:hAnsi="Times New Roman"/>
          <w:sz w:val="18"/>
          <w:szCs w:val="18"/>
          <w:color w:val="auto"/>
        </w:rPr>
        <w:t xml:space="preserve">. All of the Company's stock-based compensation plans are considered equity plans under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91"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30, 2012, December 29, 2013 and December 28, 2014, there was no incremental tax benefit from stock options exercised in the periods. The following table shows the amounts recognized in the Consolidated Financial Statements for 2012, 2013 and 2014 for stock-based compensation expense related to stock options, stock awards and to stock offered under the Company's employee stock purchase plan (in 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5"/>
        </w:trPr>
        <w:tc>
          <w:tcPr>
            <w:tcW w:w="67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cost of employee stock-based compensation included in operating income (loss) from</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1"/>
        </w:trPr>
        <w:tc>
          <w:tcPr>
            <w:tcW w:w="67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 before income tax</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on net income (loss) per common share: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6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vMerge w:val="continue"/>
          </w:tcPr>
          <w:p>
            <w:pPr>
              <w:spacing w:after="0"/>
              <w:rPr>
                <w:sz w:val="24"/>
                <w:szCs w:val="24"/>
                <w:color w:val="auto"/>
              </w:rPr>
            </w:pPr>
          </w:p>
        </w:tc>
        <w:tc>
          <w:tcPr>
            <w:tcW w:w="63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8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balance of the Company's Allowance for Doubtful Accounts for 2012, 2013 and 2014. The table identifies the additional provisions each year as well as the write-offs that utilized the allowance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120" w:type="dxa"/>
            <w:vAlign w:val="bottom"/>
            <w:vMerge w:val="restart"/>
          </w:tcPr>
          <w:p>
            <w:pPr>
              <w:spacing w:after="0"/>
              <w:rPr>
                <w:sz w:val="13"/>
                <w:szCs w:val="13"/>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Write-offs/Recoveries</w:t>
            </w:r>
          </w:p>
        </w:tc>
        <w:tc>
          <w:tcPr>
            <w:tcW w:w="100" w:type="dxa"/>
            <w:vAlign w:val="bottom"/>
            <w:vMerge w:val="restart"/>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End of Year</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30, 2012</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29, 2013</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28, 2014</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Company's cash equivalents consist of its highly liquid investments with an original maturity of three months or less when purchased by the Company.</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restricted cash accounts of approximately $5.0 million at December 29, 2013 and $5.4 million at December 28, 2014. As of December 29, 2013 and December 28, 2014, restricted cash consists primarily of a deposit securing foreign letters of credit related to payment and performance bonds on international contracts.</w:t>
      </w:r>
    </w:p>
    <w:p>
      <w:pPr>
        <w:spacing w:after="0" w:line="17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net owned by the Company is depreciated over the estimated useful lives of individual assets. Equipment and facilities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are depreciated predominately using the straight-line method, with the following lives: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15 - 39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1 - 10</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 furniture, and office equipment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5"/>
        </w:trPr>
        <w:tc>
          <w:tcPr>
            <w:tcW w:w="90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length</w:t>
            </w:r>
          </w:p>
        </w:tc>
      </w:tr>
      <w:tr>
        <w:trPr>
          <w:trHeight w:val="234"/>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lease</w:t>
            </w:r>
          </w:p>
        </w:tc>
      </w:tr>
      <w:tr>
        <w:trPr>
          <w:trHeight w:val="27"/>
        </w:trPr>
        <w:tc>
          <w:tcPr>
            <w:tcW w:w="90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of accounting as prescribed by </w:t>
      </w:r>
      <w:r>
        <w:rPr>
          <w:rFonts w:ascii="Times New Roman" w:cs="Times New Roman" w:eastAsia="Times New Roman" w:hAnsi="Times New Roman"/>
          <w:sz w:val="18"/>
          <w:szCs w:val="18"/>
          <w:i w:val="1"/>
          <w:iCs w:val="1"/>
          <w:color w:val="auto"/>
        </w:rPr>
        <w:t>ASC Topic 805,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(“Topic 805”)</w:t>
      </w:r>
      <w:r>
        <w:rPr>
          <w:rFonts w:ascii="Times New Roman" w:cs="Times New Roman" w:eastAsia="Times New Roman" w:hAnsi="Times New Roman"/>
          <w:sz w:val="18"/>
          <w:szCs w:val="18"/>
          <w:color w:val="auto"/>
        </w:rPr>
        <w:t>. The Company allocates the purchase price of its acquisitions to the tangible and intangible assets, and liabilities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contingent liabilities acquired based upon their estimated fair values. The excess of purchase price over those fair values is recorded as goodwill. Acquisition-related expenses and restructuring costs are recognized separately from the business combination and are expensed as incurred.</w:t>
      </w:r>
    </w:p>
    <w:p>
      <w:pPr>
        <w:spacing w:after="0" w:line="17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provisions of </w:t>
      </w:r>
      <w:r>
        <w:rPr>
          <w:rFonts w:ascii="Times New Roman" w:cs="Times New Roman" w:eastAsia="Times New Roman" w:hAnsi="Times New Roman"/>
          <w:sz w:val="18"/>
          <w:szCs w:val="18"/>
          <w:i w:val="1"/>
          <w:iCs w:val="1"/>
          <w:color w:val="auto"/>
        </w:rPr>
        <w:t>ASC Topic 350, Intangibles-Goodwill and Other (“Topic 350”)</w:t>
      </w:r>
      <w:r>
        <w:rPr>
          <w:rFonts w:ascii="Times New Roman" w:cs="Times New Roman" w:eastAsia="Times New Roman" w:hAnsi="Times New Roman"/>
          <w:sz w:val="18"/>
          <w:szCs w:val="18"/>
          <w:color w:val="auto"/>
        </w:rPr>
        <w:t>, the Company performs an annual impairment test for goodwill, or when evidence of a potential impairment exists. In the third quarter of fiscal year 2014, the Company prospectively changed its goodwill testing date from the last day of its fiscal year to the last day of its fiscal October. The change was to better align its impairment testing procedures with the completion of its annual financial and strategic planning process as discussed in Note 2, Goodwill and Other Intangible Assets, to the Consolidated Financial Statements. This change was applied prospectively beginning on November 2, 2014; retrospective application to prior periods is impracticable as the Company is unable to objectively determine, without the use of hindsight, the assumptions that would have been used in those earlier periods to estimate fair value. As a result, during fiscal year 2014, the Company tested its goodwill for impairment as of November 2, 2014 and concluded that there was no impairment of the carrying value of goodwill. The change in accounting principle related to changing the annual goodwill impairment testing date did not accelerate, delay, avoid, or cause an impairment charge.</w:t>
      </w:r>
    </w:p>
    <w:p>
      <w:pPr>
        <w:spacing w:after="0" w:line="19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When it is determined that impairment has occurred, a charge to operations is recorded. Goodwill and other purchased intangible asset balances are included in the identifiable assets of the reporting unit to which they have been assigned. Any goodwill impairment, as well as the amortization of other purchased intangible assets, is charged against the respective reporting units' operating income.</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the Company classifies intangible assets into three categories: (1) intangible assets with finite lives subject to amortization, (2) 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7"/>
          <w:szCs w:val="17"/>
          <w:b w:val="1"/>
          <w:bCs w:val="1"/>
          <w:color w:val="auto"/>
        </w:rPr>
        <w:t>Impairment of Long-Lived Assets and Long-Lived Assets to Be Disposed Of</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Long-lived assets and certain identifiable intangibles are reviewed for impairment in accordance with </w:t>
      </w:r>
      <w:r>
        <w:rPr>
          <w:rFonts w:ascii="Times New Roman" w:cs="Times New Roman" w:eastAsia="Times New Roman" w:hAnsi="Times New Roman"/>
          <w:sz w:val="18"/>
          <w:szCs w:val="18"/>
          <w:i w:val="1"/>
          <w:iCs w:val="1"/>
          <w:color w:val="auto"/>
        </w:rPr>
        <w:t>ASC Topic 360,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whenever events or changes in circumstances indicate that the carrying amount of an asset may not be recoverable. Recoverability of assets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and used is measured by a comparison of the carrying amount of the assets to future net cash flows (undiscounted and without interest) expected to be generated by the asset. If such assets are considered to be impaired, the impairment to be recognized is measured by</w:t>
      </w: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240" w:top="121" w:right="3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amount by which the carrying amount of the assets exceeds the fair value of the assets. Assets to be disposed of are reported at the lower of the carrying amount or fair value less costs to sell.</w:t>
      </w:r>
    </w:p>
    <w:p>
      <w:pPr>
        <w:spacing w:after="0" w:line="15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ASC Topic 825, Financial Instruments, </w:t>
      </w:r>
      <w:r>
        <w:rPr>
          <w:rFonts w:ascii="Times New Roman" w:cs="Times New Roman" w:eastAsia="Times New Roman" w:hAnsi="Times New Roman"/>
          <w:sz w:val="18"/>
          <w:szCs w:val="18"/>
          <w:color w:val="auto"/>
        </w:rPr>
        <w:t>requires that fair values be disclosed for the Company's financial instruments. The carrying amounts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 trading activity. The fair value of capital lease obligations is estimated based on quoted market prices for the same or similar obligations with the same remaining maturities.</w:t>
      </w:r>
    </w:p>
    <w:p>
      <w:pPr>
        <w:spacing w:after="0" w:line="17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(s)</w:t>
      </w:r>
      <w:r>
        <w:rPr>
          <w:sz w:val="20"/>
          <w:szCs w:val="20"/>
          <w:color w:val="auto"/>
        </w:rPr>
        <w:tab/>
      </w:r>
      <w:r>
        <w:rPr>
          <w:rFonts w:ascii="Times New Roman" w:cs="Times New Roman" w:eastAsia="Times New Roman" w:hAnsi="Times New Roman"/>
          <w:sz w:val="17"/>
          <w:szCs w:val="17"/>
          <w:b w:val="1"/>
          <w:bCs w:val="1"/>
          <w:color w:val="auto"/>
        </w:rPr>
        <w:t>Debt Issuance Costs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 and are included in other current assets and other assets in the Consolidated Balance Sheets.</w:t>
      </w:r>
    </w:p>
    <w:p>
      <w:pPr>
        <w:spacing w:after="0" w:line="172"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expense, net in the Consolidated Statements of Operations and Comprehensive Loss is summarized in the following table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incurred primarily on the Company's Senior Secured Notes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Miscellaneous interest income</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w:t>
            </w:r>
          </w:p>
        </w:tc>
        <w:tc>
          <w:tcPr>
            <w:tcW w:w="63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 in the Consolidated Statements of Stockholders' Equity.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aggregate foreign currency transaction loss included in determining net loss for the years ended December 30, 2012, December 29, 2013, and December 28, 2014 was approximately $0.6 million, $0.0 million, and $0.9 million, respectively, which is included in other income (expense), net on the accompanying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Product Warranties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Certain of the Company's products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April 2014, the FASB issued Accounting Standards Update 2014-08 ("ASU 2014-08") "Presentation of Financial Statements (Topic 205) and Property, Plant, and Equipment (Topic 360): Reporting Discontinued Operations and Disclosures of Disposals of Components of an Entity"</w:t>
      </w:r>
      <w:r>
        <w:rPr>
          <w:rFonts w:ascii="Times New Roman" w:cs="Times New Roman" w:eastAsia="Times New Roman" w:hAnsi="Times New Roman"/>
          <w:sz w:val="18"/>
          <w:szCs w:val="18"/>
          <w:color w:val="000080"/>
        </w:rPr>
        <w:t>.</w:t>
      </w:r>
      <w:r>
        <w:rPr>
          <w:rFonts w:ascii="Times New Roman" w:cs="Times New Roman" w:eastAsia="Times New Roman" w:hAnsi="Times New Roman"/>
          <w:sz w:val="18"/>
          <w:szCs w:val="18"/>
          <w:color w:val="auto"/>
        </w:rPr>
        <w:t xml:space="preserve"> The amendments in ASU 2014-08 change the criteria for reporting discontinued operations and requires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ASU 2014-08 are effective in the first quarter of 2015 for public organizations with calendar year ends. Early adoption is permitted. The Company does not believe that the adoption of this guidance will have a material impact on its consolidated financial statements.</w:t>
      </w:r>
    </w:p>
    <w:p>
      <w:pPr>
        <w:spacing w:after="0" w:line="11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May 2014, the FASB issued Accounting Standards Update 2014-09 ("ASU 2014-09") "Revenue from Contracts with Customers". ASU 2014-09 affects any entity using GAAP that either enters into contracts with customers to transfer goods or services or enters into contracts for the transfer of nonfinancial assets unless those contracts are within the scope of other standards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insurance contracts or lease contracts). ASU 2014-09 will supersede the revenue recognition requirements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most industry-specific guidance. ASU 2014-09 also supersedes some cost guidance included in ASC Subtopic 605-35, </w:t>
      </w:r>
      <w:r>
        <w:rPr>
          <w:rFonts w:ascii="Times New Roman" w:cs="Times New Roman" w:eastAsia="Times New Roman" w:hAnsi="Times New Roman"/>
          <w:sz w:val="18"/>
          <w:szCs w:val="18"/>
          <w:i w:val="1"/>
          <w:iCs w:val="1"/>
          <w:color w:val="auto"/>
        </w:rPr>
        <w:t>Revenue Recognition-Construction-Type and Production-Type Contracts</w:t>
      </w:r>
      <w:r>
        <w:rPr>
          <w:rFonts w:ascii="Times New Roman" w:cs="Times New Roman" w:eastAsia="Times New Roman" w:hAnsi="Times New Roman"/>
          <w:sz w:val="18"/>
          <w:szCs w:val="18"/>
          <w:color w:val="auto"/>
        </w:rPr>
        <w:t>. For a public entity, the amendments in this ASU are effective for annual reporting periods beginning after December 15, 2016, including interim periods within that reporting period. Early application is not permitted.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consolidated financial statements.</w:t>
      </w:r>
    </w:p>
    <w:p>
      <w:pPr>
        <w:spacing w:after="0" w:line="1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2014-15 ("ASU 2014-15") "Presentation of Financial Statements-Going Concern (Subtopic 205-40): Disclosure of Uncertainties about an Entity’s Ability to Continue as a Going Concern". ASU 2014-15 is intended to define management’s 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121" w:right="2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annual periods ending after December 15, 2016, including interim periods within that reporting period. Early application is permitted for annual or interim reporting periods for which the financial statements have not previously been issued. The Company does not believe that the adoption of this guidance will have a material impact on its consolidated financial statements.</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240" w:top="121" w:right="31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Goodwill and Other Intangible Assets</w:t>
      </w:r>
    </w:p>
    <w:p>
      <w:pPr>
        <w:spacing w:after="0" w:line="22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historically performed its annual impairment test for goodwill in accordance with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xml:space="preserve"> as of the last day of each fiscal year or when evidence of potential impairment exists. In the third quarter of fiscal year 2014, the Company prospectively changed its goodwill testing date from the last day of its fiscal year to the last day of its fiscal October. The change was to better align its impairment testing procedures with the completion of its annual financial and strategic planning process. This change was applied prospectively beginning on November 2, 2014; retrospective application to prior periods is impracticable as the Company is unable to objectively determine, without the use of hindsight, the assumptions that would have been used in those earlier periods to estimate fair value.</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concluded that goodwill was not impaired at November 2, 2014. In determining the fair value for the reporting units, there are key assumptions relating to our future operating performance and revenue growth. If the actual operating performance and financial results are not consistent with our assumptions, an impairment in our $596.4 million goodwill and $52.3 million long-lived intangibles could occur in future periods. Market factors that could impact our ability to successfully develop new products include the successful completion of certain unmanned system platforms, the successful acceptance of new unmanned system platforms, including from a political and budgetary standpoint. For example, the US reporting unit fair value includes assumptions that the development of the high performance UCAS product is successful and we are awarded future contracts for the UCAS product. Additionally, the US reporting unit fair value assumes that we will receive follow on orders for the Sub-Sonic Aerial Target ("SSAT"), which is currently under contract with the US Navy.</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result of an internal organizational realignment in August 2013 the Company reorganized its KGS operating segment. As a result of this reorganization, the KGS reporting segment had five operating segments: Defense Rocket Support Services ("DRSS"), Electronic Products ("EP"), Technical and Training Solutions ("TTS"), Modular Systems ("MS"), and Unmanned Systems ("US"). All of the KGS operating segments provide technology based defense solutions, involving products and services, primarily for mission critical United States National Security priorities, with the primary focus relating to the nation’s C5ISR requirements. The PSS reportable business segment provides integrated solutions for advanced homeland security, public safety, critical infrastructure security, and security and surveillance systems for government, industrial and commercial customers. In the fourth quarter of 2014, we expanded the number of reportable segments to three as we separated the KGS segment into two reportable segments: KGS and Unmanned Systems (“US”). As a result, the KGS reportable segment is comprised of an aggregation of Kratos’ Government Solutions operating segments, including our electronic products, satellite communications, modular systems and rocket support operating segments. The Company has identified its reporting units to be the DRSS, EP, TTS, MS, US divisions and PSS, to be tested for potential impairment in its fiscal year 2014 annual test.</w:t>
      </w:r>
    </w:p>
    <w:p>
      <w:pPr>
        <w:spacing w:after="0" w:line="14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(See Note 10). If the book value exceeds the estimated fair value for a reporting unit a potential impairment is indicated, and </w:t>
      </w:r>
      <w:r>
        <w:rPr>
          <w:rFonts w:ascii="Times New Roman" w:cs="Times New Roman" w:eastAsia="Times New Roman" w:hAnsi="Times New Roman"/>
          <w:sz w:val="18"/>
          <w:szCs w:val="18"/>
          <w:i w:val="1"/>
          <w:iCs w:val="1"/>
          <w:color w:val="auto"/>
        </w:rPr>
        <w:t>Topic 350</w:t>
      </w:r>
      <w:r>
        <w:rPr>
          <w:rFonts w:ascii="Times New Roman" w:cs="Times New Roman" w:eastAsia="Times New Roman" w:hAnsi="Times New Roman"/>
          <w:sz w:val="18"/>
          <w:szCs w:val="18"/>
          <w:color w:val="auto"/>
        </w:rPr>
        <w:t xml:space="preserve"> prescribes the approach for determining the impairment amount, if any.</w:t>
      </w:r>
    </w:p>
    <w:p>
      <w:pPr>
        <w:spacing w:after="0" w:line="14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Company's decision in June 2012 to dispose of certain non-core businesses acquired in the Integral acquisition in July 2011, the Company allocated $1.5 million of goodwill to discontinued operations, which</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80"/>
          </w:cols>
          <w:pgMar w:left="240" w:top="121" w:right="27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resulted in an impairment charge (see Note 9). The Company then tested the goodwill remaining in the KGS reporting unit. The fair value of the KGS reporting unit exceeded its carrying value by 7.4% at that time.</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of 2012, the KGS reporting unit was impacted by continued declining market valuations and the economic uncertainty in the U.S. defense industry. Congress was unable to agree on a budget that conformed with the Budget Control Act of 2011 requirements, which called for additional substantial defense spending reductions through sequestration. Congress and the President could not agree on budgetary, tax and spending issues, and as a result a FY 2013 budget was not passed and a six-month continuing resolution that funded the U.S. Government through March 27, 2013 was passed. These events significantly increased the likelihood of the sequester occurring which had negative consequences for the defense industry. In addition, as Congress and the Administration could not come to an agreement on terms of a possible national fiscal approach, they also failed to address other fiscal matters such as the debt ceiling. These events negatively impacted the Company's 2012 annual estimate of the fair value of the KGS reporting unit resulting in the book value of the KGS reporting unit exceeding its fair value in step one of the impairment test.</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the second step of the goodwill impairment test to measure the amount of the impairment loss, if any, of the KGS reporting unit.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the Company recorded an $82.0 million goodwill impairment in 2012 related to our KGS reporting unit.</w:t>
      </w:r>
    </w:p>
    <w:p>
      <w:pPr>
        <w:spacing w:after="0" w:line="18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As of December 28, 2014, the goodwill of the PSS, US and KGS reportable segments were $35.6 million, $97.3 million and $463.5 million,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29, 2013 and December 28, 2014 are as follows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Safety &amp;</w:t>
            </w:r>
          </w:p>
        </w:tc>
        <w:tc>
          <w:tcPr>
            <w:tcW w:w="340" w:type="dxa"/>
            <w:vAlign w:val="bottom"/>
          </w:tcPr>
          <w:p>
            <w:pPr>
              <w:spacing w:after="0"/>
              <w:rPr>
                <w:sz w:val="12"/>
                <w:szCs w:val="12"/>
                <w:color w:val="auto"/>
              </w:rPr>
            </w:pPr>
          </w:p>
        </w:tc>
        <w:tc>
          <w:tcPr>
            <w:tcW w:w="100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US</w:t>
            </w:r>
          </w:p>
        </w:tc>
        <w:tc>
          <w:tcPr>
            <w:tcW w:w="38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KGS</w:t>
            </w:r>
          </w:p>
        </w:tc>
        <w:tc>
          <w:tcPr>
            <w:tcW w:w="22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30, 2012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4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Retrospective adjustments</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30, 2012 after retrospective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43"/>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2013 reorganization</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29, 2013</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4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 transactions</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28, 2014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accumulated impairment losses as of December 28, 2014 were $247.4 million, of which $215.3 million was associated with the KGS reportable segment, $13.8 million was associated with the US reportable segment, and $18.3 million was associated with the PSS reportable segment.</w:t>
      </w:r>
    </w:p>
    <w:p>
      <w:pPr>
        <w:spacing w:after="0" w:line="158"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Purchased Intangible Assets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for acquired finite-lived and indefinite-lived intangible assets (in millions):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29, 2013</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28, 2014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9"/>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88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5"/>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backlog</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 and technical know-how</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Favorable operating lease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45.4</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Acquired indefinite-lived intangible assets</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reviews intangible assets for impairment whenever events or changes in circumstances indicate that the carrying amount of the asset may not be recoverable. Impairment losses, where identified, are determined as the excess of the carrying value over the estimated fair value of the long-lived asset. The recoverability of the carrying value of assets held for use is assessed based on a review of projected undiscounted cash flows. Prior to conducting step one of the 2012 goodwill impairment test, certain of the long-lived assets were assessed for recoverability. During 2012 the Company made the decision to minimize the use of the CMCI and HBE trade names as part of its overall branding strategy which resulted in a revised fair value of $6.9 million for such trade names, with a remaining useful life of two years. This resulted in an impairment of $14.6 million in 2012. The impairment related to the KGS and PSS reportable segments were $1.7 million and $12.9 million, respectively.</w:t>
      </w:r>
    </w:p>
    <w:p>
      <w:pPr>
        <w:spacing w:after="0" w:line="189"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aggregate amortization expense for finite-lived intangible assets was $43.9 million, $36.2 million and $22.5 million for the years ended December 30, 2012, December 29, 2013, and December 28, 2014, respectively. The Company records all amortization expense in selling, general and administrative expenses in the Consolidated Statements of Operations and Comprehensive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as of December 28, 2014 is as follows (in millions):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9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Summary of Recent Acquisitions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Composite Engineering, Inc.</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On July 2, 2012, the Company acquired Composite Engineering, Inc. (“CEi”) for approximately $164.2 million. The purchase price included consideration of $135.0 million in cash and 4.0 million shares of the Company's common stock, valued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at $5.94 per share on July 2, 2012, or $23.8 million. As security for CEi's indemnification obligations, $10.7 million of the cash paid was placed into an escrow account. The Company was paid $1.0 million from the escrow account for working capital adjustments in July 2013, at which time the remaining escrow was released to the sellers. Also included in the purchase consideration was $5.5 million paid to retire certain pre-existing CEi debt and settle pre-existing accounts receivable from CEi. There was no contingent purchase consideration associated with the acquisition of CEi.</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made an election under Section 338(h)(10) of the Internal Revenue Code, which resulted in tax deductible goodwill related to this transaction. The Company estimated that the tax deductible goodwill and intangibles resulting from the election will approximate $136.3 million, to be available for deduction against Federal and California state income taxes over a 15-year period.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CEi personnel entered into long-term employment agreements with the Company and on July 2, 2012, the Company granted restricted stock units (“RSUs”) for an aggregate 2.0 million shares of common stock as long-term retention inducement grants. The RSUs had an estimated value of $11.9 million on the grant date, vest on the fourth anniversary of the closing of the CEi acquisition, or earlier upon the occurrence of certain events, and are being accounted for as compensation expense over such four-year period. As of December 28, 2014, 520,000 shares remain unvested and not forfeited.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fund the acquisition of CEi, on May 14, 2012, the Company sold 20.0 million shares of its common stock at a purchase price of $5.00 per share in an underwritten public offering. The Company received gross proceeds of approximately $100.0 million and net proceeds of approximately $97.0 million after deducting underwriting fees and other offering expenses. The Company used the net proceeds from this offering to fund a portion of the purchase price for the acquisition of CEi. In addition, the Company used borrowings of $40.0 million from its revolving line of credit to partially fund the purchase price of CEi.</w:t>
      </w:r>
    </w:p>
    <w:p>
      <w:pPr>
        <w:spacing w:after="0" w:line="265"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US reportable segment.</w:t>
      </w:r>
    </w:p>
    <w:p>
      <w:pPr>
        <w:spacing w:after="0" w:line="25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by enabling the Company to realize significant cross selling opportunities.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as of the acquisition date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Inventoried costs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Property and equipment</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Goodwill</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000" w:hanging="99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63"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12.3</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8.9</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8.1</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38.0</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866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189.7</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866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ind w:left="820" w:hanging="817"/>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866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51435</wp:posOffset>
            </wp:positionV>
            <wp:extent cx="866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360" w:space="720"/>
            <w:col w:w="1340"/>
          </w:cols>
          <w:pgMar w:left="240" w:top="121" w:right="239" w:bottom="1440" w:gutter="0" w:footer="0" w:header="0"/>
          <w:type w:val="continuous"/>
        </w:sectPr>
      </w:pPr>
    </w:p>
    <w:p>
      <w:pPr>
        <w:spacing w:after="0" w:line="29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revenue and operating income of CEi included in the Company's Consolidated Statement of Operations and Comprehensive Loss for the year ended December 30, 2012 was $68.2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Critical Infrastructure Business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December 30, 2011, the Company acquired selected assets of a critical infrastructure security and public safety system integration business (the “Critical Infrastructure Business”) for approximately $18.8 million.</w:t>
      </w:r>
    </w:p>
    <w:p>
      <w:pPr>
        <w:spacing w:after="0" w:line="162"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7"/>
          <w:szCs w:val="17"/>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PSS reportable segment.</w:t>
      </w:r>
    </w:p>
    <w:p>
      <w:pPr>
        <w:spacing w:after="0" w:line="16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fixed-price products.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as of the acquisition date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20" w:hanging="917"/>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w:t>
      </w:r>
    </w:p>
    <w:p>
      <w:pPr>
        <w:spacing w:after="0" w:line="63"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w:t>
      </w:r>
    </w:p>
    <w:p>
      <w:pPr>
        <w:spacing w:after="0" w:line="63"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63"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28.5</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(9.7)</w:t>
      </w:r>
    </w:p>
    <w:p>
      <w:pPr>
        <w:spacing w:after="0" w:line="77" w:lineRule="exact"/>
        <w:rPr>
          <w:sz w:val="20"/>
          <w:szCs w:val="20"/>
          <w:color w:val="auto"/>
        </w:rPr>
      </w:pPr>
    </w:p>
    <w:p>
      <w:pPr>
        <w:ind w:left="920" w:hanging="917"/>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51435</wp:posOffset>
            </wp:positionV>
            <wp:extent cx="866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360" w:space="720"/>
            <w:col w:w="1340"/>
          </w:cols>
          <w:pgMar w:left="240" w:top="121" w:right="2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recorded in this transaction is tax deductible.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tables summarize the supplemental Condensed Consolidated Statements of Operations and Comprehensive Loss information on an unaudited pro forma basis as if the acquisitions of CEi, and the Critical Infrastructure Business occurred on December 25, 2011 and include adjustments that were directly attributable to the foregoing transactions or were not expected to have a continuing impact on the Company. Both acquisitions were included in the results of operations for the full years ended December 29, 2013 and December 28, 2014. There are no material, nonrecurring pro forma adjustments directly attributable to the business combinations included in the reported pro forma revenue and operations for 2012. The pro forma results are for illustrative purposes only for the applicable period and do not purport to be indicative of the actual results that would have occurred had the transactions been completed as of the beginning of the period, nor are they indicative of results of operations that may occur in the future (all amounts, except per share amounts are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1006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2012</w:t>
            </w:r>
          </w:p>
        </w:tc>
      </w:tr>
      <w:tr>
        <w:trPr>
          <w:trHeight w:val="249"/>
        </w:trPr>
        <w:tc>
          <w:tcPr>
            <w:tcW w:w="10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revenues</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loss before tax</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the registrant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pro forma loss per share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r>
      <w:tr>
        <w:trPr>
          <w:trHeight w:val="27"/>
        </w:trPr>
        <w:tc>
          <w:tcPr>
            <w:tcW w:w="10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reflects acquisition related expenses incurred, pro forma adjustments for the additional amortization associated with finite-lived intangible assets acquired, additional incremental interest expense, stock compensation related to the RSUs granted in the CEi transaction, and the related tax expense.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adjustments are as follows (in millions except per share data):</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100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2012</w:t>
            </w:r>
          </w:p>
        </w:tc>
      </w:tr>
      <w:tr>
        <w:trPr>
          <w:trHeight w:val="249"/>
        </w:trPr>
        <w:tc>
          <w:tcPr>
            <w:tcW w:w="10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stock compensation expense</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r>
      <w:tr>
        <w:trPr>
          <w:trHeight w:val="27"/>
        </w:trPr>
        <w:tc>
          <w:tcPr>
            <w:tcW w:w="10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5"/>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weighted average common shares outstanding for shares issued and not already included in the weighted average common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4"/>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0"/>
                <w:szCs w:val="20"/>
                <w:color w:val="auto"/>
              </w:rPr>
            </w:pPr>
          </w:p>
        </w:tc>
      </w:tr>
      <w:tr>
        <w:trPr>
          <w:trHeight w:val="27"/>
        </w:trPr>
        <w:tc>
          <w:tcPr>
            <w:tcW w:w="10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00"/>
          </w:cols>
          <w:pgMar w:left="240" w:top="121" w:right="25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detail of certain assets in the Consolidated Balance Sheets consists of the following (in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Company's cash equivalents consist of overnight cash sweep accounts that are invested on a daily basis. Cash and cash equivalents at December 29, 2013 and December 28, 2014 were $55.7 million and $34.7 million, respectively and approximated their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 (in millions)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Receivables including amounts due under long-term contracts are summarized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9"/>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Billed, current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133.6</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 current</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116.6</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250.2</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248.2</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 long-term (included in other assets)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248.2</w:t>
            </w: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Unbilled receivables represent the balance of recoverable costs and accrued profit, composed principally of revenue recognized on contracts for which billings have not been presented to the customer because the amounts were earned but not contractually billable as of the balance sheet date. Retainages receivable were $6.2 million as of December 29, 2013 and $6.1 million as of December 28, 2014 and are included in accounts receivable, net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contract receivables where the Company is the prime contractor included in accounts receivable, net (in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0" w:type="dxa"/>
            <w:vAlign w:val="bottom"/>
          </w:tcPr>
          <w:p>
            <w:pPr>
              <w:spacing w:after="0"/>
              <w:rPr>
                <w:sz w:val="1"/>
                <w:szCs w:val="1"/>
                <w:color w:val="auto"/>
              </w:rPr>
            </w:pPr>
          </w:p>
        </w:tc>
      </w:tr>
      <w:tr>
        <w:trPr>
          <w:trHeight w:val="249"/>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Billed</w:t>
            </w:r>
          </w:p>
        </w:tc>
        <w:tc>
          <w:tcPr>
            <w:tcW w:w="3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Government contract receivables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Inventoried costs, net of progress payments (in millions)</w:t>
            </w: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Supplies and other</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Subtotal inventoried costs</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customer advances and progress payments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inventoried costs</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 (in millions)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under capital lease</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143.3</w:t>
            </w: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$14.1 million, $17.2 million and $16.6 million for the years ended December 30, 2012, December 29, 2013, and December 28, 2014,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$8.7 million associated with the new 7% Notes. The Company utilized the net proceeds from the 7% Notes, a $41.0 million draw on a new credit agreement discussed below, as well as cash from operations to extinguish the 10% Notes. The total reacquisition price of the 10% Notes was $661.5 million including a $31.2 million early termination fee, the write off of $15.5 million of unamortized issue costs, $12.9 million of unamortized premium, along with $5.3 million of additional interest while in escrow, which resulted in a loss on extinguishment of $39.1 million.</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completed the offering of the 7.00% Notes (hereafter the "Notes”) in a private placement conducted pursuant to Rule 144A and Regulation S under the Securities Act of 1933, as amended (the “Act”). The Notes are governed by an Indenture dated May 14, 2014 (the “Indenture”) among the Company, certain of the Company’s subsidiaries (the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or (d) upon satisfaction and discharge of the Indenture or payment in full in cash of the principal or, premium, if any, accrued and unpaid interest.</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Company's $110.0 million credit agreement.</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pays interest on the Notes semi-annually, in arrears, on May 15 and November 15 of each year.</w:t>
      </w:r>
    </w:p>
    <w:p>
      <w:pPr>
        <w:spacing w:after="0" w:line="5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Notes include customary covenants and events of default as well as a consolidated fixed charge ratio of 2.0 :1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December 28, 2014, the Company was in compliance with the covenants contained in the Indenture governing the Notes.</w:t>
      </w:r>
    </w:p>
    <w:p>
      <w:pPr>
        <w:spacing w:after="0" w:line="184"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 Indenture at a redemption price of 103% of the principal amount thereof, plus accrued and unpaid interest to the date of redemption.</w:t>
      </w:r>
    </w:p>
    <w:p>
      <w:pPr>
        <w:spacing w:after="0" w:line="1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Other Indebtedness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$110.0 Million Credit Facility</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14, 2014, the Company replaced its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8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covenants, which include, but are not limited to, restrictions on indebtedness, liens, and investments, and places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Borrowings under the revolving Credit Agreement may take the form of a base rate revolving loan, Eurodollar revolving loan or swingline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w:t>
      </w:r>
    </w:p>
    <w:p>
      <w:pPr>
        <w:spacing w:after="0" w:line="1" w:lineRule="exact"/>
        <w:rPr>
          <w:sz w:val="20"/>
          <w:szCs w:val="20"/>
          <w:color w:val="auto"/>
        </w:rPr>
      </w:pPr>
    </w:p>
    <w:p>
      <w:pPr>
        <w:jc w:val="both"/>
        <w:ind w:firstLine="8"/>
        <w:spacing w:after="0" w:line="253"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several items relating to the Company and its subsidiaries, including amounts due and owing under billed and unbilled accounts receivables, then-held eligible raw materials inventory, work-in-process inventory, and applicable reserves. As of December 28, 2014, there was $41.0 million outstanding on the Credit Agreement and $13.6 million was outstanding on letters of credit, resulting in net borrowing base availability of $45.1 million. The Company was in compliance with the financial covenants of the Credit Agreement as of December 28, 2014.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Acquired in Acquisition</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10 year term loan with a bank in Israel entered into on September 16, 2008 in connection with the acquisition of one of its wholly owned subsidiaries. The balance as of December 28, 2014 was $3.8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as of December 28, 2014.</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Carrying amounts and the related estimated fair values of the Company’s long-term debt financial instruments not measured at fair value on a recurring basis at December 29, 2013 and December 28, 2014 are presented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29,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629.8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669.8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577.1</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76"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7"/>
          <w:szCs w:val="17"/>
          <w:color w:val="auto"/>
        </w:rPr>
        <w:t>The net unamortized original issue discount of $5.8 million as of December 28, 2014, which is the difference between the carrying amount of $664.0 million and the principal amount of $669.8 million presented in the previous table, is being accreted to interest expense over the term of the related debt.</w:t>
      </w:r>
    </w:p>
    <w:p>
      <w:pPr>
        <w:spacing w:after="0" w:line="13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Future maturities of long-term debt for each of the years ending 2015 through 2017 are $1.0 million per year, $0.8 million in 2018, and $666.0 million in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certain facilities and equipment under operating and capital leases having terms expiring at various dates through 2023.</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capital and operating leases as of December 28, 2014, which does not include $4.5 million in sublease income on the Company's operating leases, are as follows (in millions):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Capital Leases</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capital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an analysis of the leased property under capital leases by major class (in millions):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00" w:type="dxa"/>
            <w:vAlign w:val="bottom"/>
          </w:tcPr>
          <w:p>
            <w:pPr>
              <w:spacing w:after="0"/>
              <w:rPr>
                <w:sz w:val="24"/>
                <w:szCs w:val="24"/>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Classes of Property</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capital leases was $0.1 million, $0.2 million and $0.2 million for the years ended December 30, 2012, December 29, 2013 and December 28, 2014, respectively.</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Gross rent expense under operating leases for the years ended December 30, 2012, December 29, 2013, and December 28, 2014 was $21.1 million, $20.9 million, and $25.1 million, respectively. Total sublease income for the years ended December 30, 2012, December 29, 2013, and December 28, 2014, totaling $2.7 million, $2.3 million, and $3.3 million, respectively, has been netted against rent expense.</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Company's accrual for excess facilities was $18.7 million, $12.4 million, and $11.3 million as of December 30, 2012, December 29, 2013 and December 28, 2014, respectively. The Company estimates that the remaining accrual will be paid through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accrual for excess facilities is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Borders>
              <w:bottom w:val="single" w:sz="8" w:color="CCEEFF"/>
            </w:tcBorders>
          </w:tcPr>
          <w:p>
            <w:pPr>
              <w:spacing w:after="0"/>
              <w:rPr>
                <w:sz w:val="16"/>
                <w:szCs w:val="16"/>
                <w:color w:val="auto"/>
              </w:rPr>
            </w:pPr>
          </w:p>
        </w:tc>
        <w:tc>
          <w:tcPr>
            <w:tcW w:w="5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Facilities</w:t>
            </w: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30, 2012</w:t>
            </w:r>
          </w:p>
        </w:tc>
        <w:tc>
          <w:tcPr>
            <w:tcW w:w="5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of excess facility accrual</w:t>
            </w:r>
          </w:p>
        </w:tc>
        <w:tc>
          <w:tcPr>
            <w:tcW w:w="5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5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29, 2013</w:t>
            </w:r>
          </w:p>
        </w:tc>
        <w:tc>
          <w:tcPr>
            <w:tcW w:w="57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42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of excess facility accruals</w:t>
            </w:r>
          </w:p>
        </w:tc>
        <w:tc>
          <w:tcPr>
            <w:tcW w:w="5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5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2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28, 2014</w:t>
            </w:r>
          </w:p>
        </w:tc>
        <w:tc>
          <w:tcPr>
            <w:tcW w:w="5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42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5900" w:type="dxa"/>
            <w:vAlign w:val="bottom"/>
            <w:gridSpan w:val="2"/>
          </w:tcPr>
          <w:p>
            <w:pPr>
              <w:jc w:val="right"/>
              <w:ind w:right="4130"/>
              <w:spacing w:after="0"/>
              <w:rPr>
                <w:sz w:val="20"/>
                <w:szCs w:val="20"/>
                <w:color w:val="auto"/>
              </w:rPr>
            </w:pPr>
            <w:r>
              <w:rPr>
                <w:rFonts w:ascii="Times New Roman" w:cs="Times New Roman" w:eastAsia="Times New Roman" w:hAnsi="Times New Roman"/>
                <w:sz w:val="18"/>
                <w:szCs w:val="18"/>
                <w:color w:val="auto"/>
              </w:rPr>
              <w:t>F-29</w:t>
            </w:r>
          </w:p>
        </w:tc>
        <w:tc>
          <w:tcPr>
            <w:tcW w:w="122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adjustment to the excess facility accrual in 2013 was primarily due to a change in the estimated excess office space at our Colombia, Maryland administrative facilities. The adjustment of $0.2 million for 2014 was primarily due to an estimated excess facility accrual of office space at our Sacramento, California administrative facilities.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in the Consolidated Balance Sheets, of $1.3 million, $3.2 million, and $5.3 million at December 30, 2012, December 29, 2013 and December 28, 2014, respectively, to reflect the excess of rent expense over cash payments since inception of the respective leases.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Net Loss Per Common Share</w:t>
      </w:r>
    </w:p>
    <w:p>
      <w:pPr>
        <w:spacing w:after="0" w:line="227"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loss per share in accordance with </w:t>
      </w:r>
      <w:r>
        <w:rPr>
          <w:rFonts w:ascii="Times New Roman" w:cs="Times New Roman" w:eastAsia="Times New Roman" w:hAnsi="Times New Roman"/>
          <w:sz w:val="18"/>
          <w:szCs w:val="18"/>
          <w:i w:val="1"/>
          <w:iCs w:val="1"/>
          <w:color w:val="auto"/>
        </w:rPr>
        <w:t>FASB ASC Topic 260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Earnings per Share (“Topic 260”).</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Topic 260</w:t>
      </w:r>
      <w:r>
        <w:rPr>
          <w:rFonts w:ascii="Times New Roman" w:cs="Times New Roman" w:eastAsia="Times New Roman" w:hAnsi="Times New Roman"/>
          <w:sz w:val="18"/>
          <w:szCs w:val="18"/>
          <w:color w:val="auto"/>
        </w:rPr>
        <w:t>,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2"/>
        </w:trPr>
        <w:tc>
          <w:tcPr>
            <w:tcW w:w="6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from stock options and awards</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(loss) from continuing operations before income taxes are listed below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from continuing operations for the years ended December 30, 2012, December 29, 2013, and December 28, 2014 are comprised of the following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4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income taxes:</w:t>
            </w:r>
          </w:p>
        </w:tc>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Federal</w:t>
            </w:r>
          </w:p>
        </w:tc>
        <w:tc>
          <w:tcPr>
            <w:tcW w:w="32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8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State and local</w:t>
            </w:r>
          </w:p>
        </w:tc>
        <w:tc>
          <w:tcPr>
            <w:tcW w:w="32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8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8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Foreign</w:t>
            </w:r>
          </w:p>
        </w:tc>
        <w:tc>
          <w:tcPr>
            <w:tcW w:w="32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38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820" w:type="dxa"/>
            <w:vAlign w:val="bottom"/>
          </w:tcPr>
          <w:p>
            <w:pPr>
              <w:spacing w:after="0"/>
              <w:rPr>
                <w:sz w:val="24"/>
                <w:szCs w:val="24"/>
                <w:color w:val="auto"/>
              </w:rPr>
            </w:pPr>
          </w:p>
        </w:tc>
        <w:tc>
          <w:tcPr>
            <w:tcW w:w="41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color w:val="auto"/>
              </w:rPr>
              <w:t>F-30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total income tax provision (benefit) to the amount computed by applying the statutory federal income tax rate of 35% to the loss from continuing operations before income taxes for the years ended December 30, 2012, December 29, 2013 and December 28, 2014 is as follows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tax benefit and valuation allowance</w:t>
            </w: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Difference in tax rates between U.S. and foreign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federal valuation allowance</w:t>
            </w: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Nondeductible expense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reserve for uncertain tax positions</w:t>
            </w:r>
          </w:p>
        </w:tc>
        <w:tc>
          <w:tcPr>
            <w:tcW w:w="8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Transaction costs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indefinite life items and separate state deferred taxes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deferred tax liabilities as of December 29, 2013 and December 28, 2014 are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Sundry accruals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Vacation accrual</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Payroll related accruals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accruals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 and other</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principally due to differences in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 During fiscal 2014, the Company recorded a net increase in its federal valuation allowance of $30.9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28, 2014, the Company had federal tax loss carryforwards of $391.5 million and various state tax loss carryforwards of $285.0 million including net operating losses resulting from stock options of $14.4 million for federal and state, which if recognized would result in additional paid-in-capital. The federal tax loss carryforwards will begin to expire in 2019 and state tax loss carryforwards will begin to expire in 2015 in certain states.</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 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 ended December 28, 2014,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provided deferred U.S. income taxes or foreign withholding taxes of approximately $18.1 million on temporary differences relating to the outside basis in its investment in foreign subsidiaries which are essentially permanent in duration. It is the Company's intention to permanently reinvest undistributed earnings of its foreign subsidiaries. As of December 28, 2014 the Company has $10.9 million of cash and cash equivalents available for distribution.</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NOL carryforwards. Generally, the Company's tax years for 2002 and later are subject to examination by various foreign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25, 2011</w:t>
            </w:r>
          </w:p>
        </w:tc>
        <w:tc>
          <w:tcPr>
            <w:tcW w:w="59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prior periods (acquired entities)</w:t>
            </w: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6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5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applicable statutes of limitations</w:t>
            </w: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6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5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30, 2012</w:t>
            </w:r>
          </w:p>
        </w:tc>
        <w:tc>
          <w:tcPr>
            <w:tcW w:w="54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46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prior periods (acquired entities)</w:t>
            </w:r>
          </w:p>
        </w:tc>
        <w:tc>
          <w:tcPr>
            <w:tcW w:w="5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6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Expiration of applicable statutes of limitations</w:t>
            </w:r>
          </w:p>
        </w:tc>
        <w:tc>
          <w:tcPr>
            <w:tcW w:w="5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4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29, 2013</w:t>
            </w:r>
          </w:p>
        </w:tc>
        <w:tc>
          <w:tcPr>
            <w:tcW w:w="5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related to prior periods</w:t>
            </w: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5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applicable statutes of limitations</w:t>
            </w: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6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5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28, 2014</w:t>
            </w:r>
          </w:p>
        </w:tc>
        <w:tc>
          <w:tcPr>
            <w:tcW w:w="54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4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5940" w:type="dxa"/>
            <w:vAlign w:val="bottom"/>
            <w:gridSpan w:val="2"/>
          </w:tcPr>
          <w:p>
            <w:pPr>
              <w:jc w:val="right"/>
              <w:ind w:right="4610"/>
              <w:spacing w:after="0"/>
              <w:rPr>
                <w:sz w:val="20"/>
                <w:szCs w:val="20"/>
                <w:color w:val="auto"/>
              </w:rPr>
            </w:pPr>
            <w:r>
              <w:rPr>
                <w:rFonts w:ascii="Times New Roman" w:cs="Times New Roman" w:eastAsia="Times New Roman" w:hAnsi="Times New Roman"/>
                <w:sz w:val="18"/>
                <w:szCs w:val="18"/>
                <w:color w:val="auto"/>
              </w:rPr>
              <w:t>F-32</w:t>
            </w: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Included in the balance of unrecognized tax benefits at December 28, 2014, are $16.4 million of tax benefits that, if recognized, would affect the effective tax rate. Included in this amount is $14.5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5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years ended December 30, 2012, December 29, 2013 and December 28, 2014, the Company recorded $0.4 million, $0.2 million and $0.2 million, respectively, in interest or penalties. These amounts are netted by a benefit for interest and penalties related to the reversal of prior positions as noted above of $0.1 million, $0.2 million, and $0.1 million for the years ended December 30, 2012, December 29, 2013, and December 28, 2014, respectively. As of December 30, 2012, December 29, 2013, and December 28, 2014, the Company had recorded total interest and penalties of $0.7 million, $0.7 million, and $0.8 million,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that no material amount of the liabilities for uncertain tax positions will expire within 12 months of December 28,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Discontinued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June of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Times New Roman" w:cs="Times New Roman" w:eastAsia="Times New Roman" w:hAnsi="Times New Roman"/>
          <w:sz w:val="18"/>
          <w:szCs w:val="18"/>
          <w:i w:val="1"/>
          <w:iCs w:val="1"/>
          <w:color w:val="auto"/>
        </w:rPr>
        <w:t>Topic 205,</w:t>
      </w:r>
      <w:r>
        <w:rPr>
          <w:rFonts w:ascii="Times New Roman" w:cs="Times New Roman" w:eastAsia="Times New Roman" w:hAnsi="Times New Roman"/>
          <w:sz w:val="18"/>
          <w:szCs w:val="18"/>
          <w:color w:val="auto"/>
        </w:rPr>
        <w:t xml:space="preserve"> these businesses have been classified as held for sale and reported in discontinued operations in the accompanying consolidated financial statements. In the second quarter of 2012, the Company recorded a $1.5 million impairment charge associated with the portion of goodwill that was allocated to the discontinued businesses based on management's estimate of the fair value of the discontinued businesses.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discontinued operations including gain and loss on disposals which is included in loss before taxes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710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30, 2012</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9"/>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benefit for income taxes for the year ended December 30, 2012 was primarily due to the expiration of the statute of limitations for certain foreign tax contingencies related to the Company’s discontinued wireless services business.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liabilities of discontinued operations, which are in other current liabilities and other long-term liabilities in the accompanying Consolidated Balance Sheets as of December 29, 2013 and December 28, 2014 (in millions):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29, 2013</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28, 2014</w:t>
            </w: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accounts payable</w:t>
            </w:r>
          </w:p>
        </w:tc>
        <w:tc>
          <w:tcPr>
            <w:tcW w:w="1500" w:type="dxa"/>
            <w:vAlign w:val="bottom"/>
            <w:tcBorders>
              <w:bottom w:val="single" w:sz="8" w:color="CCEEFF"/>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50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of discontinued operations</w:t>
            </w:r>
          </w:p>
        </w:tc>
        <w:tc>
          <w:tcPr>
            <w:tcW w:w="1500" w:type="dxa"/>
            <w:vAlign w:val="bottom"/>
            <w:tcBorders>
              <w:bottom w:val="single" w:sz="8" w:color="CCEEFF"/>
            </w:tcBorders>
            <w:shd w:val="clear" w:color="auto" w:fill="CCEEFF"/>
          </w:tcPr>
          <w:p>
            <w:pPr>
              <w:jc w:val="right"/>
              <w:ind w:right="129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tc>
        <w:tc>
          <w:tcPr>
            <w:tcW w:w="15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bl>
    <w:p>
      <w:pPr>
        <w:spacing w:after="0" w:line="19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with the exception of the application of the statement to non-recurring nonfinancial assets and nonfinancial liabilities. Non-recurring nonfinancial assets and nonfinancial liabilities for which it has not applied the provisions of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include those measured at fair value in goodwill impairment testing, indefinite lived intangible assets measured at fair value for impairment testing, asset retirement obligations initially measured at fair value, and those assets and liabilities initially measured at fair value in a business combination.</w:t>
      </w:r>
    </w:p>
    <w:p>
      <w:pPr>
        <w:spacing w:after="0" w:line="180"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Topic 820 </w:t>
      </w:r>
      <w:r>
        <w:rPr>
          <w:rFonts w:ascii="Times New Roman" w:cs="Times New Roman" w:eastAsia="Times New Roman" w:hAnsi="Times New Roman"/>
          <w:sz w:val="18"/>
          <w:szCs w:val="18"/>
          <w:color w:val="auto"/>
        </w:rPr>
        <w:t>establishes a valuation hierarchy for disclosure of the inputs to valuation used to measure fair value. This hierarchy prioritizes the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CEI in connection with the Company's acquisition thereof on July 2, 2012.</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Stock Option Plans and Restricted Stock Unit Plans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March 2014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w:t>
      </w:r>
    </w:p>
    <w:p>
      <w:pPr>
        <w:spacing w:after="0" w:line="1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board of directors (“Board”) may grant equity-based awards to selected employees, directors and consultants of the Company pursuant to its 2014 Plan. As of December 28, 2014, there are approximately 3,208,000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(1)</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r>
      <w:tr>
        <w:trPr>
          <w:trHeight w:val="27"/>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 - 2.9%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- 2.7%</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- 59.7%</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54.5% - 56.1%</w:t>
            </w:r>
          </w:p>
        </w:tc>
      </w:tr>
      <w:tr>
        <w:trPr>
          <w:trHeight w:val="27"/>
        </w:trPr>
        <w:tc>
          <w:tcPr>
            <w:tcW w:w="60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Forfeiture rate(4)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 - 15.2%</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yield(5)</w:t>
            </w: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1240" w:hanging="260"/>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no unvested options were granted and the expected life was equal to the life of the option.</w:t>
      </w:r>
    </w:p>
    <w:p>
      <w:pPr>
        <w:spacing w:after="0" w:line="27"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U.S. Treasury yields in effect at the time of grant with a term equal to the expected term of the options.</w:t>
      </w:r>
    </w:p>
    <w:p>
      <w:pPr>
        <w:spacing w:after="0" w:line="9"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2013, and 2014, the Company estimated implied volatility based upon trailing volatility.</w:t>
      </w:r>
    </w:p>
    <w:p>
      <w:pPr>
        <w:spacing w:after="0" w:line="9" w:lineRule="exact"/>
        <w:rPr>
          <w:rFonts w:ascii="Times New Roman" w:cs="Times New Roman" w:eastAsia="Times New Roman" w:hAnsi="Times New Roman"/>
          <w:sz w:val="18"/>
          <w:szCs w:val="18"/>
          <w:color w:val="auto"/>
        </w:rPr>
      </w:pPr>
    </w:p>
    <w:p>
      <w:pPr>
        <w:ind w:left="1620" w:right="520" w:hanging="640"/>
        <w:spacing w:after="0" w:line="250" w:lineRule="auto"/>
        <w:tabs>
          <w:tab w:leader="none" w:pos="12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estimated at the time of grant based upon historical information. Forfeitures will be revised, if necessary, in subsequent periods if actual forfeitures differ from estimates.</w:t>
      </w:r>
    </w:p>
    <w:p>
      <w:pPr>
        <w:ind w:left="1360" w:hanging="380"/>
        <w:spacing w:after="0"/>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common stock.</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plan as of December 28, 2014 and changes in options outstanding under the plan for the year ended December 28, 2014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8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69"/>
        </w:trPr>
        <w:tc>
          <w:tcPr>
            <w:tcW w:w="654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29, 2013</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2,179.0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28, 2014</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 at December 28, 2014</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2014, there was $1.5 million of total unrecognized stock-based compensation expense related to nonvested options which is expected to be recognized over a remaining weighted-average vesting period of 3.3 years. Upon exercise of an option, the Company issues new shares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30, 2012, December 29, 2013, and December 28, 2014 the following values relate to the grants and exercises under the Company's option plans: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options granted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4.40</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intrinsic value of options exercised (in thousands)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r>
      <w:tr>
        <w:trPr>
          <w:trHeight w:val="675"/>
        </w:trPr>
        <w:tc>
          <w:tcPr>
            <w:tcW w:w="20" w:type="dxa"/>
            <w:vAlign w:val="bottom"/>
          </w:tcPr>
          <w:p>
            <w:pPr>
              <w:spacing w:after="0"/>
              <w:rPr>
                <w:sz w:val="24"/>
                <w:szCs w:val="24"/>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24"/>
                <w:szCs w:val="24"/>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29, 2013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but not released</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28, 2014</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28, 2014, there was $8.1 million of total unrecognized stock-based compensation expense related to nonvested restricted stock units which is expected to be recognized over a remaining weighted-average vesting period of 2.7 years. The fair value of RSU awards that vested in 2012, 2013, and 2014 was $1.9 million, $1.7 million, and $1.4 million, respectively.</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August 1999, the Board approved the 1999 Employee Stock Purchase Plan (“Purchase Plan”). A total of 3.7 million shares of Common Stock have been authorized for issuance under the Purchase Plan.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28, 2014, the cumulative number of shares of Common Stock that have been issued under the Purchase Plan is 2.4 million and approximately 1.3 million shares are available for future issuance. During fiscal 2014, approximately 632,000 shares were issued under the plan at an average price of $6.14.</w:t>
      </w:r>
    </w:p>
    <w:p>
      <w:pPr>
        <w:spacing w:after="0" w:line="200" w:lineRule="exact"/>
        <w:rPr>
          <w:sz w:val="20"/>
          <w:szCs w:val="20"/>
          <w:color w:val="auto"/>
        </w:rPr>
      </w:pPr>
    </w:p>
    <w:p>
      <w:pPr>
        <w:spacing w:after="0" w:line="20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Kratos' Purchase Plan shares for 2014 was estimated using the Black-Scholes option pricing model. The assumptions and resulting fair values of options granted for 2012, 2013 and 2014 were as follows: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r>
      <w:tr>
        <w:trPr>
          <w:trHeight w:val="149"/>
        </w:trPr>
        <w:tc>
          <w:tcPr>
            <w:tcW w:w="57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r>
      <w:tr>
        <w:trPr>
          <w:trHeight w:val="149"/>
        </w:trPr>
        <w:tc>
          <w:tcPr>
            <w:tcW w:w="57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r>
      <w:tr>
        <w:trPr>
          <w:trHeight w:val="149"/>
        </w:trPr>
        <w:tc>
          <w:tcPr>
            <w:tcW w:w="57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7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years)(1)</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0.06% - 0.16%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0.10% - 0.11%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0.07% - 0.10%</w:t>
            </w:r>
          </w:p>
        </w:tc>
      </w:tr>
      <w:tr>
        <w:trPr>
          <w:trHeight w:val="27"/>
        </w:trPr>
        <w:tc>
          <w:tcPr>
            <w:tcW w:w="5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volatility(3)</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49.70% - 65.73%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36.95% - 43.70%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40.14% - 40.23%</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yield(4)</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5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$1.93</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7"/>
        </w:trPr>
        <w:tc>
          <w:tcPr>
            <w:tcW w:w="57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  The expected term is equivalent to the offering period.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(2)The risk-free interest rate is based on U.S. Treasury yields in effect at the time of grant with a term equal to the expected term.</w:t>
      </w:r>
    </w:p>
    <w:p>
      <w:pPr>
        <w:spacing w:after="0" w:line="9" w:lineRule="exact"/>
        <w:rPr>
          <w:sz w:val="20"/>
          <w:szCs w:val="20"/>
          <w:color w:val="auto"/>
        </w:rPr>
      </w:pPr>
    </w:p>
    <w:p>
      <w:pPr>
        <w:ind w:left="1360" w:hanging="380"/>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estimated implied volatility based upon trailing volatility.</w:t>
      </w:r>
    </w:p>
    <w:p>
      <w:pPr>
        <w:spacing w:after="0" w:line="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common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28, 2014, there was no material unrecognized compensation expense related to the Employee Stock Purchase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contributions to these defined-contribution savings plans totaled $5.1 million in 2012, $6.0 million in 2013 and $5.9 million in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Significant Customers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includes revenue from contracts for which Kratos is the prime contractor as well as those for which the Company is a subcontractor and the ultimate customer is the U.S. Government. The KGS and US segments have substantial revenue from the U.S. Government. Sales to the U.S. Government amounted to approximately $627.8 million, $606.7 million, and $514.6 million or 65%, 64%, and 59%, of total revenue for the years ended December 30, 2012, December 29, 2013, and December 28, 2014,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historically operated in two reportable segments: Kratos Government Solutions (“KGS”) and Public Safety &amp; Security (“PSS”). In the fourth quarter of 2014, the Company expanded the number of reportable segments to three as we separated the KGS segment into two reportable segments: KGS and Unmanned Systems (“US”). As a result, the KGS reportable segment is comprised of an aggregation of Kratos’ Government Solutions operating segments, including our electronic products, satellite communications, modular systems and rocket support operating segments.</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new Unmanned Systems reportable segment consists of our unmanned aerial, ground, seaborne and command, control and communications system business. The KGS and US segments provide products, solutions and services primarily for mission critical national security priorities. KGS and US customers primarily include national security related agencies, the DoD, intelligence agencies and classified agencies, and to a lesser degree, international government agencies and domestic and international commercial customers. The PSS segment provides independent integrated solutions for advanced homeland security, public safety, critical infrastructure, and security and surveillance systems for government and commercial applications. PSS customers are in the critical infrastructure, power generation, power transport, nuclear energy, financial, IT, healthcare, education, transportation and petro-chemical industries, as well as certain government and military customers.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prior year financial information has been recast to conform to the current reportable segments, and total operating income of the reportable business segments is reconciled to the corresponding consolidated amount. The reconciling item “corporate activities”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60"/>
          </w:cols>
          <w:pgMar w:left="240" w:top="121" w:right="29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Revenues, operating income (loss) and assets disclosed below provided by the Company's reportable segments for the years ended December 30, 2012, December 29, 2013, and December 28, 2014, are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Borders>
              <w:bottom w:val="single" w:sz="8" w:color="BFE4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1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840" w:type="dxa"/>
            <w:vAlign w:val="bottom"/>
            <w:tcBorders>
              <w:bottom w:val="single" w:sz="8" w:color="BFE4FF"/>
            </w:tcBorders>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Unmanned Systems</w:t>
            </w:r>
          </w:p>
        </w:tc>
        <w:tc>
          <w:tcPr>
            <w:tcW w:w="840" w:type="dxa"/>
            <w:vAlign w:val="bottom"/>
            <w:tcBorders>
              <w:bottom w:val="single" w:sz="8" w:color="BFE4FF"/>
            </w:tcBorders>
            <w:shd w:val="clear" w:color="auto" w:fill="BFE4FF"/>
          </w:tcPr>
          <w:p>
            <w:pPr>
              <w:spacing w:after="0"/>
              <w:rPr>
                <w:sz w:val="22"/>
                <w:szCs w:val="22"/>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98"/>
              </w:rPr>
              <w:t>264.0</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840" w:type="dxa"/>
            <w:vAlign w:val="bottom"/>
            <w:tcBorders>
              <w:bottom w:val="single" w:sz="8" w:color="BFE4FF"/>
            </w:tcBorders>
            <w:shd w:val="clear" w:color="auto" w:fill="BFE4FF"/>
          </w:tcPr>
          <w:p>
            <w:pPr>
              <w:spacing w:after="0"/>
              <w:rPr>
                <w:sz w:val="22"/>
                <w:szCs w:val="22"/>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98"/>
              </w:rPr>
              <w:t>690.9</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619.3</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590.1</w:t>
            </w: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8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sales</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Public Safety &amp; Security</w:t>
            </w:r>
          </w:p>
        </w:tc>
        <w:tc>
          <w:tcPr>
            <w:tcW w:w="840" w:type="dxa"/>
            <w:vAlign w:val="bottom"/>
            <w:tcBorders>
              <w:bottom w:val="single" w:sz="8" w:color="BFE4FF"/>
            </w:tcBorders>
            <w:shd w:val="clear" w:color="auto" w:fill="BFE4FF"/>
          </w:tcPr>
          <w:p>
            <w:pPr>
              <w:spacing w:after="0"/>
              <w:rPr>
                <w:sz w:val="22"/>
                <w:szCs w:val="22"/>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97"/>
        </w:trPr>
        <w:tc>
          <w:tcPr>
            <w:tcW w:w="7100" w:type="dxa"/>
            <w:vAlign w:val="bottom"/>
            <w:tcBorders>
              <w:bottom w:val="single" w:sz="8" w:color="BFE4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969.2</w:t>
            </w:r>
          </w:p>
        </w:tc>
        <w:tc>
          <w:tcPr>
            <w:tcW w:w="10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tcBorders>
              <w:bottom w:val="single" w:sz="8" w:color="BFE4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868.0</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Borders>
              <w:bottom w:val="single" w:sz="8" w:color="BFE4FF"/>
            </w:tcBorders>
            <w:shd w:val="clear" w:color="auto" w:fill="BFE4FF"/>
          </w:tcPr>
          <w:p>
            <w:pPr>
              <w:spacing w:after="0"/>
              <w:rPr>
                <w:sz w:val="20"/>
                <w:szCs w:val="20"/>
                <w:color w:val="auto"/>
              </w:rPr>
            </w:pPr>
          </w:p>
        </w:tc>
        <w:tc>
          <w:tcPr>
            <w:tcW w:w="5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40" w:type="dxa"/>
            <w:vAlign w:val="bottom"/>
            <w:tcBorders>
              <w:bottom w:val="single" w:sz="8" w:color="auto"/>
            </w:tcBorders>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840" w:type="dxa"/>
            <w:vAlign w:val="bottom"/>
            <w:tcBorders>
              <w:bottom w:val="single" w:sz="8" w:color="BFE4FF"/>
            </w:tcBorders>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BFE4FF"/>
            </w:tcBorders>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activities</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Total operating income (loss) from continuing operations</w:t>
            </w:r>
          </w:p>
        </w:tc>
        <w:tc>
          <w:tcPr>
            <w:tcW w:w="840" w:type="dxa"/>
            <w:vAlign w:val="bottom"/>
            <w:tcBorders>
              <w:bottom w:val="single" w:sz="8" w:color="auto"/>
            </w:tcBorders>
            <w:shd w:val="clear" w:color="auto" w:fill="BFE4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auto"/>
            </w:tcBorders>
            <w:shd w:val="clear" w:color="auto" w:fill="BFE4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FE4FF"/>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Revenues from foreign customers were approximately $116.2 million or 12%, $100.9 million or 11% and $113.5 million or 13% of total revenue for the years ended December 30, 2012, December 29, 2013, and December 28, 2014, respectively.</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2012, the Company recorded an impairment of goodwill and intangible assets of $83.7 million related to the KGS reportable segment and an impairment of intangible assets of $12.9 million related to the PSS reportable segment. See Note 2.</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2012 Corporate activities had a benefit from corporate merger and acquisition expenses of approximately $2.7 million due to a reduction in contingent consideration, settlement of a dispute on fees, and a change in estimate of indemnity obligations related to former directors and officers of Integral. In 2013 the Corporate activities had a benefit from merger related items of $2.0 million due to the reduction in a $3.1 million liability as a result of the final settlement of the indemnity obligations related to former directors and officers of Integral on July 1, 2013, partially offset by other merger expenses and legal fees related to prior acquisitions.</w:t>
      </w:r>
    </w:p>
    <w:p>
      <w:pPr>
        <w:spacing w:after="0" w:line="184"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Included in the 2013 and 2014 operating loss for the Unmanned Systems Segment is increased costs of $7.6 million and $3.1 million, respectively, related to certain retrofits necessary to address product design changes as well as due to a contract conversion adjustment on certain of our aerial platforms.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Reportable segment assets are as follows (in millions):</w:t>
      </w:r>
    </w:p>
    <w:p>
      <w:pPr>
        <w:spacing w:after="0" w:line="232" w:lineRule="exact"/>
        <w:rPr>
          <w:sz w:val="20"/>
          <w:szCs w:val="20"/>
          <w:color w:val="auto"/>
        </w:rPr>
      </w:pPr>
    </w:p>
    <w:p>
      <w:pPr>
        <w:ind w:left="884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December 29, 2013</w:t>
        <w:tab/>
        <w:t>December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802.6</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Unmanned Systems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r>
      <w:tr>
        <w:trPr>
          <w:trHeight w:val="243"/>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Safety &amp; Security</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r>
      <w:tr>
        <w:trPr>
          <w:trHeight w:val="257"/>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1,216.6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1,138.8</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Assets of foreign subsidiaries in the KGS segment were $95.9 million and $98.2 million as of December 29, 2013 and December 28,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Legal and Regulatory Matters.</w:t>
      </w:r>
    </w:p>
    <w:p>
      <w:pPr>
        <w:spacing w:after="0" w:line="14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U.S. Government Cost Claims</w:t>
      </w:r>
      <w:r>
        <w:rPr>
          <w:rFonts w:ascii="Times New Roman" w:cs="Times New Roman" w:eastAsia="Times New Roman" w:hAnsi="Times New Roman"/>
          <w:sz w:val="18"/>
          <w:szCs w:val="18"/>
          <w:color w:val="auto"/>
        </w:rPr>
        <w:t>. The Company's contracts with the Department of Defense are subject to audit by the Defense Contract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(“DCAA”). As a result of these audits, from time to time the Company is advised of claims concerning potential disallowed, overstated or disputed costs. For example, during the course of its current audits of the Company's contracts, the DCAA is closely examining and questioning certain of the established and disclosed practices that it had previously audited and accepted. In addition, based on a DCAA audit, the U.S. Department of Justice (“DOJ”) conducted an investigation concerning whether one of the Company's subsidiaries violated the federal False Claims Act by overstating its labor and material costs in a contract with the Department of Defense prior to the Company's acquisition of the subsidiary. The matter was identified during the acquisition process and was taken into consideration in the purchase price allocation of this subsidiary. In December 2014, the Company reached a negotiated settlement with the DOJ concerning the disputed contract costs. The settlement was finalized by a written agreement that became effective on January 26, 2015 and paid on February 2015. The difference between the settlement and the Company's reserve was immaterial to the Company's consolidated financial statements.</w:t>
      </w:r>
    </w:p>
    <w:p>
      <w:pPr>
        <w:spacing w:after="0" w:line="27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Other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normal and routine litigation arising from the ordinary course and conduct of business, and,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as a result of acquisitions and dispositions. Such disputes include, for example, commercial, employment, intellectual property, environmental and securities matters. The aggregate amounts accrued related to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3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changes in the Company's aggregate product warranty liabilities, which are included in other current liabilities and other long term-liabilities on the Company's Consolidated Balance Sheets, were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20" w:type="dxa"/>
            <w:vAlign w:val="bottom"/>
          </w:tcPr>
          <w:p>
            <w:pPr>
              <w:spacing w:after="0"/>
              <w:rPr>
                <w:sz w:val="12"/>
                <w:szCs w:val="12"/>
                <w:color w:val="auto"/>
              </w:rPr>
            </w:pPr>
          </w:p>
        </w:tc>
        <w:tc>
          <w:tcPr>
            <w:tcW w:w="126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5"/>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accrued and revenues deferred</w:t>
            </w: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made (in cash or kind) and revenues recognized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Non-Current portion</w:t>
            </w: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warranty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Self-Insured Health and Workers' Compensation Plans</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Company has health plans which are self-insured and also has liabilities related to its self-insured worker's compensation plans for its discontinued wireless business. The liabilities related to the health plans are a component of total accrued expenses and the liabilities related to the workers' compensation plans are a component of current liabilities of discontinued operations in the Consolidated Balance Sheets. Management determines the adequacy of these accruals based on an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December 29, 2013, and December 28, 2014, the accrual for the Company's partial self-insurance programs approximated $0.2 million and $0.1 million for its health insurance and $0.2 million and $0.3 million for its workers' compensation insurance, respectively. The Company also carries stop-loss insurance that provides coverage limiting the Company's total exposure related to each medical and workers' compensation claim incurred, as defined in the applicable insurance policies. The medical annual claim limits are $50,000 - $85,000 and the workers' compensation claim limits are $250,000 - $350,000 depending upon the plan year. In 2012, 2013, and 2014, no claims exceeded the limits for workers' compensation. In 2012, 2013 and 2014, the Company had no claims which exceeded the limits for medical insurance.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Quarterly Financial Data (Unaudited)</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29, 2013 and December 28, 2014, is as follows (in millions, except per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Fiscal year 2013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bl>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the Company had a benefit of $4.7 million primarily related to an adjustment to the liability for unused office space which was primarily due to a change in the estimated excess facility accrual of office space at the Company's Colombia, Maryland administrative facilities partially offset by $2.0 million of expenses related to workforce reductions as a result of cost reduction initiatives the Company implemented. Also included in each of the first, second, third and fourth quarter is amortization of purchased intangibles of $9.3 million, $9.0 million, $9.0 million and $8.9 million, respectively.</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4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5"/>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Fiscal year 2014</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221.5</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a $39.1 million loss on extinguishment of debt was recorded to reflect the refinance of the Company’s $625.0 million 10% Senior Secured Notes Due 2017 with the $625.0 million 7% Senior Secured Notes Due 2019.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Condensed Consolidating Financial Statements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has $625.0 million in outstanding Notes. See Note 5.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Notes are not guaranteed by the Company's foreign subsidiaries (the “Non-Guarantor Subsidiaries”).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condensed consolidating financial statements for the parent company, the Subsidiary Guarantors and the Non-Guarantor Subsidiaries, respectively, for 2012, 2013, and 2014.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29,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265.8</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463.6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952.8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1,113.0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1,216.6</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 liability</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605.4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657.0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626.8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920.8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295.8</w:t>
            </w:r>
          </w:p>
        </w:tc>
        <w:tc>
          <w:tcPr>
            <w:tcW w:w="0" w:type="dxa"/>
            <w:vAlign w:val="bottom"/>
          </w:tcPr>
          <w:p>
            <w:pPr>
              <w:spacing w:after="0"/>
              <w:rPr>
                <w:sz w:val="1"/>
                <w:szCs w:val="1"/>
                <w:color w:val="auto"/>
              </w:rPr>
            </w:pPr>
          </w:p>
        </w:tc>
      </w:tr>
      <w:tr>
        <w:trPr>
          <w:trHeight w:val="244"/>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952.8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1,113.0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Balance Sheet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from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Inventoried costs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374.9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due from affiliated companies, long-term</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due to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510.3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30, 2012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on a Combined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4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918.5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969.2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17"/>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683.8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of goodwill and intangibles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4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income and expense, net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 from continuing</w:t>
            </w:r>
          </w:p>
        </w:tc>
        <w:tc>
          <w:tcPr>
            <w:tcW w:w="4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29,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on a Combined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443.6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4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507.0</w:t>
            </w:r>
          </w:p>
        </w:tc>
      </w:tr>
      <w:tr>
        <w:trPr>
          <w:trHeight w:val="27"/>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886.8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950.6</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335.2</w:t>
            </w: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375.4</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670.2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710.6</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240.0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186.8</w:t>
            </w: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of goodwill and 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31.8</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4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income and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 from continuing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F-46</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Non-Guarantors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Guarantors on a</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on a Combined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Combined Basis</w:t>
            </w: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4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390.8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sales</w:t>
            </w:r>
          </w:p>
        </w:tc>
        <w:tc>
          <w:tcPr>
            <w:tcW w:w="4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477.2</w:t>
            </w:r>
          </w:p>
        </w:tc>
      </w:tr>
      <w:tr>
        <w:trPr>
          <w:trHeight w:val="27"/>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797.9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868.0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304.6</w:t>
            </w: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product sales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345.2</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605.8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rPr>
              <w:t>649.8</w:t>
            </w:r>
          </w:p>
        </w:tc>
      </w:tr>
      <w:tr>
        <w:trPr>
          <w:trHeight w:val="33"/>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218.2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175.3</w:t>
            </w: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of goodwill and intangibles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19.9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4700" w:type="dxa"/>
            <w:vAlign w:val="bottom"/>
            <w:shd w:val="clear" w:color="auto" w:fill="CCEEFF"/>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17"/>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other income and expense, net</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33"/>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(benefit) for income taxes from continuing operations</w:t>
            </w: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net income (loss) of subsidiaries</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F-47</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30, 2012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Parent</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52.3</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restricted cash</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disposition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196"/>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0"/>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issuance costs paid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90.9</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F-48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29, 2013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40" w:type="dxa"/>
            <w:vAlign w:val="bottom"/>
          </w:tcPr>
          <w:p>
            <w:pPr>
              <w:spacing w:after="0"/>
              <w:rPr>
                <w:sz w:val="17"/>
                <w:szCs w:val="17"/>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4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40" w:type="dxa"/>
            <w:vAlign w:val="bottom"/>
          </w:tcPr>
          <w:p>
            <w:pPr>
              <w:spacing w:after="0"/>
              <w:rPr>
                <w:sz w:val="18"/>
                <w:szCs w:val="18"/>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8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r>
      <w:tr>
        <w:trPr>
          <w:trHeight w:val="231"/>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 restricted cash</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disposition of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 operations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74.8</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contingent acquisition consideration</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ESPP shares</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Financings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72.2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Consolidating Statement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28, 2014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Guarantors on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7"/>
                <w:szCs w:val="17"/>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200" w:type="dxa"/>
            <w:vAlign w:val="bottom"/>
          </w:tcPr>
          <w:p>
            <w:pPr>
              <w:spacing w:after="0"/>
              <w:rPr>
                <w:sz w:val="17"/>
                <w:szCs w:val="17"/>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 Combined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0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0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20" w:type="dxa"/>
            <w:vAlign w:val="bottom"/>
          </w:tcPr>
          <w:p>
            <w:pPr>
              <w:spacing w:after="0"/>
              <w:rPr>
                <w:sz w:val="18"/>
                <w:szCs w:val="18"/>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affiliated companies</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investing activities from continuing</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0"/>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(82.8)</w:t>
            </w:r>
          </w:p>
        </w:tc>
        <w:tc>
          <w:tcPr>
            <w:tcW w:w="2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6"/>
                <w:szCs w:val="16"/>
                <w:color w:val="auto"/>
              </w:rPr>
              <w:t>67.9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618.5</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 issuance costs</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Credit agreement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Financings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 from continuing</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3"/>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6"/>
                <w:szCs w:val="16"/>
                <w:color w:val="auto"/>
              </w:rPr>
              <w:t>59.0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(67.9)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1"/>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flows of continuing operations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operating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F-50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18.1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13, 2015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Kratos Defense &amp; Security Solutions,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4820 Eastgate Mall, Suite 200</w:t>
      </w:r>
    </w:p>
    <w:p>
      <w:pPr>
        <w:spacing w:after="0"/>
        <w:rPr>
          <w:sz w:val="20"/>
          <w:szCs w:val="20"/>
          <w:color w:val="auto"/>
        </w:rPr>
      </w:pPr>
      <w:r>
        <w:rPr>
          <w:rFonts w:ascii="Times New Roman" w:cs="Times New Roman" w:eastAsia="Times New Roman" w:hAnsi="Times New Roman"/>
          <w:sz w:val="20"/>
          <w:szCs w:val="20"/>
          <w:color w:val="auto"/>
        </w:rPr>
        <w:t>San Diego, CA 92121</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Sirs/Madams:</w:t>
      </w:r>
    </w:p>
    <w:p>
      <w:pPr>
        <w:spacing w:after="0" w:line="175"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We have audited the consolidated financial statements of Kratos Defense &amp; Security Solutions, Inc. and subsidiaries (the “Company”) as of December 28, 2014 and December 29, 2013 and for each of the two years in the period ended December 28, 2014, included in your Annual Report on Form 10-K to the Securities and Exchange Commission and have issued our report thereon dated March 13, 2015, which expresses an unqualified opinion. Note 2 to such consolidated financial statements contains a description of your adoption, during the year ended December 28, 2014, of your change in the date for the annual goodwill impairment test. In our judgment, such change is an alternative accounting principle that is preferable under the circumstances.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truly,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ectPr>
          <w:pgSz w:w="11900" w:h="16838" w:orient="portrait"/>
          <w:cols w:equalWidth="0" w:num="1">
            <w:col w:w="11420"/>
          </w:cols>
          <w:pgMar w:left="240" w:top="383"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Ai Metrix, Inc.</w:t>
            </w:r>
          </w:p>
        </w:tc>
        <w:tc>
          <w:tcPr>
            <w:tcW w:w="5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Airorlite Communications,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Jersey</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Avtec Systems,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BSC Partners,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Charleston Marine Containers,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Composite Engineering,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Systems and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Dallastown Realty I,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Dallastown Realty II,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Defense Systems, Incorporated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DEI Services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Digital Fusion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Digital Fusion,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Diversified Security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DTI Associates,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EW Simulation Technology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 Microwave Israel (1987)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 Microwave Israel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General Microwave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York</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Gichner Europe Limited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Gichner Systems Group,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Gichner Systems International,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Haverstick Consulting,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Haverstick Government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Ohio</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Jersey</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Henry Bros. Electronics,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Arizona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Herley GMI Eyal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Israel</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Herley Industries,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Herley-CTI,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Herley-RSS,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HGS Holdings,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Integral Systems Europe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Integral Systems Europe S.A.S.</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France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JMA Associates,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KPSS Government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00"/>
          </w:cols>
          <w:pgMar w:left="460" w:top="374" w:right="239" w:bottom="1440" w:gutter="0" w:footer="0" w:header="0"/>
        </w:sectPr>
      </w:pPr>
    </w:p>
    <w:bookmarkStart w:id="121" w:name="page122"/>
    <w:bookmarkEnd w:id="1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Defense &amp; Rocket Support Services, Inc.</w:t>
            </w:r>
          </w:p>
        </w:tc>
        <w:tc>
          <w:tcPr>
            <w:tcW w:w="5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Integral Holdings,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Maryland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Integral Systems International,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Networks,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Public Safety &amp; Security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Southeast,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Georgia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Southwest L.P.</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Technology &amp; Training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Texas,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Texas</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Kratos Unmanned Systems Solutions,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Carlsbad ISI,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Maryland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LVDM,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Nevada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Madison Research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Alabama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Micro Systems,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Florida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MSI Acquisition Corp.</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National Safe of California,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Polexis,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Reality Based IT Services Ltd.</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Maryland</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RealTime Logic,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Rocket Support Services,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Indiana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SAT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SCT Acquisition,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SCT Real Estate, LLC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SecureInfo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Shadow 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Shadow II,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California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Stapor Research, Inc.</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Virginia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Summit Research Corporation</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Alabama</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WFI NMC Corp.</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5520" w:type="dxa"/>
            <w:vAlign w:val="bottom"/>
            <w:tcBorders>
              <w:left w:val="single" w:sz="8" w:color="auto"/>
              <w:bottom w:val="single" w:sz="8" w:color="auto"/>
              <w:right w:val="single" w:sz="8" w:color="auto"/>
            </w:tcBorders>
          </w:tcPr>
          <w:p>
            <w:pPr>
              <w:spacing w:after="0"/>
              <w:rPr>
                <w:sz w:val="24"/>
                <w:szCs w:val="24"/>
                <w:color w:val="auto"/>
              </w:rPr>
            </w:pPr>
          </w:p>
        </w:tc>
        <w:tc>
          <w:tcPr>
            <w:tcW w:w="552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020"/>
          </w:cols>
          <w:pgMar w:left="460" w:top="498" w:right="4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2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Nos. 333-74108, 333-71618, 333-53014, and 333-198266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and 333-198268 on Form S-8 of our report dated March 13, 2015, relating to the financial statements and the retrospective adjustments to the 2012 financial statement disclosures for a change in the composition of reportable segments discussed in Note 14 of Kratos Defense &amp; Security Solutions, Inc. and subsidiaries (the “Company”), and the effectiveness of the Company's internal control over financial reporting, appearing in this Annual Report on Form 10-K of the Company for the year ended December 28, 2014.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DELOITTE &amp; TOUCHE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13, 2015</w:t>
      </w:r>
    </w:p>
    <w:p>
      <w:pPr>
        <w:sectPr>
          <w:pgSz w:w="11900" w:h="16838" w:orient="portrait"/>
          <w:cols w:equalWidth="0" w:num="1">
            <w:col w:w="11420"/>
          </w:cols>
          <w:pgMar w:left="240" w:top="117"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3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issued our report dated March 12, 2013, with respect to the consolidated financial statements for the year ended December 30, 2012 included in the Annual Report of Kratos Defense &amp; Security Solutions, Inc. on Form 10-K for the year ended December 28, 2014. We hereby consent to the incorporation by reference of said report in the Registration Statements of Kratos Defense &amp; Security Solutions, Inc. on Forms S-3 (File No. 333-53014, File No. 333-71618, File No. 333-74108, and File No. 333-198266), on Forms S-4 (File No. 333-150165, File No. 333-155604, File No. 333-167840, File No. 333-174745, File No. 333-174760, File No. 333-177493 and File No. 333-198265) and on Forms S-8 (File No. 333-90455, File No. 333-54818, File No. 333-71702, File No. 333-91852, File No. 333-116903, File No. 333-124957, File No. 333-127060, File No. 333-155317, File No. 333-157826, File No. 333-167839, File No. 333-171257, File No. 333-173383, File No. 333-177494, File No. 333-179977, File No. 333-182910, File No. 333-191156 and File No. 333-198268).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13, 2015</w:t>
      </w:r>
    </w:p>
    <w:p>
      <w:pPr>
        <w:sectPr>
          <w:pgSz w:w="11900" w:h="16838" w:orient="portrait"/>
          <w:cols w:equalWidth="0" w:num="1">
            <w:col w:w="11420"/>
          </w:cols>
          <w:pgMar w:left="240" w:top="630"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Kratos Defense &amp; Security Solutions, Inc.;</w:t>
      </w:r>
    </w:p>
    <w:p>
      <w:pPr>
        <w:spacing w:after="0" w:line="23" w:lineRule="exact"/>
        <w:rPr>
          <w:rFonts w:ascii="Times New Roman" w:cs="Times New Roman" w:eastAsia="Times New Roman" w:hAnsi="Times New Roman"/>
          <w:sz w:val="16"/>
          <w:szCs w:val="16"/>
          <w:color w:val="auto"/>
        </w:rPr>
      </w:pPr>
    </w:p>
    <w:p>
      <w:pPr>
        <w:ind w:left="660" w:right="20" w:hanging="652"/>
        <w:spacing w:after="0" w:line="246"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257"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6"/>
          <w:szCs w:val="16"/>
          <w:color w:val="auto"/>
        </w:rPr>
      </w:pPr>
    </w:p>
    <w:p>
      <w:pPr>
        <w:ind w:left="1300" w:right="180" w:hanging="644"/>
        <w:spacing w:after="0" w:line="254" w:lineRule="auto"/>
        <w:tabs>
          <w:tab w:leader="none" w:pos="13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80" w:hanging="644"/>
        <w:spacing w:after="0" w:line="246" w:lineRule="auto"/>
        <w:tabs>
          <w:tab w:leader="none" w:pos="13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660" w:right="300" w:hanging="652"/>
        <w:spacing w:after="0" w:line="281" w:lineRule="auto"/>
        <w:tabs>
          <w:tab w:leader="none" w:pos="6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1300" w:right="260" w:hanging="644"/>
        <w:spacing w:after="0" w:line="258" w:lineRule="auto"/>
        <w:tabs>
          <w:tab w:leader="none" w:pos="13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460" w:hanging="644"/>
        <w:spacing w:after="0" w:line="257" w:lineRule="auto"/>
        <w:tabs>
          <w:tab w:leader="none" w:pos="13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2015</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0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Kratos Defense &amp; Security Solutions, Inc.;</w:t>
      </w:r>
    </w:p>
    <w:p>
      <w:pPr>
        <w:spacing w:after="0" w:line="9"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120" w:hanging="652"/>
        <w:spacing w:after="0" w:line="28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Times New Roman" w:cs="Times New Roman" w:eastAsia="Times New Roman" w:hAnsi="Times New Roman"/>
          <w:sz w:val="18"/>
          <w:szCs w:val="18"/>
          <w:color w:val="auto"/>
        </w:rPr>
      </w:pPr>
    </w:p>
    <w:p>
      <w:pPr>
        <w:ind w:left="1300" w:right="80" w:hanging="644"/>
        <w:spacing w:after="0" w:line="268"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360" w:hanging="644"/>
        <w:spacing w:after="0" w:line="281"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8"/>
          <w:szCs w:val="18"/>
          <w:color w:val="auto"/>
        </w:rPr>
      </w:pPr>
    </w:p>
    <w:p>
      <w:pPr>
        <w:ind w:left="660" w:right="300" w:hanging="652"/>
        <w:spacing w:after="0" w:line="28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Times New Roman" w:cs="Times New Roman" w:eastAsia="Times New Roman" w:hAnsi="Times New Roman"/>
          <w:sz w:val="18"/>
          <w:szCs w:val="18"/>
          <w:color w:val="auto"/>
        </w:rPr>
      </w:pPr>
    </w:p>
    <w:p>
      <w:pPr>
        <w:ind w:left="1300" w:right="460" w:hanging="644"/>
        <w:spacing w:after="0" w:line="28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2015</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37465</wp:posOffset>
            </wp:positionV>
            <wp:extent cx="34988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420"/>
          </w:cols>
          <w:pgMar w:left="240" w:top="583"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Annual Report of Kratos Defense &amp; Security Solutions, Inc. (the “Company”) on Form 10-K for the year ended December 28, 2014 (the “Report”), I, Eric M. DeMarco,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420"/>
          </w:cols>
          <w:pgMar w:left="240" w:top="583"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76"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accompanying Annual Report of Kratos Defense &amp; Security Solutions, Inc. (the “Company”) on Form 10-K for the year ended December 28, 2014 (the “Report”), I, Deanna H. Lund, Chief Financial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610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lowerLetter"/>
      <w:start w:val="3"/>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2"/>
    </w:lvl>
  </w:abstractNum>
  <w:abstractNum w:abstractNumId="20">
    <w:nsid w:val="5072367"/>
    <w:multiLevelType w:val="hybridMultilevel"/>
    <w:lvl w:ilvl="0">
      <w:lvlJc w:val="left"/>
      <w:lvlText w:val="(%1)"/>
      <w:numFmt w:val="lowerLetter"/>
      <w:start w:val="4"/>
    </w:lvl>
  </w:abstractNum>
  <w:abstractNum w:abstractNumId="21">
    <w:nsid w:val="3804823E"/>
    <w:multiLevelType w:val="hybridMultilevel"/>
    <w:lvl w:ilvl="0">
      <w:lvlJc w:val="left"/>
      <w:lvlText w:val="(%1)"/>
      <w:numFmt w:val="lowerLetter"/>
      <w:start w:val="5"/>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lowerLetter"/>
      <w:start w:val="6"/>
    </w:lvl>
  </w:abstractNum>
  <w:abstractNum w:abstractNumId="24">
    <w:nsid w:val="5C482A97"/>
    <w:multiLevelType w:val="hybridMultilevel"/>
    <w:lvl w:ilvl="0">
      <w:lvlJc w:val="left"/>
      <w:lvlText w:val="(%1)"/>
      <w:numFmt w:val="lowerLetter"/>
      <w:start w:val="8"/>
    </w:lvl>
  </w:abstractNum>
  <w:abstractNum w:abstractNumId="25">
    <w:nsid w:val="2463B9EA"/>
    <w:multiLevelType w:val="hybridMultilevel"/>
    <w:lvl w:ilvl="0">
      <w:lvlJc w:val="left"/>
      <w:lvlText w:val="(%1)"/>
      <w:numFmt w:val="lowerRoman"/>
      <w:start w:val="1"/>
    </w:lvl>
  </w:abstractNum>
  <w:abstractNum w:abstractNumId="26">
    <w:nsid w:val="5E884ADC"/>
    <w:multiLevelType w:val="hybridMultilevel"/>
    <w:lvl w:ilvl="0">
      <w:lvlJc w:val="left"/>
      <w:lvlText w:val="(%1)"/>
      <w:numFmt w:val="lowerLetter"/>
      <w:start w:val="11"/>
    </w:lvl>
  </w:abstractNum>
  <w:abstractNum w:abstractNumId="27">
    <w:nsid w:val="51EAD36B"/>
    <w:multiLevelType w:val="hybridMultilevel"/>
    <w:lvl w:ilvl="0">
      <w:lvlJc w:val="left"/>
      <w:lvlText w:val="(%1)"/>
      <w:numFmt w:val="lowerLetter"/>
      <w:start w:val="12"/>
    </w:lvl>
  </w:abstractNum>
  <w:abstractNum w:abstractNumId="28">
    <w:nsid w:val="2D517796"/>
    <w:multiLevelType w:val="hybridMultilevel"/>
    <w:lvl w:ilvl="0">
      <w:lvlJc w:val="left"/>
      <w:lvlText w:val="(%1)"/>
      <w:numFmt w:val="lowerLetter"/>
      <w:start w:val="13"/>
    </w:lvl>
  </w:abstractNum>
  <w:abstractNum w:abstractNumId="29">
    <w:nsid w:val="580BD78F"/>
    <w:multiLevelType w:val="hybridMultilevel"/>
    <w:lvl w:ilvl="0">
      <w:lvlJc w:val="left"/>
      <w:lvlText w:val="(%1)"/>
      <w:numFmt w:val="lowerLetter"/>
      <w:start w:val="14"/>
    </w:lvl>
  </w:abstractNum>
  <w:abstractNum w:abstractNumId="30">
    <w:nsid w:val="153EA438"/>
    <w:multiLevelType w:val="hybridMultilevel"/>
    <w:lvl w:ilvl="0">
      <w:lvlJc w:val="left"/>
      <w:lvlText w:val="(%1)"/>
      <w:numFmt w:val="lowerLetter"/>
      <w:start w:val="15"/>
    </w:lvl>
  </w:abstractNum>
  <w:abstractNum w:abstractNumId="31">
    <w:nsid w:val="3855585C"/>
    <w:multiLevelType w:val="hybridMultilevel"/>
    <w:lvl w:ilvl="0">
      <w:lvlJc w:val="left"/>
      <w:lvlText w:val="(%1)"/>
      <w:numFmt w:val="lowerLetter"/>
      <w:start w:val="17"/>
    </w:lvl>
  </w:abstractNum>
  <w:abstractNum w:abstractNumId="32">
    <w:nsid w:val="70A64E2A"/>
    <w:multiLevelType w:val="hybridMultilevel"/>
    <w:lvl w:ilvl="0">
      <w:lvlJc w:val="left"/>
      <w:lvlText w:val="(%1)"/>
      <w:numFmt w:val="lowerLetter"/>
      <w:start w:val="18"/>
    </w:lvl>
  </w:abstractNum>
  <w:abstractNum w:abstractNumId="33">
    <w:nsid w:val="6A2342EC"/>
    <w:multiLevelType w:val="hybridMultilevel"/>
    <w:lvl w:ilvl="0">
      <w:lvlJc w:val="left"/>
      <w:lvlText w:val="(%1)"/>
      <w:numFmt w:val="lowerLetter"/>
      <w:start w:val="20"/>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2"/>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Roman"/>
      <w:start w:val="3"/>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lowerLetter"/>
      <w:start w:val="4"/>
    </w:lvl>
  </w:abstractNum>
  <w:abstractNum w:abstractNumId="45">
    <w:nsid w:val="32FFF902"/>
    <w:multiLevelType w:val="hybridMultilevel"/>
    <w:lvl w:ilvl="0">
      <w:lvlJc w:val="left"/>
      <w:lvlText w:val="(%1)"/>
      <w:numFmt w:val="decimal"/>
      <w:start w:val="3"/>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2019-12-29T17:19:30Z</dcterms:created>
  <dcterms:modified xsi:type="dcterms:W3CDTF">2019-12-29T17:19:30Z</dcterms:modified>
</cp:coreProperties>
</file>