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7"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37"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Times New Roman" w:cs="Times New Roman" w:eastAsia="Times New Roman" w:hAnsi="Times New Roman"/>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Times New Roman" w:cs="Times New Roman" w:eastAsia="Times New Roman" w:hAnsi="Times New Roman"/>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KRATOS DEFENSE &amp; SECURITY SOLUTIONS,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24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13-3818604</w:t>
            </w:r>
          </w:p>
        </w:tc>
      </w:tr>
    </w:tbl>
    <w:p>
      <w:pPr>
        <w:spacing w:after="0" w:line="1" w:lineRule="exact"/>
        <w:rPr>
          <w:sz w:val="24"/>
          <w:szCs w:val="24"/>
          <w:color w:val="auto"/>
        </w:rPr>
      </w:pPr>
    </w:p>
    <w:p>
      <w:pPr>
        <w:sectPr>
          <w:pgSz w:w="11900" w:h="16838" w:orient="portrait"/>
          <w:cols w:equalWidth="0" w:num="1">
            <w:col w:w="11220"/>
          </w:cols>
          <w:pgMar w:left="320" w:top="1440" w:right="359" w:bottom="1123" w:gutter="0" w:footer="0" w:header="0"/>
        </w:sectPr>
      </w:pPr>
    </w:p>
    <w:p>
      <w:pPr>
        <w:ind w:left="1780"/>
        <w:spacing w:after="0" w:line="236" w:lineRule="auto"/>
        <w:rPr>
          <w:sz w:val="20"/>
          <w:szCs w:val="20"/>
          <w:color w:val="auto"/>
        </w:rPr>
      </w:pPr>
      <w:r>
        <w:rPr>
          <w:rFonts w:ascii="Times New Roman" w:cs="Times New Roman" w:eastAsia="Times New Roman" w:hAnsi="Times New Roman"/>
          <w:sz w:val="18"/>
          <w:szCs w:val="18"/>
          <w:color w:val="auto"/>
        </w:rPr>
        <w:t>(State or other jurisdiction of</w:t>
      </w:r>
    </w:p>
    <w:p>
      <w:pPr>
        <w:spacing w:after="0" w:line="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0" w:lineRule="exact"/>
        <w:rPr>
          <w:sz w:val="24"/>
          <w:szCs w:val="24"/>
          <w:color w:val="auto"/>
        </w:rPr>
      </w:pPr>
    </w:p>
    <w:p>
      <w:pPr>
        <w:spacing w:after="0" w:line="2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 Chisholm Trail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rPr>
        <w:t xml:space="preserve"> Suite 300</w:t>
      </w:r>
    </w:p>
    <w:p>
      <w:pPr>
        <w:jc w:val="center"/>
        <w:ind w:right="740"/>
        <w:spacing w:after="0" w:line="219" w:lineRule="auto"/>
        <w:rPr>
          <w:sz w:val="20"/>
          <w:szCs w:val="20"/>
          <w:color w:val="auto"/>
        </w:rPr>
      </w:pPr>
      <w:r>
        <w:rPr>
          <w:rFonts w:ascii="Times New Roman" w:cs="Times New Roman" w:eastAsia="Times New Roman" w:hAnsi="Times New Roman"/>
          <w:sz w:val="18"/>
          <w:szCs w:val="18"/>
          <w:b w:val="1"/>
          <w:bCs w:val="1"/>
          <w:color w:val="auto"/>
        </w:rPr>
        <w:t>Round Rock</w:t>
      </w:r>
      <w:r>
        <w:rPr>
          <w:rFonts w:ascii="Times New Roman" w:cs="Times New Roman" w:eastAsia="Times New Roman" w:hAnsi="Times New Roman"/>
          <w:sz w:val="16"/>
          <w:szCs w:val="16"/>
          <w:b w:val="1"/>
          <w:bCs w:val="1"/>
          <w:color w:val="auto"/>
        </w:rPr>
        <w:t>, TX</w:t>
      </w:r>
    </w:p>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316" w:lineRule="exact"/>
        <w:rPr>
          <w:sz w:val="24"/>
          <w:szCs w:val="24"/>
          <w:color w:val="auto"/>
        </w:rPr>
      </w:pPr>
    </w:p>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(512) 238-9840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pacing w:after="0" w:line="27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78681</w:t>
      </w:r>
    </w:p>
    <w:p>
      <w:pPr>
        <w:spacing w:after="0" w:line="216"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color w:val="auto"/>
        </w:rPr>
        <w:t>(Zip Code)</w:t>
      </w:r>
    </w:p>
    <w:p>
      <w:pPr>
        <w:spacing w:after="0" w:line="668" w:lineRule="exact"/>
        <w:rPr>
          <w:sz w:val="24"/>
          <w:szCs w:val="24"/>
          <w:color w:val="auto"/>
        </w:rPr>
      </w:pPr>
    </w:p>
    <w:p>
      <w:pPr>
        <w:sectPr>
          <w:pgSz w:w="11900" w:h="16838" w:orient="portrait"/>
          <w:cols w:equalWidth="0" w:num="2">
            <w:col w:w="6400" w:space="720"/>
            <w:col w:w="4100"/>
          </w:cols>
          <w:pgMar w:left="320" w:top="1440" w:right="359" w:bottom="1123"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6"/>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169"/>
        </w:trPr>
        <w:tc>
          <w:tcPr>
            <w:tcW w:w="2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03"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p>
      <w:pPr>
        <w:ind w:left="4840"/>
        <w:spacing w:after="0" w:line="181" w:lineRule="exact"/>
        <w:tabs>
          <w:tab w:leader="none" w:pos="10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 w:lineRule="exact"/>
        <w:rPr>
          <w:sz w:val="24"/>
          <w:szCs w:val="24"/>
          <w:color w:val="auto"/>
        </w:rPr>
      </w:pPr>
    </w:p>
    <w:p>
      <w:pPr>
        <w:ind w:left="1440"/>
        <w:spacing w:after="0"/>
        <w:tabs>
          <w:tab w:leader="none" w:pos="72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7"/>
          <w:szCs w:val="17"/>
          <w:color w:val="auto"/>
        </w:rPr>
        <w:t>Accelerated filer</w:t>
      </w:r>
    </w:p>
    <w:p>
      <w:pPr>
        <w:spacing w:after="0" w:line="5" w:lineRule="exact"/>
        <w:rPr>
          <w:sz w:val="24"/>
          <w:szCs w:val="24"/>
          <w:color w:val="auto"/>
        </w:rPr>
      </w:pPr>
    </w:p>
    <w:p>
      <w:pPr>
        <w:ind w:left="484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ind w:left="1500"/>
        <w:spacing w:after="0"/>
        <w:tabs>
          <w:tab w:leader="none" w:pos="6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p>
    <w:p>
      <w:pPr>
        <w:spacing w:after="0" w:line="5"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ind w:left="68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46"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0" w:lineRule="exact"/>
        <w:rPr>
          <w:sz w:val="24"/>
          <w:szCs w:val="24"/>
          <w:color w:val="auto"/>
        </w:rPr>
      </w:pPr>
    </w:p>
    <w:p>
      <w:pPr>
        <w:ind w:left="340" w:right="1560"/>
        <w:spacing w:after="0" w:line="3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As of October 30, 2026, 188,273,508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123"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0" w:type="dxa"/>
            <w:vAlign w:val="bottom"/>
            <w:gridSpan w:val="14"/>
            <w:vMerge w:val="restart"/>
          </w:tcPr>
          <w:p>
            <w:pPr>
              <w:jc w:val="center"/>
              <w:ind w:right="234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0" w:type="dxa"/>
            <w:vAlign w:val="bottom"/>
            <w:gridSpan w:val="14"/>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1820" w:type="dxa"/>
            <w:vAlign w:val="bottom"/>
            <w:gridSpan w:val="4"/>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7"/>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27, 2026 (unaudited) and December 28, 2025</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27, 2026 and September 28,</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30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2025 (unaudited)</w:t>
            </w:r>
          </w:p>
        </w:tc>
        <w:tc>
          <w:tcPr>
            <w:tcW w:w="420" w:type="dxa"/>
            <w:vAlign w:val="bottom"/>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27, 2026 and</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140" w:type="dxa"/>
            <w:vAlign w:val="bottom"/>
            <w:tcBorders>
              <w:top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September 28, 2025 (unaudited)</w:t>
            </w:r>
          </w:p>
        </w:tc>
        <w:tc>
          <w:tcPr>
            <w:tcW w:w="58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27, 2026 and</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96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September 28, 2025 (unaudited)</w:t>
            </w:r>
          </w:p>
        </w:tc>
        <w:tc>
          <w:tcPr>
            <w:tcW w:w="40" w:type="dxa"/>
            <w:vAlign w:val="bottom"/>
          </w:tcPr>
          <w:p>
            <w:pPr>
              <w:spacing w:after="0"/>
              <w:rPr>
                <w:sz w:val="13"/>
                <w:szCs w:val="13"/>
                <w:color w:val="auto"/>
              </w:rPr>
            </w:pPr>
          </w:p>
        </w:tc>
        <w:tc>
          <w:tcPr>
            <w:tcW w:w="72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27, 2026 and September 28, 2025</w:t>
            </w:r>
          </w:p>
        </w:tc>
        <w:tc>
          <w:tcPr>
            <w:tcW w:w="5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100" w:type="dxa"/>
            <w:vAlign w:val="bottom"/>
            <w:tcBorders>
              <w:top w:val="single" w:sz="8" w:color="0000FF"/>
            </w:tcBorders>
            <w:gridSpan w:val="17"/>
          </w:tcPr>
          <w:p>
            <w:pPr>
              <w:spacing w:after="0"/>
              <w:rPr>
                <w:sz w:val="13"/>
                <w:szCs w:val="13"/>
                <w:color w:val="auto"/>
              </w:rPr>
            </w:pPr>
          </w:p>
        </w:tc>
        <w:tc>
          <w:tcPr>
            <w:tcW w:w="72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280" w:type="dxa"/>
            <w:vAlign w:val="bottom"/>
            <w:gridSpan w:val="6"/>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860" w:type="dxa"/>
            <w:vAlign w:val="bottom"/>
            <w:gridSpan w:val="9"/>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0" w:type="dxa"/>
            <w:vAlign w:val="bottom"/>
            <w:gridSpan w:val="2"/>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4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2"/>
          </w:tcPr>
          <w:p>
            <w:pPr>
              <w:jc w:val="center"/>
              <w:ind w:right="35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2"/>
          </w:tcPr>
          <w:p>
            <w:pPr>
              <w:spacing w:after="0"/>
              <w:rPr>
                <w:sz w:val="24"/>
                <w:szCs w:val="24"/>
                <w:color w:val="auto"/>
              </w:rPr>
            </w:pPr>
          </w:p>
        </w:tc>
        <w:tc>
          <w:tcPr>
            <w:tcW w:w="3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8"/>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tcBorders>
              <w:bottom w:val="single" w:sz="8" w:color="0000FF"/>
            </w:tcBorders>
          </w:tcPr>
          <w:p>
            <w:pPr>
              <w:spacing w:after="0"/>
              <w:rPr>
                <w:sz w:val="24"/>
                <w:szCs w:val="24"/>
                <w:color w:val="auto"/>
              </w:rPr>
            </w:pP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80" w:type="dxa"/>
            <w:vAlign w:val="bottom"/>
            <w:gridSpan w:val="11"/>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40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2"/>
          </w:tcPr>
          <w:p>
            <w:pPr>
              <w:spacing w:after="0"/>
              <w:rPr>
                <w:sz w:val="24"/>
                <w:szCs w:val="24"/>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960" w:type="dxa"/>
            <w:vAlign w:val="bottom"/>
            <w:gridSpan w:val="1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00" w:type="dxa"/>
            <w:vAlign w:val="bottom"/>
            <w:gridSpan w:val="2"/>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4"/>
          </w:tcPr>
          <w:p>
            <w:pPr>
              <w:spacing w:after="0"/>
              <w:rPr>
                <w:sz w:val="24"/>
                <w:szCs w:val="24"/>
                <w:color w:val="auto"/>
              </w:rPr>
            </w:pPr>
          </w:p>
        </w:tc>
        <w:tc>
          <w:tcPr>
            <w:tcW w:w="8400" w:type="dxa"/>
            <w:vAlign w:val="bottom"/>
            <w:gridSpan w:val="18"/>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4"/>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7380" w:type="dxa"/>
            <w:vAlign w:val="bottom"/>
          </w:tcPr>
          <w:p>
            <w:pPr>
              <w:ind w:left="3760"/>
              <w:spacing w:after="0"/>
              <w:rPr>
                <w:sz w:val="20"/>
                <w:szCs w:val="20"/>
                <w:color w:val="auto"/>
              </w:rPr>
            </w:pPr>
            <w:r>
              <w:rPr>
                <w:rFonts w:ascii="Times New Roman" w:cs="Times New Roman" w:eastAsia="Times New Roman" w:hAnsi="Times New Roman"/>
                <w:sz w:val="16"/>
                <w:szCs w:val="16"/>
                <w:b w:val="1"/>
                <w:bCs w:val="1"/>
                <w:color w:val="auto"/>
              </w:rPr>
              <w:t>(in millions, except par value and number of shares)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20"/>
                <w:szCs w:val="20"/>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0" w:type="dxa"/>
            <w:vAlign w:val="bottom"/>
          </w:tcPr>
          <w:p>
            <w:pPr>
              <w:spacing w:after="0"/>
              <w:rPr>
                <w:sz w:val="1"/>
                <w:szCs w:val="1"/>
                <w:color w:val="auto"/>
              </w:rPr>
            </w:pPr>
          </w:p>
        </w:tc>
      </w:tr>
      <w:tr>
        <w:trPr>
          <w:trHeight w:val="22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0" w:type="dxa"/>
            <w:vAlign w:val="bottom"/>
          </w:tcPr>
          <w:p>
            <w:pPr>
              <w:spacing w:after="0"/>
              <w:rPr>
                <w:sz w:val="1"/>
                <w:szCs w:val="1"/>
                <w:color w:val="auto"/>
              </w:rPr>
            </w:pPr>
          </w:p>
        </w:tc>
      </w:tr>
      <w:tr>
        <w:trPr>
          <w:trHeight w:val="22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Unbilled receivables, net</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0" w:type="dxa"/>
            <w:vAlign w:val="bottom"/>
          </w:tcPr>
          <w:p>
            <w:pPr>
              <w:spacing w:after="0"/>
              <w:rPr>
                <w:sz w:val="1"/>
                <w:szCs w:val="1"/>
                <w:color w:val="auto"/>
              </w:rPr>
            </w:pPr>
          </w:p>
        </w:tc>
      </w:tr>
      <w:tr>
        <w:trPr>
          <w:trHeight w:val="227"/>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Inventoried costs,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3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7"/>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1,262.9</w:t>
            </w:r>
          </w:p>
        </w:tc>
        <w:tc>
          <w:tcPr>
            <w:tcW w:w="0" w:type="dxa"/>
            <w:vAlign w:val="bottom"/>
          </w:tcPr>
          <w:p>
            <w:pPr>
              <w:spacing w:after="0"/>
              <w:rPr>
                <w:sz w:val="1"/>
                <w:szCs w:val="1"/>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26"/>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 xml:space="preserve"> Equity</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2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0" w:type="dxa"/>
            <w:vAlign w:val="bottom"/>
          </w:tcPr>
          <w:p>
            <w:pPr>
              <w:spacing w:after="0"/>
              <w:rPr>
                <w:sz w:val="1"/>
                <w:szCs w:val="1"/>
                <w:color w:val="auto"/>
              </w:rPr>
            </w:pPr>
          </w:p>
        </w:tc>
      </w:tr>
      <w:tr>
        <w:trPr>
          <w:trHeight w:val="22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earnings on uncompleted contracts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2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2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2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2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23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Preferred stock, $0.001 par value, 5,000,000 shares authorized, 0 shares issued and outstanding at</w:t>
            </w:r>
          </w:p>
        </w:tc>
        <w:tc>
          <w:tcPr>
            <w:tcW w:w="140" w:type="dxa"/>
            <w:vAlign w:val="bottom"/>
            <w:shd w:val="clear" w:color="auto" w:fill="CCEEFF"/>
          </w:tcPr>
          <w:p>
            <w:pPr>
              <w:spacing w:after="0"/>
              <w:rPr>
                <w:sz w:val="15"/>
                <w:szCs w:val="15"/>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27, 2026 and December 28, 2025</w:t>
            </w:r>
          </w:p>
        </w:tc>
        <w:tc>
          <w:tcPr>
            <w:tcW w:w="14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$0.001 par value, 245,000,000 shares authorized and 187,724,272 shares issued and outstanding</w:t>
            </w: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 September 27, 2026; 195,000,000 shares authorized and 168,875,032 shares issued and outstanding at</w:t>
            </w:r>
          </w:p>
        </w:tc>
        <w:tc>
          <w:tcPr>
            <w:tcW w:w="14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28, 2025</w:t>
            </w:r>
          </w:p>
        </w:tc>
        <w:tc>
          <w:tcPr>
            <w:tcW w:w="1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0" w:type="dxa"/>
            <w:vAlign w:val="bottom"/>
          </w:tcPr>
          <w:p>
            <w:pPr>
              <w:spacing w:after="0"/>
              <w:rPr>
                <w:sz w:val="1"/>
                <w:szCs w:val="1"/>
                <w:color w:val="auto"/>
              </w:rPr>
            </w:pPr>
          </w:p>
        </w:tc>
      </w:tr>
      <w:tr>
        <w:trPr>
          <w:trHeight w:val="226"/>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1,996.3</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86"/>
        </w:trPr>
        <w:tc>
          <w:tcPr>
            <w:tcW w:w="58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r>
      <w:tr>
        <w:trPr>
          <w:trHeight w:val="223"/>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 revenues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 sales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r>
      <w:tr>
        <w:trPr>
          <w:trHeight w:val="223"/>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26"/>
        </w:trPr>
        <w:tc>
          <w:tcPr>
            <w:tcW w:w="5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r>
      <w:tr>
        <w:trPr>
          <w:trHeight w:val="226"/>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r>
      <w:tr>
        <w:trPr>
          <w:trHeight w:val="23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 and acquisition expenses</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2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income (loss)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2"/>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net</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7"/>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3"/>
        </w:trPr>
        <w:tc>
          <w:tcPr>
            <w:tcW w:w="5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2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9"/>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5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49"/>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8"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186"/>
        </w:trPr>
        <w:tc>
          <w:tcPr>
            <w:tcW w:w="5840" w:type="dxa"/>
            <w:vAlign w:val="bottom"/>
          </w:tcPr>
          <w:p>
            <w:pPr>
              <w:spacing w:after="0"/>
              <w:rPr>
                <w:sz w:val="16"/>
                <w:szCs w:val="16"/>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176"/>
        </w:trPr>
        <w:tc>
          <w:tcPr>
            <w:tcW w:w="58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Change in unrealized cash flow hedge (net of taxes of $0.0 million and $0.1 million for</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the three and </w:t>
            </w:r>
            <w:r>
              <w:rPr>
                <w:rFonts w:ascii="Times New Roman" w:cs="Times New Roman" w:eastAsia="Times New Roman" w:hAnsi="Times New Roman"/>
                <w:sz w:val="17"/>
                <w:szCs w:val="17"/>
                <w:color w:val="auto"/>
              </w:rPr>
              <w:t>nine</w:t>
            </w:r>
            <w:r>
              <w:rPr>
                <w:rFonts w:ascii="Times New Roman" w:cs="Times New Roman" w:eastAsia="Times New Roman" w:hAnsi="Times New Roman"/>
                <w:sz w:val="16"/>
                <w:szCs w:val="16"/>
                <w:color w:val="auto"/>
              </w:rPr>
              <w:t xml:space="preserve"> month periods ended September 28, 2025)</w:t>
            </w: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cumulative translation adjustment, net of tax</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3"/>
        </w:trPr>
        <w:tc>
          <w:tcPr>
            <w:tcW w:w="5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27, 2026 and September 28, 2025</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8"/>
        </w:trPr>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gridSpan w:val="7"/>
            <w:vMerge w:val="continue"/>
          </w:tcPr>
          <w:p>
            <w:pPr>
              <w:spacing w:after="0"/>
              <w:rPr>
                <w:sz w:val="8"/>
                <w:szCs w:val="8"/>
                <w:color w:val="auto"/>
              </w:rPr>
            </w:pPr>
          </w:p>
        </w:tc>
        <w:tc>
          <w:tcPr>
            <w:tcW w:w="1200" w:type="dxa"/>
            <w:vAlign w:val="bottom"/>
            <w:gridSpan w:val="4"/>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8"/>
                <w:szCs w:val="8"/>
                <w:color w:val="auto"/>
              </w:rPr>
            </w:pPr>
          </w:p>
        </w:tc>
        <w:tc>
          <w:tcPr>
            <w:tcW w:w="1280" w:type="dxa"/>
            <w:vAlign w:val="bottom"/>
            <w:gridSpan w:val="4"/>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1120" w:type="dxa"/>
            <w:vAlign w:val="bottom"/>
            <w:gridSpan w:val="3"/>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8"/>
                <w:szCs w:val="8"/>
                <w:color w:val="auto"/>
              </w:rPr>
            </w:pPr>
          </w:p>
        </w:tc>
        <w:tc>
          <w:tcPr>
            <w:tcW w:w="106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2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29, 2025</w:t>
            </w:r>
          </w:p>
        </w:tc>
        <w:tc>
          <w:tcPr>
            <w:tcW w:w="66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3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66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and stock awards</w:t>
            </w: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issued and related taxes</w:t>
            </w:r>
          </w:p>
        </w:tc>
        <w:tc>
          <w:tcPr>
            <w:tcW w:w="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interest rate swap contract</w:t>
            </w: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28, 2025</w:t>
            </w:r>
          </w:p>
        </w:tc>
        <w:tc>
          <w:tcPr>
            <w:tcW w:w="66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5"/>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2"/>
                <w:szCs w:val="2"/>
                <w:color w:val="auto"/>
              </w:rPr>
            </w:pPr>
          </w:p>
        </w:tc>
        <w:tc>
          <w:tcPr>
            <w:tcW w:w="1280" w:type="dxa"/>
            <w:vAlign w:val="bottom"/>
            <w:gridSpan w:val="4"/>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2"/>
                <w:szCs w:val="2"/>
                <w:color w:val="auto"/>
              </w:rPr>
            </w:pPr>
          </w:p>
        </w:tc>
        <w:tc>
          <w:tcPr>
            <w:tcW w:w="1120" w:type="dxa"/>
            <w:vAlign w:val="bottom"/>
            <w:gridSpan w:val="3"/>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06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gridSpan w:val="2"/>
            <w:vMerge w:val="restart"/>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28, 2026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and stock awards</w:t>
            </w: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issued and related taxes</w:t>
            </w:r>
          </w:p>
        </w:tc>
        <w:tc>
          <w:tcPr>
            <w:tcW w:w="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27, 2026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27, 2026 and September 28, 2025</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29, 2024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2,017.4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(663.9)</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ind w:left="80"/>
              <w:spacing w:after="0" w:line="178" w:lineRule="exact"/>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and stock awards</w:t>
            </w:r>
          </w:p>
        </w:tc>
        <w:tc>
          <w:tcPr>
            <w:tcW w:w="5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Restricted stock issued and related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33"/>
        </w:trPr>
        <w:tc>
          <w:tcPr>
            <w:tcW w:w="6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Issuance of common stock for equity raise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Issuance of common stock for acquisitions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 on interest rate swap contract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3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28, 2025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6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2,627.0</w:t>
            </w:r>
          </w:p>
        </w:tc>
        <w:tc>
          <w:tcPr>
            <w:tcW w:w="10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(647.8)</w:t>
            </w:r>
          </w:p>
        </w:tc>
        <w:tc>
          <w:tcPr>
            <w:tcW w:w="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1"/>
        </w:trPr>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restart"/>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28, 2025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4380" w:type="dxa"/>
            <w:vAlign w:val="bottom"/>
            <w:gridSpan w:val="2"/>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for employee stock purchase plan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and stock awards</w:t>
            </w:r>
          </w:p>
        </w:tc>
        <w:tc>
          <w:tcPr>
            <w:tcW w:w="5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Restricted stock issued and related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4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equity raise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acquisitions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4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27, 2026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6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21"/>
                <w:szCs w:val="21"/>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8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KRATOS DEFENSE &amp; SECURITY SOLUTIONS,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4"/>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8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lease right-of-use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93"/>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3"/>
        </w:trPr>
        <w:tc>
          <w:tcPr>
            <w:tcW w:w="7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Unbilled receivables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93"/>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Inventoried costs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93"/>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3"/>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Billings in excess of costs and earnings on uncompleted contracts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Income tax receivable and payable</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7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state grant for capital construction</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7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under credit facility and term loan</w:t>
            </w:r>
          </w:p>
        </w:tc>
        <w:tc>
          <w:tcPr>
            <w:tcW w:w="2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under finance leases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of employee taxes withheld from share-based awards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shares issued under equity plans</w:t>
            </w:r>
          </w:p>
        </w:tc>
        <w:tc>
          <w:tcPr>
            <w:tcW w:w="2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6"/>
        </w:trPr>
        <w:tc>
          <w:tcPr>
            <w:tcW w:w="7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w:t>
            </w: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 (excluding finance lease interest)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 obligation recognized</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 included in accounts payable and accrued expenses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3"/>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issuance for contingent acquisition consideration</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issuance for acquisition</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4"/>
        </w:trPr>
        <w:tc>
          <w:tcPr>
            <w:tcW w:w="7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references to the “Company” and “Kratos” refer to Kratos Defense &amp; Security Solutions, Inc., a Delaware corporation,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56" w:lineRule="exact"/>
        <w:rPr>
          <w:sz w:val="20"/>
          <w:szCs w:val="20"/>
          <w:color w:val="auto"/>
        </w:rPr>
      </w:pPr>
    </w:p>
    <w:p>
      <w:pPr>
        <w:ind w:firstLine="690"/>
        <w:spacing w:after="0" w:line="253" w:lineRule="auto"/>
        <w:rPr>
          <w:sz w:val="20"/>
          <w:szCs w:val="20"/>
          <w:color w:val="auto"/>
        </w:rPr>
      </w:pPr>
      <w:r>
        <w:rPr>
          <w:rFonts w:ascii="Times New Roman" w:cs="Times New Roman" w:eastAsia="Times New Roman" w:hAnsi="Times New Roman"/>
          <w:sz w:val="18"/>
          <w:szCs w:val="18"/>
          <w:color w:val="auto"/>
        </w:rPr>
        <w:t>The information as of September 27, 2026 and for the three and nine months ended September 27, 2026 and September 28, 2025 is unaudited. The condensed consolidated balance sheet as of December 28, 2025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generally accepted accounting principles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28, 2025, included in the Company’s Annual Report on Form 10-K filed with the U.S. Securities and Exchange Commission (the “SEC”) on February 23, 2026 (the “Form 10-K”). Interim operating results are not necessarily indicative of operating results expected in subsequent periods or for the year as a whole.</w:t>
      </w:r>
    </w:p>
    <w:p>
      <w:pPr>
        <w:spacing w:after="0" w:line="2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Principles of Consolidation</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100% owned subsidiaries. Investments in entities over which the Company has the ability to exercise significant influence, but not control, are accounted for under the equity method. All inter-company transactions have been eliminated in consolidation.</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Fiscal Year</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52/53 week fiscal year ending on the last Sunday of the calendar year. The three month periods ended September 27, 2026 and September 28, 2025 consisted of 13-week periods. There are 52 calendar weeks in the fiscal years ending on December 27, 2026 and December 28, 2025.</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Use of Estimates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estimates for the nine months ended September 27, 2026 as compared to the accounting estimates described in the Form 10-K.</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16"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The Company uses forward exchange contracts from time to time to manage foreign currency risks associated with certain transactions, specifically forecasted materials and salaries paid in foreign currencies. These derivative instruments are measured at fair value using observable market inputs such as foreign currency exchange rates and interest rates. Based on these inputs, the derivative instruments are classified within Level 2 of the valuation hierarchy. At September 27, 2026, the derivative instruments were included in other current assets and other long-term liabilities on the Company's condensed consolidated balance sheets. At December 28, 2025, the Company did not have any forward exchange contracts in place.</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had entered into an interest rate swap contract in order to mitigate the exposure to interest rate movements associated with the Company’s Term Loan A. On June 30, 2025, in anticipation of the extinguishment of all outstanding Term Loan A debt under the 2022 Credit Facility, the Company terminated this interest rate swap contract.</w:t>
      </w:r>
    </w:p>
    <w:p>
      <w:pPr>
        <w:spacing w:after="0" w:line="203"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and the related fair values of the Company’s derivative instruments measured at fair value on a recurring basis at September 27, 2026 and December 28, 2025 are presented in Note 14.</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9" w:name="page10"/>
    <w:bookmarkEnd w:id="9"/>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all financial instruments, including cash equivalents, accounts receivable, unbilled receivables, accounts payable, accrued expenses, billings in excess of cost and earnings on uncompleted contracts and income taxes payable, approximated their estimated fair values at September 27, 2026 and December 28, 2025 due to the short-term nature of these instruments.</w:t>
      </w:r>
    </w:p>
    <w:p>
      <w:pPr>
        <w:spacing w:after="0" w:line="199"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 Update (“ASU”) No. 2025-10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Government Grants Received by Business Entities </w:t>
      </w:r>
      <w:r>
        <w:rPr>
          <w:rFonts w:ascii="Times New Roman" w:cs="Times New Roman" w:eastAsia="Times New Roman" w:hAnsi="Times New Roman"/>
          <w:sz w:val="18"/>
          <w:szCs w:val="18"/>
          <w:color w:val="auto"/>
        </w:rPr>
        <w:t>(“ASU 2025-10”), which provides guidance on how companies should recognize, measure,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government grants. The new standard ASU 2025-10 is effective for annual and interim reporting periods beginning after December 15, 2028. It allows for a modified prospective, modified retrospective, or full retrospective approach. A cumulative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 adjustment to opening equity is required only when applying the modified retrospective transition method; the full retrospective approach requires restatement of prior periods, and the modified prospective approach does not require a cumulative-effect adjustment. Early adoption is permitted. The Company is currently evaluating the impact of the adoption of ASU 2025-10 on its consolidated financial position, results of operations and cash flows.</w:t>
      </w:r>
    </w:p>
    <w:p>
      <w:pPr>
        <w:spacing w:after="0" w:line="22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clarifies the applicability of Topic 270 and the form and content of interim financial statements. ASU 2025-11 requires entities to disclose material events occurring since the last annual reporting period. The amendments in this update are effective for fiscal years beginning after December 15, 2027, including interim periods within those fiscal years. Early adoption is permitted. The Company may apply the amendments either prospectively or retrospectively to all periods presented. The Company is currently evaluating the disclosure impact of ASU 2025-11; however, the standard is not expected to have a material impact on its consolidated financial position, results of operations, or cash flows.</w:t>
      </w:r>
    </w:p>
    <w:p>
      <w:pPr>
        <w:spacing w:after="0" w:line="209"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Targeted Improvements to the Accounting for Internal-Use Software (Subtopic 350-40)</w:t>
      </w:r>
      <w:r>
        <w:rPr>
          <w:rFonts w:ascii="Times New Roman" w:cs="Times New Roman" w:eastAsia="Times New Roman" w:hAnsi="Times New Roman"/>
          <w:sz w:val="18"/>
          <w:szCs w:val="18"/>
          <w:color w:val="auto"/>
        </w:rPr>
        <w:t xml:space="preserve"> (“ASU 2025-06”). ASU 2025-06 removes references to prescriptive software development stages and requires capitalization of internal-use software costs when it is probable that the software project will be completed and management has authorized and committed to funding the project. ASU 2025-06 is effective for the Company for fiscal years beginning after December 15, 2027, and interim periods within those fiscal years. The standard allows for prospective, modified prospective, or retrospective application to all periods presented. The Company is currently evaluating the impact of the adoption of ASU 2025-06 on its consolidated financial position, results of operations and cash flows.</w:t>
      </w:r>
    </w:p>
    <w:p>
      <w:pPr>
        <w:spacing w:after="0" w:line="20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i w:val="1"/>
          <w:iCs w:val="1"/>
          <w:color w:val="auto"/>
        </w:rPr>
        <w:t>, Income Statement (Topic 220):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the disclosure of amounts of purchases of inventory, employee compensation,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intangible asset amortization included in each relevant expense caption. It also requires companies to include certain amounts that are already required to be disclosed under current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will be effective for annual periods beginning after December 15, 2026 and interim periods beginning after December 15, 2027 with early adoption permitted. ASU 2024-03 may be applied on a prospective basis with the option to apply the standard retrospectively. The Company is currently evaluating the impact of the adoption of ASU 2024-03; however, the standard is only disclosure-based and is not expected to have an impact on the Company’s consolidated financial position, results of operations or cash flows.</w:t>
      </w:r>
    </w:p>
    <w:p>
      <w:pPr>
        <w:spacing w:after="0" w:line="21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September 27, 2026, are not expected to have a material effect on the Company’s consolidated financial position, results of operations and/or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Joint Venture Arrangements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26, 2025, the Company and RAFAEL Advanced Defense Systems, Ltd. (“RAFAEL”) announced an approximate 50/50 joint venture for the establishment of a U.S.-based merchant supplier of solid rocket motors (“SRMs”) and other energetics. The new joint venture, named Prometheus Energetics (“Prometheus”), will be headquartered on an approximately 500-acre site near the U.S. Navy and Army facility in Crane, Indiana. Kratos and RAFAEL (through its U.S. based subsidiary RAFAEL USA) have jointly committed up to a combined total of $175 million in capital for the establishment of Prometheus and required property, plant, equipment and personnel needed for the new, state-of-the-art SRM and energetics manufacturing campus and facilities.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 w:name="page11"/>
    <w:bookmarkEnd w:id="10"/>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After construction of the plant and once RAFAEL’s technology transfers are completed and certified for operations, Prometheus is projected to begin production of SRMs and energetics in 2028. As of the date of this Quarterly Report, the Company has incurred minimal amounts of expense related to the establishment of Prometheus and has contributed approximately $21.1 million in capital which is recorded in the Condensed Consolidated Balance Sheets as “Investment in joint venture” accounted for under the equity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Orbit Technologies Ltd.</w:t>
      </w:r>
    </w:p>
    <w:p>
      <w:pPr>
        <w:spacing w:after="0" w:line="24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November 4, 2025, the Company, Kratos Holdings U K Limited, a private limited company incorporated under the laws of England and Wales and an indirect wholly-owned subsidiary of the Company (“Kratos U K”), Kratos Acquisition Ltd., a company organized under the laws of the State of Israel and a direct wholly-owned subsidiary of Kratos U K (“Merger Sub”), and Orbit Technologies Ltd., a company organized under the laws of the State of Israel (“Orbit”), entered into an Agreement and Plan of Merger (the “Orbit Merger Agreement”), pursuant to which, on the terms and subject to the conditions set forth in the Orbit Merger Agreement, on March 2, 2026, Merger Sub merged with and into Orbit (the “Orbit Merger”), with Orbit continuing as the surviving corporation in the Orbit Merger as an indirect wholly-owned subsidiary of the Company and a direct subsidiary of Kratos U K. The Orbit Merger was completed on March 2, 2026. Prior to completion of the Orbit Merger, Orbit’s ordinary shares were publicly traded on the Tel Aviv Stock Exchange. The purchase price paid for 100 percent of the ordinary shares of Orbit was approximately $352.7 million in cash, which was funded via cash on the Company’s balance sheet. The purchase price was determined based on $13.725 for each Orbit ordinary share (the “Orbit Merger Consideration”), as set forth in the Orbit Merger Agreement. The acquired Orbit business is included in the KGS segment.</w:t>
      </w:r>
    </w:p>
    <w:p>
      <w:pPr>
        <w:spacing w:after="0" w:line="221"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Orbit is a leading global provider of mission-critical satellite-based communication systems for mobile and unmanned aerial, seaborne, undersea and land systems, military vehicles and other systems. Orbit provides its hardware, products, and systems to major air forces, traditional prime contractors and emerging new defense and space companies. Orbit’s customers are worldwide, including Israel, the United States, Europe and the Pacific region.</w:t>
      </w:r>
    </w:p>
    <w:p>
      <w:pPr>
        <w:spacing w:after="0" w:line="18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purchase price allocation remains preliminary as the valuation of identifiable intangible assets and the finalization of other acquired asset and liability balances are still in process. These items remain provisional while the Company obtains additional information relevant to determining their fair values. No material adjustments are expected. The operating results of this acquisition have been included in the Company’s results of operations from the effective acquisition date.</w:t>
      </w:r>
    </w:p>
    <w:p>
      <w:pPr>
        <w:spacing w:after="0" w:line="2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Orbit business with Kratos’ related products and customers.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Orbit business is as follows (in millions):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36"/>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0"/>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over the estimated fair values of the Orbit assets acquired and liabilities assumed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9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3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9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36"/>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1"/>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Based on the Company’s preliminary estimate of fair value as of March 2, 2026, the identifiable intangible assets include the amounts in the following table ($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4020" w:type="dxa"/>
            <w:vAlign w:val="bottom"/>
            <w:gridSpan w:val="2"/>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11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(SATCOM, EO and TT&amp;C)</w:t>
            </w:r>
          </w:p>
        </w:tc>
        <w:tc>
          <w:tcPr>
            <w:tcW w:w="368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(AMS)</w:t>
            </w:r>
          </w:p>
        </w:tc>
        <w:tc>
          <w:tcPr>
            <w:tcW w:w="36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68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1"/>
        </w:trPr>
        <w:tc>
          <w:tcPr>
            <w:tcW w:w="6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amounts of revenue and operating loss of the acquired Orbit business included in the Company’s consolidated statement of operations for the three months ended September 27, 2026 were $23.3 million and $1.9 million, respectively, and for the nine months ended September 27, 2026 were $58.0 million and $2.0 million, respectively.</w:t>
      </w:r>
    </w:p>
    <w:p>
      <w:pPr>
        <w:spacing w:after="0" w:line="162" w:lineRule="exact"/>
        <w:rPr>
          <w:sz w:val="20"/>
          <w:szCs w:val="20"/>
          <w:color w:val="auto"/>
        </w:rPr>
      </w:pPr>
    </w:p>
    <w:p>
      <w:pPr>
        <w:ind w:right="80" w:firstLine="648"/>
        <w:spacing w:after="0" w:line="221" w:lineRule="exact"/>
        <w:rPr>
          <w:sz w:val="20"/>
          <w:szCs w:val="20"/>
          <w:color w:val="auto"/>
        </w:rPr>
      </w:pPr>
      <w:r>
        <w:rPr>
          <w:rFonts w:ascii="Times New Roman" w:cs="Times New Roman" w:eastAsia="Times New Roman" w:hAnsi="Times New Roman"/>
          <w:sz w:val="18"/>
          <w:szCs w:val="18"/>
          <w:color w:val="auto"/>
        </w:rPr>
        <w:t>The value of customer relationships was estimated using the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excess earnings method (“MPEEM”), an income approach (Level 3), which converts projected revenues and costs into cash flows attributable solely to the acquired customer relationships. Consistent with this approach, returns on contributory assets, including working capital, fixed assets, assembled workforce, technology, and trademarks were deducted to isolate cash flows attributable to the relationships. These cash flows were discounted at a rate of 11.0%, resulting in an estimated fair value of $82.0 million for Orbit customer relationships. The value of developed technology was estimated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an income approach (Level 3), which measures the economic benefit derived from ownership of the technology rather than paying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 Royalty rates of 10.0% for SATCOM and 7.0% for EO &amp; TT&amp;C were applied to projected revenues and discounted at 11.0%, resulting in a combined fair value of $33.4 million. The value of the AMS developed technology was also estimated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applying a 7.0% royalty rate to projected revenues and discounting at 11.0%, resulting in a fair value of $18.5 million. The value of the Orbit trade name was also estimated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applying a 1.0% royalty rate to projected revenues and discounting at 11.0%, resulting in a fair value of $4.4 million. Significant unobservable inputs supporting these Level 3 valuations include royalty rates ranging from 1% to 10%,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relationship discount rates of 11.0%, and other assumptions consistent with the weighted average cost of capital developed for the acquisition.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The goodwill recorded in this transaction is not tax-deductible.</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Nomad Global Communication Solutions, Incorporated</w:t>
      </w:r>
    </w:p>
    <w:p>
      <w:pPr>
        <w:spacing w:after="0" w:line="24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February 11, 2026, the Company and the other parties thereto entered into an Agreement and Plan of Merger (the “Nomad Merger Agreement”) pursuant to which the Company acquired Nomad Global Communication Solutions, Incorporated, a Montana corporation (“Nomad”). The Nomad acquisition was consummated on February 11, 2026. Nomad is a company that focuses on the design and manufacture of connected mobile operations centers.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Nomad Merger Agreement, the purchase consideration consisted of (i) 972,136 shares of Kratos common stock with a fair value of</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$88.8 million issued on February 11, 2026 to the former Nomad shareholders in a private placement, and (ii) approximately $36.8 million in cash paid to extinguish certain of Nomad’s existing indebtedness and to fund other payments contractually required at closing in accordance with the acquisition agreement.</w:t>
      </w:r>
    </w:p>
    <w:p>
      <w:pPr>
        <w:spacing w:after="0" w:line="21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the transaction includes post-closing contingent consideration and holdback arrangements with the following terms, measured at acquisition-date fair value in accordance with ASC 805:</w:t>
      </w:r>
    </w:p>
    <w:p>
      <w:pPr>
        <w:spacing w:after="0" w:line="189" w:lineRule="exact"/>
        <w:rPr>
          <w:sz w:val="20"/>
          <w:szCs w:val="20"/>
          <w:color w:val="auto"/>
        </w:rPr>
      </w:pPr>
    </w:p>
    <w:p>
      <w:pPr>
        <w:ind w:left="660" w:hanging="328"/>
        <w:spacing w:after="0" w:line="269"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($10.0 million recognized amount): Corresponds to the contractual provision requiring the issuance of up to $10 million of additional shares of Kratos common stock upon the achievement of certain future financial performance metrics. This contingent consideration is classified as a liability and is subject to subsequent remeasurement through earnings at each reporting period until the contingencies are resolved. This contingent consideration is classified as a liability and is measured at fair value on a recurring basis using Level 3 unobservable inputs (primarily probability-weighted financial metrics). As of September 27, 2026, the estimated fair value of the liability remained</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$10.0 million, and any period-over-period remeasurement adjustments were immaterial.</w:t>
      </w:r>
    </w:p>
    <w:p>
      <w:pPr>
        <w:spacing w:after="0" w:line="233" w:lineRule="exact"/>
        <w:rPr>
          <w:rFonts w:ascii="Times New Roman" w:cs="Times New Roman" w:eastAsia="Times New Roman" w:hAnsi="Times New Roman"/>
          <w:sz w:val="17"/>
          <w:szCs w:val="17"/>
          <w:color w:val="auto"/>
        </w:rPr>
      </w:pPr>
    </w:p>
    <w:p>
      <w:pPr>
        <w:ind w:left="660" w:right="8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Tax, and Other Matters Holdback ($8.0 million recognized amount): Corresponds to holdback amounts set aside from the purchase price to satisfy potential post-closing adjustments or liabilities related to compliance, tax, and other specified matters. These amounts are held for potential claims by the Company against the sellers and are payable to the sellers or refundable to the Company upon resolution. During the nine months ended September 27, 2026, the Company issued $1.0 million of common stock in partial settlement of certain holdback matters that were satisfied. Accordingly, on April 17, 2026, the Company registered 14,768 shares with the SEC of Kratos common stock issued to the former Nomad shareholders on April 16, 2026 related to the settlement of $1.0 million of certain holdback matters.</w:t>
      </w:r>
    </w:p>
    <w:p>
      <w:pPr>
        <w:spacing w:after="0" w:line="214"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Holdback ($5.0 million recognized amount): Corresponds to holdback amounts designated for general post-closing indemnification claims. These funds are held for potential claims arising from breaches of representations or warranties and are payable to the sellers upon expiration of the holdback period, net of valid claims brought by the Company.</w:t>
      </w:r>
    </w:p>
    <w:p>
      <w:pPr>
        <w:spacing w:after="0" w:line="18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purchase price is subject to adjustment for net working capital and indebtedness, as defined in the Merger Agreement. Kratos granted the former shareholders of Nomad certain registration rights under the Nomad Merger Agreement and registered the 972,136 shares of Kratos common stock issued to the former Nomad shareholders on February 11, 2026 with the SEC on February 12, 2026. The Company and the former shareholders of Nomad are currently in discussions to settle the net working capital adjustments and expect to resolve any outstanding matters during the fourth quarter of 2026. The Company incurred approximately $1.1 million of acquisition-related costs in connection with the Nomad acquisition, which were expensed as incurred and recorded within Selling, general and administrative expenses. The acquired Nomad business is included in the KGS segment.</w:t>
      </w:r>
    </w:p>
    <w:p>
      <w:pPr>
        <w:spacing w:after="0" w:line="22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2026, the Company received the final valuation report from its external valuation experts and finalized the fair value of the tangible and identifiable intangible assets acquired and liabilities assumed. However, the overall purchase price allocation remains preliminary and subject to change during the measurement period (which will not exceed one year from the acquisition date). Specifically, the Company is still in the process of assessing and finalizing certain acquired tax positions and deferred taxes.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subsequent adjustments to these tax-related balances during the measurement period will result in a corresponding adjustment to 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any such adjustments to be material to its consolidated financial statements.</w:t>
      </w:r>
    </w:p>
    <w:p>
      <w:pPr>
        <w:spacing w:after="0" w:line="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Nomad business with Kratos’ related products and customers.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3" w:name="page14"/>
    <w:bookmarkEnd w:id="13"/>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Nomad business is as follows (in millions):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 contingent consideration</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Holdback - compliance, tax and other</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 indemnification escrow</w:t>
            </w:r>
          </w:p>
        </w:tc>
        <w:tc>
          <w:tcPr>
            <w:tcW w:w="17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17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
        </w:trPr>
        <w:tc>
          <w:tcPr>
            <w:tcW w:w="972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112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over the estimated fair values of the Nomad assets acquired and liabilities</w:t>
            </w: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assumed ($ in millions):</w:t>
            </w: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1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17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0"/>
        </w:trPr>
        <w:tc>
          <w:tcPr>
            <w:tcW w:w="97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identifiable intangible assets recognized in the Nomad acquisition are summarized as follows (in millions):</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97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7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700" w:type="dxa"/>
            <w:vAlign w:val="bottom"/>
            <w:tcBorders>
              <w:bottom w:val="single" w:sz="8" w:color="CCEEFF"/>
            </w:tcBorders>
          </w:tcPr>
          <w:p>
            <w:pPr>
              <w:jc w:val="center"/>
              <w:ind w:left="7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6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of revenue and operating loss of the Nomad acquisition included in the Company’s consolidated statement of operations for the three</w:t>
      </w:r>
    </w:p>
    <w:p>
      <w:pPr>
        <w:spacing w:after="0" w:line="2" w:lineRule="exact"/>
        <w:rPr>
          <w:sz w:val="20"/>
          <w:szCs w:val="20"/>
          <w:color w:val="auto"/>
        </w:rPr>
      </w:pPr>
    </w:p>
    <w:p>
      <w:pPr>
        <w:ind w:right="1000"/>
        <w:spacing w:after="0" w:line="226" w:lineRule="auto"/>
        <w:rPr>
          <w:sz w:val="20"/>
          <w:szCs w:val="20"/>
          <w:color w:val="auto"/>
        </w:rPr>
      </w:pPr>
      <w:r>
        <w:rPr>
          <w:rFonts w:ascii="Times New Roman" w:cs="Times New Roman" w:eastAsia="Times New Roman" w:hAnsi="Times New Roman"/>
          <w:sz w:val="18"/>
          <w:szCs w:val="18"/>
          <w:color w:val="auto"/>
        </w:rPr>
        <w:t>months ended September 27, 2026 were $20.4 million and $7.7 million, respectively, and for the nine months ended September 27, 2026 were $46.6 million and $10.8 million, respectively.</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4" w:name="page15"/>
    <w:bookmarkEnd w:id="14"/>
    <w:p>
      <w:pPr>
        <w:ind w:right="60" w:firstLine="648"/>
        <w:spacing w:after="0" w:line="222" w:lineRule="exact"/>
        <w:rPr>
          <w:sz w:val="20"/>
          <w:szCs w:val="20"/>
          <w:color w:val="auto"/>
        </w:rPr>
      </w:pPr>
      <w:r>
        <w:rPr>
          <w:rFonts w:ascii="Times New Roman" w:cs="Times New Roman" w:eastAsia="Times New Roman" w:hAnsi="Times New Roman"/>
          <w:sz w:val="18"/>
          <w:szCs w:val="18"/>
          <w:color w:val="auto"/>
        </w:rPr>
        <w:t>The value of customer relationships was estimated using the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excess earnings method (“MPEEM”), an income approach (Level 3), which converts projected revenues and costs into cash flows attributable solely to the acquired customer relationships. Consistent with this approach, returns on contributory assets, including working capital, fixed assets, assembled workforce, technology, and trademarks were deducted to isolate cash flows attributable to the relationships. These cash flows were discounted at a rate of 13.5%, resulting in an estimated fair value of $46.0 million for Nomad customer relationships. The value of developed technology was estimated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an income approach (Level 3), which measures the economic benefit derived from ownership of the technology rather than paying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 A royalty rate of 4.0% was applied to projected revenues and discounted at 13.5%, resulting in a fair value of $21.0 million. The value of the Nomad trade name was also estimated using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applying a 1.0% royalty rate to projected revenues and discounting at 13.5%, resulting in a fair value of $0.9 million. Significant unobservable inputs supporting these Level 3 valuations include royalty rates ranging from 1% to 4%,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relationship discount rates of 13.5%, and other assumptions consistent with the weighted average cost of capital developed for the acquisition.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goodwill recorded in this transaction is not tax-deductible.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 Forma Financial Information (Unaudited)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supplemental condensed consolidated statements of operations information on an unaudited pro forma basis as if the acquisitions of Orbit and Nomad occurred on December 30, 2024 and include adjustments that were directly attributable to the Orbit and Nomad acquisition transactions. There are no material, nonrecurring pro forma adjustments directly attributable to the business combination included in the reported pro forma revenue and income. The pro forma results are for illustrative purposes only for the applicable period and do not purport to be indicative of the actual results that would have occurred had the applicable transaction been completed as of the beginning of the period, nor are they indicative of results of operations that may occur in the future.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27, 2026 and September 28, 2025 (all amounts, except per share amounts, are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38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53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00" w:type="dxa"/>
            <w:vAlign w:val="bottom"/>
          </w:tcPr>
          <w:p>
            <w:pPr>
              <w:spacing w:after="0"/>
              <w:rPr>
                <w:sz w:val="16"/>
                <w:szCs w:val="16"/>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5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revenues</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471.8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w:t>
            </w:r>
          </w:p>
        </w:tc>
      </w:tr>
      <w:tr>
        <w:trPr>
          <w:trHeight w:val="20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 forma net income before tax</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7"/>
                <w:szCs w:val="17"/>
                <w:color w:val="auto"/>
              </w:rPr>
            </w:pP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net income (loss)</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70"/>
        </w:trPr>
        <w:tc>
          <w:tcPr>
            <w:tcW w:w="5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pro forma income (loss) per share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0"/>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pro forma income (loss) per share</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bl>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Norden Millimeter, Inc.</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Included in these Assumed Liabilities was a contingent bonus liability of</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$5.0 million payable to certain former employees of Norden. Approximately $4.0 million of the contingent bonus liability has been reduced as of September 27, 2026 as the amounts were not earned or the probability of attainment was deemed improbable. Approximately $2.0 million was reduced in the quarter ended March 29, 2026 and $2.0 million was reduced in the quarter ended September 27, 2026. Kratos granted Norden certain registration rights under the Asset Purchase Agreement and registered the 1,095,674 shares with the SEC on February 7, 2025. The Purchased Assets and Assumed Liabilities are included in the KGS segment.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operating results of this acquisition have been included in the Company’s results of operations from the effective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5" w:name="page16"/>
    <w:bookmarkEnd w:id="15"/>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assets with Kratos’ related products and customers.</w:t>
      </w:r>
    </w:p>
    <w:p>
      <w:pPr>
        <w:spacing w:after="0" w:line="20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acquisition has been accounted for using the acquisition method of accounting, which requires, among other things, that the identifiable assets acquired and the liabilities assumed be recognized at their fair values as of the acquisition date. These fair value measurements are based primarily on significant inputs not observable in the marketplace and thus represent Level 3 measurements.</w:t>
      </w:r>
    </w:p>
    <w:p>
      <w:pPr>
        <w:spacing w:after="0" w:line="20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over the estimated fair values of the Norden assets acquired and liabilities assumed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Inventoried costs, net</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9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7"/>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identifiable intangible assets as of February 4, 2025 included customer relationships of $5.8 million with a useful life of 10 years, contracts and backlog of $1.4 million with a useful life of 2 years, developed technology of $1.4 million with a useful life of 5 years, trade names of $0.6 million with a useful life of 7 years, and a non-compete agreement valued at $0.5 million with a useful life of 5 years. The goodwill recorded in this transaction is expected to be tax-deductible.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7.5% to determine the fair value referred to above. The value of contracts and backlog referred to above was also estimated using MPEEM. The value of developed technology referred to above was estimated using the relief-from 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developed technology intangible asset to determine the amount of savings, which was discounted at a rate of 8.8% to determine the fair value. The value of trade names referred to above was also estimated using the relief-from royalty method. A royalty rate was applied to the projected revenues associated with the trade names intangible asset to determine the amount of savings, which was discounted at a rate of 8.8% to determine the fair value referred to above. Quantitative information about significant unobservable inputs utilized to measure the fair value of Level 3 assets includes a range of discount rates from 6% to 12% and a weighted average discount rate of 8.8%.</w:t>
      </w:r>
    </w:p>
    <w:p>
      <w:pPr>
        <w:spacing w:after="0" w:line="21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amounts of revenue and operating loss of the acquired Norden assets included in the Company’s consolidated statement of operations for the three months ended September 28, 2025 were $6.3 million and $(0.2) million, respectively. The amounts of revenue and operating income of the acquired Norden assets included in the Company’s consolidated statement of operations for the nine months ended September 28, 2025 were $17.0 million and $2.4 million,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the consideration paid for the acquired assets is as follows (in millions):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9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and cash paid</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Holdback, net of $1.1 million purchase price adjustment</w:t>
            </w:r>
          </w:p>
        </w:tc>
        <w:tc>
          <w:tcPr>
            <w:tcW w:w="6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adopted the FASB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incremental costs of obtaining a contract, primarily sales commissions, and certain costs to fulfill a contract when such costs are expected to be recovered. These costs are recorded within Other Current Assets or Other Assets on the Condensed Consolidated Balance Sheets. As of September 27, 2026, these assets were not expected to have a material effect on the Company’s consolidated financial position, results of operations and/or cash flows. The Company amortizes these costs on a systematic basis consistent with the transfer of control of the related goods or services. The Company also applies the practical expedient to expense the incremental costs of obtaining a contract when the expected amortization period is one year or less.</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43"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The Company calculates revenues from remaining performance obligations based on the transaction price on executed contracts as of the measurement date. On September 27, 2026, the Company had approximately $2.650 billion of remaining performance obligations. The Company expects to recognize approximately 16% of the remaining performance obligations as revenue in fiscal year 2026, an additional 50% in fiscal year 2027, and the balance thereafter.</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wages and prices for materials and related support cost allocations), execution by subcontractors, the availability and timing of funding from customers and overhead cost rates, among other variables.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EAC process, any quarterly adjustments to revenues, cost of sales, and any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nine-month periods ended September 27, 2026, and September 28, 2025. Likewise, total cumulative catch-up adjustments were not material for the three and nine-month periods ended September 27, 2026, and September 28, 2025.</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ind w:right="240"/>
        <w:spacing w:after="0" w:line="282" w:lineRule="auto"/>
        <w:rPr>
          <w:sz w:val="20"/>
          <w:szCs w:val="20"/>
          <w:color w:val="auto"/>
        </w:rPr>
      </w:pPr>
      <w:r>
        <w:rPr>
          <w:rFonts w:ascii="Times New Roman" w:cs="Times New Roman" w:eastAsia="Times New Roman" w:hAnsi="Times New Roman"/>
          <w:sz w:val="18"/>
          <w:szCs w:val="18"/>
          <w:color w:val="auto"/>
        </w:rPr>
        <w:t>financing component as any advance payments received are generally utilized to pay for contract costs within a one-year period or are used to ensure the customer meets contractual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contract assets and liabilities are as follows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239"/>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37"/>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62"/>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Contract assets increased $161.9 million during the nine months ended September 27, 2026, primarily due to higher unbilled receivables, net, including the impact of the recent acquisitions of Nomad and Orbit. There were no significant impairment losses related to any receivables or contract assets arising from the Company’s contracts with customers during the nine months ended September 27, 2026. Contract liabilities increased $21.3 million during the nine months ended September 27, 2026, primarily due to the impact of the recent acquisitions of Nomad and Orbit. For the three and nine months ended September 27, 2026, the Company recognized revenue of $7.7 million and $55.5 million, respectively, that was previously included in the contract liabilities that existed at December 28, 2025. For the three and nine months ended September 28, 2025, the Company recognized revenue of $8.8 million and $61.0 million, respectively, that was previously included in the contract liabilities that existed at December 29, 2024.</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 For the majority of contracts, revenue is recognized over time as work is performed on the contract.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contract type was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0" w:type="dxa"/>
            <w:vAlign w:val="bottom"/>
          </w:tcPr>
          <w:p>
            <w:pPr>
              <w:spacing w:after="0"/>
              <w:rPr>
                <w:sz w:val="16"/>
                <w:szCs w:val="16"/>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Kratos Government Solutions (KGS)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4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43"/>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7"/>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2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 (US)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plus fee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and materials</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61"/>
        </w:trPr>
        <w:tc>
          <w:tcPr>
            <w:tcW w:w="5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Revenue by customer was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0" w:type="dxa"/>
            <w:vAlign w:val="bottom"/>
          </w:tcPr>
          <w:p>
            <w:pPr>
              <w:spacing w:after="0"/>
              <w:rPr>
                <w:sz w:val="16"/>
                <w:szCs w:val="16"/>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 (KGS)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50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r>
      <w:tr>
        <w:trPr>
          <w:trHeight w:val="243"/>
        </w:trPr>
        <w:tc>
          <w:tcPr>
            <w:tcW w:w="50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43"/>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37"/>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2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Unmanned Systems (US)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50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U.S. Government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43"/>
        </w:trPr>
        <w:tc>
          <w:tcPr>
            <w:tcW w:w="50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3"/>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7"/>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Unmanned Systems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6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right="2100" w:firstLine="8"/>
        <w:spacing w:after="0" w:line="345" w:lineRule="auto"/>
        <w:tabs>
          <w:tab w:leader="none" w:pos="1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62" w:lineRule="exact"/>
        <w:rPr>
          <w:rFonts w:ascii="Times New Roman" w:cs="Times New Roman" w:eastAsia="Times New Roman" w:hAnsi="Times New Roman"/>
          <w:sz w:val="16"/>
          <w:szCs w:val="16"/>
          <w:color w:val="auto"/>
          <w:vertAlign w:val="superscript"/>
        </w:rPr>
      </w:pPr>
    </w:p>
    <w:p>
      <w:pPr>
        <w:ind w:right="2040" w:firstLine="8"/>
        <w:spacing w:after="0" w:line="287" w:lineRule="auto"/>
        <w:tabs>
          <w:tab w:leader="none" w:pos="15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Geographic Area was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92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4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20" w:type="dxa"/>
            <w:vAlign w:val="bottom"/>
          </w:tcPr>
          <w:p>
            <w:pPr>
              <w:spacing w:after="0"/>
              <w:rPr>
                <w:sz w:val="16"/>
                <w:szCs w:val="16"/>
                <w:color w:val="auto"/>
              </w:rPr>
            </w:pP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r>
      <w:tr>
        <w:trPr>
          <w:trHeight w:val="32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North America</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2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302"/>
        </w:trPr>
        <w:tc>
          <w:tcPr>
            <w:tcW w:w="5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22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carrying amounts of goodwill as of September 27, 2026 and December 28, 2025 by reportable segment are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27,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968.2</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r>
      <w:tr>
        <w:trPr>
          <w:trHeight w:val="24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239.5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5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728.7</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0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710.4</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8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239.5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470.9</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preliminary goodwill (in millions):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70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KGS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24"/>
                <w:szCs w:val="24"/>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28, 2025</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470.9</w:t>
            </w: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Orbit Technologies, Ltd.</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Nomad Global Communication Solutions, Incorporated.</w:t>
            </w:r>
          </w:p>
        </w:tc>
        <w:tc>
          <w:tcPr>
            <w:tcW w:w="8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September 27, 2026</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728.7</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tab/>
        <w:t>Purchased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for finite-lived and indefinite-lived intangible assets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September 27, 2026</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As of December 28, 2025</w:t>
            </w:r>
          </w:p>
        </w:tc>
        <w:tc>
          <w:tcPr>
            <w:tcW w:w="92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44"/>
        </w:trPr>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253"/>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02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2"/>
                <w:szCs w:val="12"/>
                <w:color w:val="auto"/>
              </w:rPr>
            </w:pPr>
          </w:p>
        </w:tc>
        <w:tc>
          <w:tcPr>
            <w:tcW w:w="880" w:type="dxa"/>
            <w:vAlign w:val="bottom"/>
          </w:tcPr>
          <w:p>
            <w:pPr>
              <w:jc w:val="right"/>
              <w:ind w:right="273"/>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920" w:type="dxa"/>
            <w:vAlign w:val="bottom"/>
          </w:tcPr>
          <w:p>
            <w:pPr>
              <w:jc w:val="right"/>
              <w:ind w:right="393"/>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95"/>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3"/>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Contracts and backlog</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89"/>
        </w:trPr>
        <w:tc>
          <w:tcPr>
            <w:tcW w:w="35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Developed technology and technical know-</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how</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Consolidated amortization expense related to intangible assets subject to amortization was $11.0 million and $2.5 million for the three months ended September 27, 2026 and September 28, 2025, respectively, and $26.9 million and $7.4 million for the nine months ended September 27, 2026 and September 28, 2025, respectively.</w:t>
      </w:r>
    </w:p>
    <w:p>
      <w:pPr>
        <w:spacing w:after="0" w:line="9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acquired intangible assets with finite lives for the remainder of 2026 and the next five fiscal years, and thereafter as of September 27, 2026 is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6"/>
        </w:trPr>
        <w:tc>
          <w:tcPr>
            <w:tcW w:w="9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0"/>
        </w:trPr>
        <w:tc>
          <w:tcPr>
            <w:tcW w:w="9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5. Inventoried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Inventoried costs, net, consisted of the following components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240"/>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inventoried costs,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Net Income per Common Share</w:t>
      </w:r>
    </w:p>
    <w:p>
      <w:pPr>
        <w:spacing w:after="0" w:line="227"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calculates net income per share in accordance with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Topic 260, basic net income per common share is calculated by dividing net income by the weighted-average number of common shares outstanding during the reporting period. Diluted net income per common share reflects the effects of potentially dilutive securities.</w:t>
      </w:r>
    </w:p>
    <w:p>
      <w:pPr>
        <w:spacing w:after="0" w:line="202"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Shares excluded from the calculation of diluted net loss per share because their inclusion would have been anti-dilutive were 1.4 million for the three months ended September 27, 2026. Diluted net income per share for the nine months ended September 27, 2026 included the dilutive effect of an aggregate of 1.9 million shares of the Company’s common stock granted to employees under stock-based compensation plans. Diluted net income per share for the three and nine months ended September 28, 2025 included the dilutive effect of an aggregate of 2.5 million and 2.2 million shares, respectively, of the Company’s common stock granted to employees under stock-based compensation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2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Variable lease payments are generally expensed as incurred. The Company did not incur material variable lease payments for the periods presented. Leases with an initial term of 12 months or less are not recorded on the balance sheet, and the expense for these short-term leases is recognized on a straight-line basis over the lease term.</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2" w:name="page23"/>
    <w:bookmarkEnd w:id="22"/>
    <w:p>
      <w:pPr>
        <w:ind w:left="180"/>
        <w:spacing w:after="0"/>
        <w:rPr>
          <w:sz w:val="20"/>
          <w:szCs w:val="20"/>
          <w:color w:val="auto"/>
        </w:rPr>
      </w:pPr>
      <w:r>
        <w:rPr>
          <w:rFonts w:ascii="Times New Roman" w:cs="Times New Roman" w:eastAsia="Times New Roman" w:hAnsi="Times New Roman"/>
          <w:sz w:val="18"/>
          <w:szCs w:val="18"/>
          <w:color w:val="auto"/>
        </w:rPr>
        <w:t>The components of lease expense were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7"/>
          </w:tcPr>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200" w:type="dxa"/>
            <w:vAlign w:val="bottom"/>
          </w:tcPr>
          <w:p>
            <w:pPr>
              <w:spacing w:after="0"/>
              <w:rPr>
                <w:sz w:val="16"/>
                <w:szCs w:val="16"/>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 - finance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7"/>
              </w:rPr>
              <w:t>1.1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20"/>
                <w:szCs w:val="20"/>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 - finance leases</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left="1113"/>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7"/>
              </w:rPr>
              <w:t>3.8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left="1113"/>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ind w:left="1073"/>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center"/>
              <w:ind w:left="1113"/>
              <w:spacing w:after="0"/>
              <w:rPr>
                <w:sz w:val="20"/>
                <w:szCs w:val="20"/>
                <w:color w:val="auto"/>
              </w:rPr>
            </w:pPr>
            <w:r>
              <w:rPr>
                <w:rFonts w:ascii="Times New Roman" w:cs="Times New Roman" w:eastAsia="Times New Roman" w:hAnsi="Times New Roman"/>
                <w:sz w:val="18"/>
                <w:szCs w:val="18"/>
                <w:color w:val="auto"/>
                <w:w w:val="97"/>
              </w:rPr>
              <w:t>6.3</w:t>
            </w:r>
          </w:p>
        </w:tc>
        <w:tc>
          <w:tcPr>
            <w:tcW w:w="12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bottom w:val="single" w:sz="8" w:color="auto"/>
            </w:tcBorders>
          </w:tcPr>
          <w:p>
            <w:pPr>
              <w:spacing w:after="0"/>
              <w:rPr>
                <w:sz w:val="20"/>
                <w:szCs w:val="20"/>
                <w:color w:val="auto"/>
              </w:rPr>
            </w:pPr>
          </w:p>
        </w:tc>
      </w:tr>
      <w:tr>
        <w:trPr>
          <w:trHeight w:val="21"/>
        </w:trPr>
        <w:tc>
          <w:tcPr>
            <w:tcW w:w="39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55"/>
        </w:trPr>
        <w:tc>
          <w:tcPr>
            <w:tcW w:w="75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components of leases on the balance sheet were as follows (in millions):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8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3"/>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21"/>
                <w:szCs w:val="21"/>
                <w:color w:val="auto"/>
              </w:rPr>
            </w:pPr>
          </w:p>
        </w:tc>
      </w:tr>
      <w:tr>
        <w:trPr>
          <w:trHeight w:val="243"/>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1"/>
                <w:szCs w:val="21"/>
                <w:color w:val="auto"/>
              </w:rPr>
            </w:pPr>
          </w:p>
        </w:tc>
      </w:tr>
      <w:tr>
        <w:trPr>
          <w:trHeight w:val="243"/>
        </w:trPr>
        <w:tc>
          <w:tcPr>
            <w:tcW w:w="4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1"/>
                <w:szCs w:val="2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21"/>
                <w:szCs w:val="21"/>
                <w:color w:val="auto"/>
              </w:rPr>
            </w:pPr>
          </w:p>
        </w:tc>
      </w:tr>
      <w:tr>
        <w:trPr>
          <w:trHeight w:val="243"/>
        </w:trPr>
        <w:tc>
          <w:tcPr>
            <w:tcW w:w="3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r>
      <w:tr>
        <w:trPr>
          <w:trHeight w:val="243"/>
        </w:trPr>
        <w:tc>
          <w:tcPr>
            <w:tcW w:w="3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1"/>
                <w:szCs w:val="2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420" w:type="dxa"/>
            <w:vAlign w:val="bottom"/>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80" w:type="dxa"/>
            <w:vAlign w:val="bottom"/>
          </w:tcPr>
          <w:p>
            <w:pPr>
              <w:spacing w:after="0"/>
              <w:rPr>
                <w:sz w:val="16"/>
                <w:szCs w:val="16"/>
                <w:color w:val="auto"/>
              </w:rPr>
            </w:pPr>
          </w:p>
        </w:tc>
        <w:tc>
          <w:tcPr>
            <w:tcW w:w="15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financing cash flows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189"/>
        </w:trPr>
        <w:tc>
          <w:tcPr>
            <w:tcW w:w="3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 operating cash flows (fixed</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Other supplemental noncash information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68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80" w:type="dxa"/>
            <w:vAlign w:val="bottom"/>
          </w:tcPr>
          <w:p>
            <w:pPr>
              <w:spacing w:after="0"/>
              <w:rPr>
                <w:sz w:val="16"/>
                <w:szCs w:val="16"/>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 lease liabilities arising from obtaining</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Finance lease liabilities arising from obtaining</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21"/>
                <w:szCs w:val="21"/>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0" w:type="dxa"/>
            <w:vAlign w:val="bottom"/>
          </w:tcPr>
          <w:p>
            <w:pPr>
              <w:spacing w:after="0"/>
              <w:rPr>
                <w:sz w:val="1"/>
                <w:szCs w:val="1"/>
                <w:color w:val="auto"/>
              </w:rPr>
            </w:pPr>
          </w:p>
        </w:tc>
      </w:tr>
      <w:tr>
        <w:trPr>
          <w:trHeight w:val="23"/>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3"/>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43"/>
        </w:trPr>
        <w:tc>
          <w:tcPr>
            <w:tcW w:w="3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634"/>
        </w:trPr>
        <w:tc>
          <w:tcPr>
            <w:tcW w:w="56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maturity of lease liabilities is as follows (in millions):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54"/>
        <w:spacing w:after="0" w:line="215"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nine months ended September 27, 2026.</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and the effective income tax rate are as follows ($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4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6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state and foreign income tax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r>
    </w:tbl>
    <w:p>
      <w:pPr>
        <w:spacing w:after="0" w:line="30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(ETR) for the three months ended September 27, 2026 increased to a provision of 104.3% from a provision of 26.9% in the prior year period. The increase was primarily due to the jurisdictional mix of earnings and $1.0 million less discrete tax benefits for stock compensation related items. The provision for income taxes for the three months ended September 27, 2026 and the three months ended September 28, 2025 included a benefit of $0.2 million and $1.2 million, respectively, for stock compensation related items.</w:t>
      </w:r>
    </w:p>
    <w:p>
      <w:pPr>
        <w:spacing w:after="0" w:line="207"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(ETR) for the nine months ended September 27, 2026 decreased to a provision of 24.8% from a provision of 26.4% in the prior year period principally due to increased tax benefits related to stock-based compensation. The provision for income taxes for the nine months ended September 27, 2026 and the nine months ended September 28, 2025 includes a benefit of $9.2 million and $3.4 million, respectively, for stock compensation related items.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its interim income tax provision in accordance with ASC Topic 270, “Interim Reporting,” and ASC Topic 740, “Accounting for Income Taxes.” The Company calculated the provision for income taxes during the interim reporting period by applying an estimate of the annual effective tax rate for the full fiscal year to “ordinary” income or loss (pretax income or loss excluding unusual or infrequently occurring discrete items) for the reporting period.</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September 27, 2026, the Company had $28.8 million of unrecognized tax benefits. Included in the balance of unrecognized tax benefits at September 27, 2026 are $23.6 million that, if recognized, would impact the Company’s effective income tax rate.</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its provision for income taxes. For the nine months ended September 27, 2026 and September 28, 2025, the Company recorded $0.5 million and $0.2 million expense, respectively, related to the increase in interest and penalties. For the nine months ended September 27, 2026 and September 28, 2025, there was no material benefit recorded related to the removal of interest and penalties.</w:t>
      </w:r>
    </w:p>
    <w:p>
      <w:pPr>
        <w:spacing w:after="0" w:line="207"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w:t>
      </w:r>
    </w:p>
    <w:p>
      <w:pPr>
        <w:spacing w:after="0" w:line="1" w:lineRule="exact"/>
        <w:rPr>
          <w:sz w:val="20"/>
          <w:szCs w:val="20"/>
          <w:color w:val="auto"/>
        </w:rPr>
      </w:pPr>
    </w:p>
    <w:p>
      <w:pPr>
        <w:jc w:val="both"/>
        <w:ind w:firstLine="8"/>
        <w:spacing w:after="0" w:line="255"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OECD issued new administrative guidance on January 5, 2026, with respect to Pillar 2 which modifies key aspects of the framework for countries to enact in their own laws. This new guidance reaffirms we do not expect Pillar 2 to have a material impact on our effective tax rate or our financial results or cash flows.</w:t>
      </w:r>
    </w:p>
    <w:p>
      <w:pPr>
        <w:spacing w:after="0" w:line="21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U.S. based research and development expenditures under Internal Revenue Code (IRC) Section 174 (reinstating full expensing beginning in 2025), extension of bonus depreciation, and revisions to international tax regimes. The Company recognized the income tax effects of the OBBBA in the quarter it was enacted, and continues to recognize the tax effects, which were not material, in its quarter ended September 27,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with a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11. The Company incurred a loss on the extinguishment of the debt of $0.5 million during the three months ended September 28, 2025 related to the write-off of unamortized debt issuance costs. The undrawn $200 million revolving credit facility under the 2022 Credit Facility remained active and available to the Company through the February 20, 2026 refinancing described below.</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was governed by a Credit Agreement (the “2022 Credit Agreement”), which established a five-year senior secured credit facility which was comprised of a $200 million Revolving Credit Facility (which included sub-facilities for the incurrence of up to $10.0 million of swingline loans and the issuance of up to $50.0 million of Letters of Credit) and the $200 million Term Loan A. The 2022 Credit Agreement contemplated uncommitted incremental credit facilities of up to $200 million (which amount would be reduced by the aggregate amount of any and all incremental credit facilities actually established under the 2022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could take the form of base rate loans or Secured Overnight Financing Rate (“SOFR”) loans. Base rate loans under the 2022 Credit Agreement bore interest at a rate per annum equal to the sum of the Applicable Margin (as defined in the Credit Agreement) from time to time in effect plus the highest of (i) the Agent’s (as defined in the 2022 Credit Agreement) prime lending rate, as in effect at such time, (ii) the Federal Funds Rate (as defined in the 2022 Credit Agreement), as in effect at such time, plus 0.50%, (iii) the Adjusted Term SOFR (as defined in the 2022 Credit Agreement) for a one-month tenor in effect on such day, plus 1.00% and (iv) 1.00%. SOFR loans will bear interest at a rate per annum equal to the sum of the Applicable Margin from time to time in effect plus the Adjusted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Term SOFR for an Interest Period (as defined in the 2022 Credit Agreement) selected by the Company of one, three or six months. The Applicable Margin varied between 1.25% and 2.25% per annum for SOFR loans and between 0.25% and 1.25% per annum for base rate loans, and is based on the Company’s total net leverage ratio from time to time.</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contained certain covenants, which included, but were not limited to, restrictions on indebtedness, liens, fundamental changes, restricted payments, asset sales, and investments, and placed limits on various other payments.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amortized in accordance with Term Loan A. The swap was at a fixed rate of one-month term SOFR of 3.721% and settled monthly on the last day of each calendar month. The swap had an effective date of May 1, 2023 and was scheduled to terminate on May 1, 2026. On June 30, 2025, in anticipation of the extinguishment of Term Loan A, the Company terminated the swap. The Company received a payment of approximately $0.3 million representing the termination value of the swap. Refer to Note 14 for further discussion of the accounting treatment of the swap arrangement.</w:t>
      </w:r>
    </w:p>
    <w:p>
      <w:pPr>
        <w:spacing w:after="0" w:line="21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the Company completed the refinancing of its 2022 Credit Facility with a new 5-year $300 million Revolving Credit Facility described below. There were no outstanding borrowings under the 2022 Credit Facility subsequent to the repayment in full of the Term Loan A under the 2022 Credit Facility on July 2, 2025. The outstanding letters of credit under the 2022 Credit Facility were transferred to the 2026 Credit Agreement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2026 Credit Facility</w:t>
      </w:r>
    </w:p>
    <w:p>
      <w:pPr>
        <w:spacing w:after="0" w:line="256" w:lineRule="exact"/>
        <w:rPr>
          <w:sz w:val="20"/>
          <w:szCs w:val="20"/>
          <w:color w:val="auto"/>
        </w:rPr>
      </w:pPr>
    </w:p>
    <w:p>
      <w:pPr>
        <w:ind w:right="2120" w:firstLine="648"/>
        <w:spacing w:after="0" w:line="253" w:lineRule="auto"/>
        <w:rPr>
          <w:sz w:val="20"/>
          <w:szCs w:val="20"/>
          <w:color w:val="auto"/>
        </w:rPr>
      </w:pPr>
      <w:r>
        <w:rPr>
          <w:rFonts w:ascii="Times New Roman" w:cs="Times New Roman" w:eastAsia="Times New Roman" w:hAnsi="Times New Roman"/>
          <w:sz w:val="18"/>
          <w:szCs w:val="18"/>
          <w:color w:val="auto"/>
        </w:rPr>
        <w:t>On February 20, 2026, the Company entered into a Credit Agreement (the “2026 Credit Agreement”), by and among the Company, the guarantors from time to time party thereto, the lenders from time to time party thereto (the “Lenders”), and PNC Bank, National Association (the “Administrative Agent”), in its capacity as administrative agent, and as swingline loan lender and issuing lender. The 2026 Credit Agreement establishes a five-year senior secured credit facility which is comprised of a $300 million revolving credit facility (which includes sub-facilities for the incurrence of up to $35.0 million of swingline loans and the issuance of up to $50.0 million of Letters of Credit). Letters of credit outstanding under the 2022 Credit Agreement have been transferred to the 2026 Credit Agreement. The 2026 Credit Agreement contemplates uncommitted</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incremental credit facilities of up to $135.0 million. The Company incurred $1.4 million of debt issuance costs associated with the 2026 Credit Agreement. As of September 27, 2026, the Company has no amounts outstanding under the Revolving Credit Facility, with $300.0 million remaining in borrowing capacity, less approximately $1.5 million of domestic letters of credit outstanding. Foreign letters of credit outstanding of $29.0 million do not impact the availability of the Revolving Credit Facility.</w:t>
      </w:r>
    </w:p>
    <w:p>
      <w:pPr>
        <w:spacing w:after="0" w:line="21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spacing w:after="0" w:line="207" w:lineRule="exact"/>
        <w:rPr>
          <w:sz w:val="20"/>
          <w:szCs w:val="20"/>
          <w:color w:val="auto"/>
        </w:rPr>
      </w:pPr>
    </w:p>
    <w:p>
      <w:pPr>
        <w:ind w:right="200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may take the form of base rate loans or SOFR loans. Base rate loans under the 2026 Credit Agreement will bear interest at a rate per annum equal to the sum of the Applicable Margin (as defined in the 2026 Credit Agreement) from time to time in effect plus the highest of (i) the Overnight Bank Funding Rate (as defined in the 2026 Credit Agreement), as in effect at such time, plus 0.50%, (ii) the Administrative Agent’s prime lending rate, as in effect at such time, and (iii) the Daily Simple SOFR (as defined in the 2026 Credit Agreement) plus 1.00%, so long as Daily</w:t>
      </w:r>
    </w:p>
    <w:p>
      <w:pPr>
        <w:spacing w:after="0" w:line="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Simple SOFR is offered, ascertainable and not unlawful. SOFR loans will bear interest at a rate per annum equal to the sum of the Applicable Margin from time to time in effect plus the Term SOFR Rate for an Interest Period (as defined in the 2026 Credit Agreement) selected by the Company of one (1), three</w:t>
      </w:r>
    </w:p>
    <w:p>
      <w:pPr>
        <w:ind w:right="18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six (6) months. The Applicable Margin varies between 1.00% and 2.00% per annum for SOFR loans and between 0.00% and 1.00% per annum for base rate loans, and is based on the Company’s total net leverage ratio from time to time.</w:t>
      </w:r>
    </w:p>
    <w:p>
      <w:pPr>
        <w:spacing w:after="0" w:line="20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2026 Credit Agreement contains certain covenants, which include, but are not limited to, restrictions on indebtedness, liens, fundamental changes, restricted payments, asset sales, and investments, and places limits on various other payments.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Events of default under the terms of the 2026 Credit Agreement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ind w:left="760" w:hanging="104"/>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principal of any loans in full when due and payable;</w:t>
      </w:r>
    </w:p>
    <w:p>
      <w:pPr>
        <w:spacing w:after="0" w:line="252" w:lineRule="exact"/>
        <w:rPr>
          <w:rFonts w:ascii="Times New Roman" w:cs="Times New Roman" w:eastAsia="Times New Roman" w:hAnsi="Times New Roman"/>
          <w:sz w:val="18"/>
          <w:szCs w:val="18"/>
          <w:color w:val="auto"/>
        </w:rPr>
      </w:pPr>
    </w:p>
    <w:p>
      <w:pPr>
        <w:ind w:right="2320" w:firstLine="656"/>
        <w:spacing w:after="0" w:line="282" w:lineRule="auto"/>
        <w:tabs>
          <w:tab w:leader="none" w:pos="7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interest on any loan or any fee or other amount payable under the 2026 Credit Agreement within five business days after the date when due and payable;</w:t>
      </w:r>
    </w:p>
    <w:p>
      <w:pPr>
        <w:spacing w:after="0" w:line="188" w:lineRule="exact"/>
        <w:rPr>
          <w:rFonts w:ascii="Times New Roman" w:cs="Times New Roman" w:eastAsia="Times New Roman" w:hAnsi="Times New Roman"/>
          <w:sz w:val="18"/>
          <w:szCs w:val="18"/>
          <w:color w:val="auto"/>
        </w:rPr>
      </w:pPr>
    </w:p>
    <w:p>
      <w:pPr>
        <w:ind w:right="2580" w:firstLine="656"/>
        <w:spacing w:after="0" w:line="282" w:lineRule="auto"/>
        <w:tabs>
          <w:tab w:leader="none" w:pos="7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or any of its subsidiaries to comply with certain covenants and agreements, subject to applicable grace periods and/or notice requirements; and</w:t>
      </w:r>
    </w:p>
    <w:p>
      <w:pPr>
        <w:spacing w:after="0" w:line="188" w:lineRule="exact"/>
        <w:rPr>
          <w:rFonts w:ascii="Times New Roman" w:cs="Times New Roman" w:eastAsia="Times New Roman" w:hAnsi="Times New Roman"/>
          <w:sz w:val="18"/>
          <w:szCs w:val="18"/>
          <w:color w:val="auto"/>
        </w:rPr>
      </w:pPr>
    </w:p>
    <w:p>
      <w:pPr>
        <w:ind w:right="2020" w:firstLine="656"/>
        <w:spacing w:after="0" w:line="255" w:lineRule="auto"/>
        <w:tabs>
          <w:tab w:leader="none" w:pos="7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of its subsidiaries in or in connection with the 2026 Credit Agreement or in any certificate, report, financial statement or other document submitted to the Administrative Agent or the Lenders by the Company or the Guarantors pursuant to or in connection with the 2026 Credit Agreement or any other loan document shall prove to be incorrect in any material respect (other than any representation or warranty that is expressly qualified by a Material Adverse Effect (as defined in the 2026 Credit Agreement) or other materiality, in which case such representation or warranty shall prove to be incorrect in any respect) when made or deemed made or submitted.</w:t>
      </w:r>
    </w:p>
    <w:p>
      <w:pPr>
        <w:spacing w:after="0" w:line="216" w:lineRule="exact"/>
        <w:rPr>
          <w:sz w:val="20"/>
          <w:szCs w:val="20"/>
          <w:color w:val="auto"/>
        </w:rPr>
      </w:pPr>
    </w:p>
    <w:p>
      <w:pPr>
        <w:ind w:right="2080"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execution of the transactions contemplated by the 2026 Credit Agreement, the 2022 Credit Agreement was terminated.</w:t>
      </w:r>
    </w:p>
    <w:p>
      <w:pPr>
        <w:spacing w:after="0" w:line="252" w:lineRule="exact"/>
        <w:rPr>
          <w:sz w:val="20"/>
          <w:szCs w:val="20"/>
          <w:color w:val="auto"/>
        </w:rPr>
      </w:pPr>
    </w:p>
    <w:p>
      <w:pPr>
        <w:ind w:right="2040" w:firstLine="648"/>
        <w:spacing w:after="0" w:line="282" w:lineRule="auto"/>
        <w:rPr>
          <w:sz w:val="20"/>
          <w:szCs w:val="20"/>
          <w:color w:val="auto"/>
        </w:rPr>
      </w:pPr>
      <w:r>
        <w:rPr>
          <w:rFonts w:ascii="Times New Roman" w:cs="Times New Roman" w:eastAsia="Times New Roman" w:hAnsi="Times New Roman"/>
          <w:sz w:val="18"/>
          <w:szCs w:val="18"/>
          <w:color w:val="auto"/>
        </w:rPr>
        <w:t>Pursuant to the 2026 Credit Agreement, the Company is subject to certain restrictions on its ability to pay dividends or make other distributions or payments on account of any redemption, retirement or purchase of any capital stock.</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has capitalized these costs to Other current assets and Other assets and is amortizing the debt issuance costs over the term of the facility. The unamortized balances at September 27, 2026 and December 28, 2025 were $1.5 million and $0.4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products. The KGS and US reportable segments provide products, solutions and services for mission critical National Security programs. KGS and US customers primarily include National Security related agencies, the DoW, intelligence agencies and classified agencies, and to a lesser degree, international government agencies and domestic and international commercial customers.</w:t>
      </w:r>
    </w:p>
    <w:p>
      <w:pPr>
        <w:spacing w:after="0" w:line="21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There were not any significant intersegment sales, cost of sales and profit for the three and nine month periods ended September 27, 2026 and September 28, 2025.</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 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spacing w:after="0" w:line="206"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Operating Results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income (expense), net, and other income (expense), net, items not considered part of management’s evaluation of segment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7" w:name="page28"/>
    <w:bookmarkEnd w:id="27"/>
    <w:p>
      <w:pPr>
        <w:ind w:right="60"/>
        <w:spacing w:after="0" w:line="266" w:lineRule="auto"/>
        <w:rPr>
          <w:sz w:val="20"/>
          <w:szCs w:val="20"/>
          <w:color w:val="auto"/>
        </w:rPr>
      </w:pPr>
      <w:r>
        <w:rPr>
          <w:rFonts w:ascii="Times New Roman" w:cs="Times New Roman" w:eastAsia="Times New Roman" w:hAnsi="Times New Roman"/>
          <w:sz w:val="18"/>
          <w:szCs w:val="18"/>
          <w:color w:val="auto"/>
        </w:rPr>
        <w:t>operating income. See Note 3 (Revenue Recognition) to these condensed consolidated financial statements for segment revenues disaggregated by contract type, customer and geographic region. The summary operating results for the Company’s reportable segments for the three and nine month periods ended September 27, 2026 and September 28, 2025, are as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27, 2026</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KGS</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US</w:t>
            </w:r>
          </w:p>
        </w:tc>
        <w:tc>
          <w:tcPr>
            <w:tcW w:w="30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27"/>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r>
      <w:tr>
        <w:trPr>
          <w:trHeight w:val="227"/>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w:t>
            </w:r>
          </w:p>
        </w:tc>
      </w:tr>
      <w:tr>
        <w:trPr>
          <w:trHeight w:val="220"/>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365.8</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27"/>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7"/>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27"/>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2"/>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0"/>
        </w:trPr>
        <w:tc>
          <w:tcPr>
            <w:tcW w:w="20" w:type="dxa"/>
            <w:vAlign w:val="bottom"/>
          </w:tcPr>
          <w:p>
            <w:pPr>
              <w:spacing w:after="0"/>
              <w:rPr>
                <w:sz w:val="19"/>
                <w:szCs w:val="19"/>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$78.2 million or 17% of total revenue for the three months ended September 27,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only one foreign country exceeded 10% of total revenues. Revenues related to Israel were 11%.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27, 2026</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KGS</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US</w:t>
            </w:r>
          </w:p>
        </w:tc>
        <w:tc>
          <w:tcPr>
            <w:tcW w:w="30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r>
      <w:tr>
        <w:trPr>
          <w:trHeight w:val="227"/>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821.0</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w:t>
            </w:r>
          </w:p>
        </w:tc>
      </w:tr>
      <w:tr>
        <w:trPr>
          <w:trHeight w:val="226"/>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r>
      <w:tr>
        <w:trPr>
          <w:trHeight w:val="220"/>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1,005.9</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r>
      <w:tr>
        <w:trPr>
          <w:trHeight w:val="226"/>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6"/>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27"/>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0"/>
        </w:trPr>
        <w:tc>
          <w:tcPr>
            <w:tcW w:w="20" w:type="dxa"/>
            <w:vAlign w:val="bottom"/>
          </w:tcPr>
          <w:p>
            <w:pPr>
              <w:spacing w:after="0"/>
              <w:rPr>
                <w:sz w:val="19"/>
                <w:szCs w:val="19"/>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3"/>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$244.6 million or 19% of total revenue for the nine months ended September 27, 2026.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28, 2025</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KGS</w:t>
            </w: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US</w:t>
            </w:r>
          </w:p>
        </w:tc>
        <w:tc>
          <w:tcPr>
            <w:tcW w:w="30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26"/>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r>
      <w:tr>
        <w:trPr>
          <w:trHeight w:val="226"/>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r>
      <w:tr>
        <w:trPr>
          <w:trHeight w:val="220"/>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26"/>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7"/>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2"/>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27"/>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0"/>
        </w:trPr>
        <w:tc>
          <w:tcPr>
            <w:tcW w:w="20" w:type="dxa"/>
            <w:vAlign w:val="bottom"/>
          </w:tcPr>
          <w:p>
            <w:pPr>
              <w:spacing w:after="0"/>
              <w:rPr>
                <w:sz w:val="19"/>
                <w:szCs w:val="19"/>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3"/>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$59.7 million or 17% of total revenue for the three months ended September 28,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28, 2025</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KGS</w:t>
            </w:r>
          </w:p>
        </w:tc>
        <w:tc>
          <w:tcPr>
            <w:tcW w:w="320" w:type="dxa"/>
            <w:vAlign w:val="bottom"/>
          </w:tcPr>
          <w:p>
            <w:pPr>
              <w:spacing w:after="0"/>
              <w:rPr>
                <w:sz w:val="16"/>
                <w:szCs w:val="16"/>
                <w:color w:val="auto"/>
              </w:rPr>
            </w:pPr>
          </w:p>
        </w:tc>
        <w:tc>
          <w:tcPr>
            <w:tcW w:w="142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US</w:t>
            </w: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8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r>
      <w:tr>
        <w:trPr>
          <w:trHeight w:val="227"/>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Product sales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r>
      <w:tr>
        <w:trPr>
          <w:trHeight w:val="226"/>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sales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w:t>
            </w:r>
          </w:p>
        </w:tc>
      </w:tr>
      <w:tr>
        <w:trPr>
          <w:trHeight w:val="220"/>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Total cost of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&amp; administrative expenses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27"/>
        </w:trPr>
        <w:tc>
          <w:tcPr>
            <w:tcW w:w="2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Research &amp; development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26"/>
        </w:trPr>
        <w:tc>
          <w:tcPr>
            <w:tcW w:w="20" w:type="dxa"/>
            <w:vAlign w:val="bottom"/>
            <w:shd w:val="clear" w:color="auto" w:fill="CCEEFF"/>
          </w:tcPr>
          <w:p>
            <w:pPr>
              <w:spacing w:after="0"/>
              <w:rPr>
                <w:sz w:val="19"/>
                <w:szCs w:val="19"/>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Total segment 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07"/>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segment operating income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amounts: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Merger and acquisition related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26"/>
        </w:trPr>
        <w:tc>
          <w:tcPr>
            <w:tcW w:w="20" w:type="dxa"/>
            <w:vAlign w:val="bottom"/>
          </w:tcPr>
          <w:p>
            <w:pPr>
              <w:spacing w:after="0"/>
              <w:rPr>
                <w:sz w:val="19"/>
                <w:szCs w:val="19"/>
                <w:color w:val="auto"/>
              </w:rPr>
            </w:pPr>
          </w:p>
        </w:tc>
        <w:tc>
          <w:tcPr>
            <w:tcW w:w="67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20" w:type="dxa"/>
            <w:vAlign w:val="bottom"/>
            <w:shd w:val="clear" w:color="auto" w:fill="CCEEFF"/>
          </w:tcPr>
          <w:p>
            <w:pPr>
              <w:spacing w:after="0"/>
              <w:rPr>
                <w:sz w:val="20"/>
                <w:szCs w:val="20"/>
                <w:color w:val="auto"/>
              </w:rPr>
            </w:pPr>
          </w:p>
        </w:tc>
        <w:tc>
          <w:tcPr>
            <w:tcW w:w="67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0"/>
        </w:trPr>
        <w:tc>
          <w:tcPr>
            <w:tcW w:w="20" w:type="dxa"/>
            <w:vAlign w:val="bottom"/>
          </w:tcPr>
          <w:p>
            <w:pPr>
              <w:spacing w:after="0"/>
              <w:rPr>
                <w:sz w:val="19"/>
                <w:szCs w:val="19"/>
                <w:color w:val="auto"/>
              </w:rPr>
            </w:pPr>
          </w:p>
        </w:tc>
        <w:tc>
          <w:tcPr>
            <w:tcW w:w="6780" w:type="dxa"/>
            <w:vAlign w:val="bottom"/>
            <w:gridSpan w:val="2"/>
          </w:tcPr>
          <w:p>
            <w:pPr>
              <w:ind w:left="17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4"/>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foreign customers were approximately $182.0 million or 18% of total revenue for the nine months ended September 28,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any one foreign country did not exceed 10% of total revenues.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 Capital Expenditures (in millions):</w:t>
            </w:r>
          </w:p>
        </w:tc>
        <w:tc>
          <w:tcPr>
            <w:tcW w:w="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54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4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reportable segment capital expenditures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Corporate capital expenditures</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 Depreciation and Amortization (in millions):</w:t>
            </w: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0" w:type="dxa"/>
            <w:vAlign w:val="bottom"/>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28, 2025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5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48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5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48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 Reportable Segment Assets (in millions):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27, 2026</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0" w:type="dxa"/>
            <w:vAlign w:val="bottom"/>
          </w:tcPr>
          <w:p>
            <w:pPr>
              <w:spacing w:after="0"/>
              <w:rPr>
                <w:sz w:val="1"/>
                <w:szCs w:val="1"/>
                <w:color w:val="auto"/>
              </w:rPr>
            </w:pPr>
          </w:p>
        </w:tc>
      </w:tr>
      <w:tr>
        <w:trPr>
          <w:trHeight w:val="165"/>
        </w:trPr>
        <w:tc>
          <w:tcPr>
            <w:tcW w:w="4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Kratos Government Solutions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1,472.9</w:t>
            </w:r>
          </w:p>
        </w:tc>
        <w:tc>
          <w:tcPr>
            <w:tcW w:w="0" w:type="dxa"/>
            <w:vAlign w:val="bottom"/>
          </w:tcPr>
          <w:p>
            <w:pPr>
              <w:spacing w:after="0"/>
              <w:rPr>
                <w:sz w:val="1"/>
                <w:szCs w:val="1"/>
                <w:color w:val="auto"/>
              </w:rPr>
            </w:pPr>
          </w:p>
        </w:tc>
      </w:tr>
      <w:tr>
        <w:trPr>
          <w:trHeight w:val="227"/>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Unmanned Systems</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438.7</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reportable segment assets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1,911.6</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6"/>
                <w:szCs w:val="16"/>
                <w:color w:val="auto"/>
              </w:rPr>
              <w:t>Corporate assets</w:t>
            </w:r>
            <w:r>
              <w:rPr>
                <w:rFonts w:ascii="Times New Roman" w:cs="Times New Roman" w:eastAsia="Times New Roman" w:hAnsi="Times New Roman"/>
                <w:sz w:val="21"/>
                <w:szCs w:val="21"/>
                <w:color w:val="auto"/>
                <w:vertAlign w:val="superscript"/>
              </w:rPr>
              <w:t>(1)</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555.6</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2,467.2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Corporate assets primarily include cash and cash equivalents, deferred income tax assets, and property, plant and equipment used in our corporate operations.</w:t>
      </w:r>
    </w:p>
    <w:p>
      <w:pPr>
        <w:spacing w:after="0" w:line="2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Assets of foreign subsidiaries in the KGS segment were $704.3 million and $300.5 million as of September 27, 2026 and December 28, 2025, respectively. As of September 27, 2026, long-lived assets located in Israel totaled $74.3 million, represented approximately 14% of our total consolidated long-lived assets. With the exception of Israel, no single foreign country accounted for more than 10% of the Company’s total long-lived assets. For purposes of this disclosure, long-lived assets consist of property and equipment, net and operating lease right-of-use assets, and exclude cash, receivables, goodwill, and intangible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 - Common Stock</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May 12, 2026, at the Company’s Annual Meeting of Stockholders, the stockholders approved an amendment to the Company’s Certificate of Incorporation. The amendment increased the number of authorized shares of the Company’s common stock, par value $0.001 per share, from 195,000,000 shares to 245,000,000 shares. The amendment became effective upon its filing with the Secretary of State of Delaware on May 20, 2026.</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26, 2026, the Company sold 16,428,571 shares of its common stock at a public offering price of $84.00 per share in an underwritten offering. The Company received gross proceeds of approximately $1,380.0 million. After deducting underwriting fees and other offering expenses, the Company received approximately $1,348.4 million in net proceeds. The Company has used and intends to continue to use the net proceeds from the offering to fund (i) capital expenditures, (ii) product and software development, (iii) acquisitions, including the recent acquisitions of Nomad and Orbit, and (iv) general corporate purposes.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27, 2025, the Company sold 14,935,065 shares of its common stock at a public offering price of $38.50 per share in an underwritten offering. The Company received gross proceeds of approximately $575.0 million. After deducting underwriting fees and other offering expenses, the Company received approximately $555.9 million in net proceeds. The Company has used and expects to continue to use the net proceeds of this public equity offering (i) to fund investments and capital expenditures to scale and successfully execute on large, mission critical National Security priorities related to existing programs, recent program awards and significant high-probability pipeline opportunities; (ii) to finance important customer and program targeted acquisitions; (iii) and for general corporate purposes, including pay-down of debt and to pay fees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0" w:name="page31"/>
    <w:bookmarkEnd w:id="30"/>
    <w:p>
      <w:pPr>
        <w:ind w:right="180"/>
        <w:spacing w:after="0" w:line="261" w:lineRule="auto"/>
        <w:rPr>
          <w:sz w:val="20"/>
          <w:szCs w:val="20"/>
          <w:color w:val="auto"/>
        </w:rPr>
      </w:pPr>
      <w:r>
        <w:rPr>
          <w:rFonts w:ascii="Times New Roman" w:cs="Times New Roman" w:eastAsia="Times New Roman" w:hAnsi="Times New Roman"/>
          <w:sz w:val="18"/>
          <w:szCs w:val="18"/>
          <w:color w:val="auto"/>
        </w:rPr>
        <w:t>expenses in connection with this public equity offering. On July 2, 2025, the Company used a portion of the proceeds of the June 2025 public equity offering to pay off the then-outstanding $177.5 million aggregate principal amount of the Term Loan A debt, plus accrued interest, under the 2022 Credit Facility. Following such repayment of the Term Loan A debt, the $200 million revolving credit facility under the 2022 Credit Facility remained undrawn and available to the Company until the 2026 Credit Agreement was executed on February 20,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Significant Customers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$355.7 million and $231.1 million, or 75% and 66% of total Kratos revenue, for the three months ended September 27, 2026 and September 28, 2025, respectively, and $928.8 million and $685.3 million, or 71% and 68% of total Kratos revenue, for the nine months ended September 27, 2026 and September 28,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Government Cost Claims</w:t>
      </w:r>
    </w:p>
    <w:p>
      <w:pPr>
        <w:spacing w:after="0" w:line="254"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Company’s contracts with the DoW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Litigation Matters</w:t>
      </w:r>
    </w:p>
    <w:p>
      <w:pPr>
        <w:spacing w:after="0" w:line="2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for these matters were not material to the condensed consolidated financial statements as of September 27, 2026. The Company intends to defend itself in any such</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1" w:name="page32"/>
    <w:bookmarkEnd w:id="31"/>
    <w:p>
      <w:pPr>
        <w:ind w:right="380"/>
        <w:spacing w:after="0" w:line="282" w:lineRule="auto"/>
        <w:rPr>
          <w:sz w:val="20"/>
          <w:szCs w:val="20"/>
          <w:color w:val="auto"/>
        </w:rPr>
      </w:pPr>
      <w:r>
        <w:rPr>
          <w:rFonts w:ascii="Times New Roman" w:cs="Times New Roman" w:eastAsia="Times New Roman" w:hAnsi="Times New Roman"/>
          <w:sz w:val="18"/>
          <w:szCs w:val="18"/>
          <w:color w:val="auto"/>
        </w:rPr>
        <w:t>matters and does not currently believe that the outcome of any such matters will have a material adverse impact on the Company’s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Financial Instruments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derivative portfolio consists of forward exchange contracts used to manage foreign currency risks and previously consisted of an interest rate swap contract to hedge U.S. dollar-one month Term SOFR in order to mitigate the exposure to interest rate movements associated with the Company’s Term Loan A. As noted below, the interest rate swap was terminated on June 30, 2025. Derivative financial instruments are recognized on the condensed consolidated balance sheets as either assets or liabilities and are measured at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 Exchange Contracts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Changes in the fair values of the foreign currency exchange contracts are recorded each period in earnings. The notional value of the Company’s foreign currency exchange contracts at September 27, 2026 was $27.5 million. At September 27, 2026, the fair value amounts of the foreign currency exchange contracts were a $0.2 million asset and a $0.2 million liability. The net gain from these forward exchange contracts was $0.7 million for the nine months ended September 27, 2026, and is included in other income (expense). As of December 28, 2025, the Company did not use hedge accounting for its foreign currency exchange contracts.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Rate Swap Contract</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with an initial notional amount of $195.0 million to manage the variability of cash flows associated with the Term Loan A. The interest rate swap contract originally matured on May 1, 2026 and was terminated on June 30, 2025. The swap was at a fixed SOFR of 3.721% and settled monthly on the last day of each calendar month. The Company designated the interest rate swap contract as a cash flow hedge and assessed the hedge effectiveness both at the onset of the hedge and at regular intervals throughout the life of the derivative. Changes in fair value (gains and losses) related to derivative financial instruments that qualify as cash flow hedges were deferred in Accumulated Other Comprehensive Income (Loss) (“AOCI”) until the underlying transaction was reflected in earnings. The net gain reclassed from AOCI from the interest rate swap reflected in earnings was $0.2 million and $0.8 million for the three and nine months ended September 28, 2025, respectively, and was recorded as an offset to interest expense.</w:t>
      </w:r>
    </w:p>
    <w:p>
      <w:pPr>
        <w:spacing w:after="0" w:line="2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Collaborative Arrangement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3, 2025, the Company and GE Aerospace (“GE”) announced a formal teaming agreement to advance the development and production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engines for the next generation of affordable unmanned aerial systems and Collaborative Combat Aircraft-type (CCA-type) aircraft. This teaming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supersedes an earlier letter of intent and memorandum of understanding between the Company and GE related to the development, testing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fielding of these engines. Under this arrangement, Kratos and GE share in the risks and rewards of the program through various revenue, cost and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sharing payment structures. In accordance with FASB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(“Topic 808”), the accounting for the arrangement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scope of ASC 606 for those promised goods and services for which GE is a customer, and the related amounts are presented in revenues and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sales as the promised goods and services are provided. The ASC 606 considerations and facts discussed in </w:t>
      </w:r>
      <w:r>
        <w:rPr>
          <w:rFonts w:ascii="Times New Roman" w:cs="Times New Roman" w:eastAsia="Times New Roman" w:hAnsi="Times New Roman"/>
          <w:sz w:val="18"/>
          <w:szCs w:val="18"/>
          <w:i w:val="1"/>
          <w:iCs w:val="1"/>
          <w:color w:val="auto"/>
        </w:rPr>
        <w:t>Note 3. Revenue Recognition</w:t>
      </w:r>
      <w:r>
        <w:rPr>
          <w:rFonts w:ascii="Times New Roman" w:cs="Times New Roman" w:eastAsia="Times New Roman" w:hAnsi="Times New Roman"/>
          <w:sz w:val="18"/>
          <w:szCs w:val="18"/>
          <w:color w:val="auto"/>
        </w:rPr>
        <w:t xml:space="preserve"> apply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Amounts disclosed through September 27, 2026 include activity under the July 22, 2024 memorandum of understanding and the June 3,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superseding teaming agreement. Through September 27, 2026, Kratos has recorded inception-to-date revenues of $34.8 million and cost of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$34.8 million related to this arrangement. For the three and nine months ended September 27, 2026, Kratos has recorded revenues of $0.3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million, respectively, and cost of sales of $0.3 million and $2.9 million, respectively, related to this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243"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On October 9, 2026, subsequent to quarter end, the Company completed the acquisition of Jetset Airmotive, Inc., a privately held business operating similarly to certain existing Kratos businesses in the aircraft engine components and services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sector, to expand the Company’s portfolio and capabilities within its aerospace related offerings including MRO (Maintenance, Repair and Overhaul).</w:t>
      </w:r>
    </w:p>
    <w:p>
      <w:pPr>
        <w:spacing w:after="0" w:line="23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 transaction was based on a contractual purchase price of approximately $60.0 million, subject to customary closing adjustments. At closing, the Company paid aggregate consideration of approximately $49.5 million, consisting of approximately $24.7 million in cash and 547,249 shares of the Company's common stock with an aggregate fair value of approximately $24.7 million, based on $45.21, the average closing stock price of the Company’s common stock for the twenty trading day period immediately prior to the acquisition date. In addition, approximately $4.0 million of the purchase price was subject to customary indemnification and purchase price adjustment holdback provisions under the acquisition agreement. Contingent consideration of up to approximately $4.9 million may also become payable upon the achievement of specified post-closing performance milestones.</w:t>
      </w:r>
    </w:p>
    <w:p>
      <w:pPr>
        <w:spacing w:after="0" w:line="19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Due to the timing of the transaction, the initial accounting under ASC 805, including the valuation of acquired intangibles, contingent consideration, and goodwill is incomplete. The Company expects to provide disclosures and the preliminary purchase price allocation in future filings once the initial accounting is finalized.</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relating to our future financial performance, the market for our services, our opportunities, and our expected future capital expenditures.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duration of the current continuing resolution, the timing and amount of fiscal year 2027 appropriations and the potential for a Federal government shutdown;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including our expanded operations in Israel following the Orbit acquisition, the conflicts in the Middle East, including Israel and Iran, and in Ukraine, and fluctuations in foreign currency exchange rates, including the Israeli Shekel; risks associated with debt leverage; failure to successfully achieve our integration, cost reduction or divestiture strategies, including with respect to the Nomad, Orbit and Jetset acquisitions; risks related to security breaches, cybersecurity attacks or other significant disruptions of our information systems; risks related to tariffs or import duties, inflation and supply chain disruptions; our ability to ramp production, including of turbojet engines and Valkyrie, Firejet and other drone systems, and to meet expected customer delivery schedules, and realize the expected returns on our significant internally funded investments, including in inventory, facilities and the Prometheus joint venture; the potential impact on our margins of large prime system integrator opportunities; risks that potential future goodwill or other intangible asset impairments, including with respect to recently acquired businesses, will adversely affect our operating results; fluctuations in our effective tax rate, including as a result of the jurisdictional mix of earnings and discrete items; and competition in the marketplace, which could reduce revenues and profit margins, as well as the additional risks and uncertainties described in this Quarterly Report on Form 10-Q, in “Item 1A-Risk Factors” of our Annual Report on Form 10-K for the fiscal year ended December 28, 2025 filed with the U.S. Securities and Exchange Commission (the “SEC”) on February 23, 2026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29"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“us,” “we,” “our,” the “Company” and “Kratos” refer to Kratos Defense &amp; Security Solutions, Inc., a Delaware corporation,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Kratos is a technology, hardware,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utilize proven, leading-edge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or other defense technology companies when our assessment of probability of win is greater or required investment is beyond Kratos comfort level. Kratos’ primary business areas include, virtualized ground systems for satellites and space vehicles including software for command &amp;</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spacing w:after="0" w:line="251" w:lineRule="auto"/>
        <w:rPr>
          <w:sz w:val="20"/>
          <w:szCs w:val="20"/>
          <w:color w:val="auto"/>
        </w:rPr>
      </w:pPr>
      <w:r>
        <w:rPr>
          <w:rFonts w:ascii="Times New Roman" w:cs="Times New Roman" w:eastAsia="Times New Roman" w:hAnsi="Times New Roman"/>
          <w:sz w:val="18"/>
          <w:szCs w:val="18"/>
          <w:color w:val="auto"/>
        </w:rPr>
        <w:t>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the defense industrial base and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including the procurement of supply chain components for approximately 3,000 turbojet engines we expect to produce in 2027, of which we currently expect to deliver approximately 1,500 to customers in 2027 and the remainder in 2028, to address backlog, expected customer demand, current opportunity pipeline, and expected and potential future program and contract awards, including from or with the Department of War, traditional legacy prime systems integrators and partners and other defense technology companies. Additional investments include: unmanned jet powered aircraft, including Kratos Valkyrie ahead of potential contract award; a hypersonic system fabrication and integration facility including for Kratos Zeus solid rocket motors (SRMs) and Erinyes hypersonic flight systems in Indiana; the purchase of long lead items for 60 Oriole SRM’s and 60 Zeus SRM’s for ballistic missile defense; related, hypersonic or other expected customer missions; relocation and expansion of our small turbojet engine production capacity in Michigan; establishment of a planned small turbofan jet engine production facility in Oklahoma; establishment of a radar maintenance, overhaul and upgrade facility in Indiana; establishment of a hypersonic system related arc chamber in Indiana; expansion of our existing microwave electronics manufacturing facilities in Israel and the United States;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Advanced Defense Systems, Ltd and the new turbofan production facility in Oklahoma related to our arrangement with GE Aerospace are expected to ramp up in 2026 and 2027.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56"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There is a generational rebuild of the United States, its allies and NATO’s respective Defense Industrial Bases underway as a result of the deteriorating geopolitical situation, and an increased global threat environment, including as related to Russia, China, Iran, North Korea, etc. On July 4, 2025, the One Big Beautiful Bill Act (OBBBA), previously known as the Reconciliation Bill, was enacted. The OBBBA appropriated an additional $156 billion for defense spending and national security priorities and is expected to result in increased investment by the DoW in defense modernization projects and increasing weapons and armaments production capacity. Approximately $140 billion of the $156 billion in OBBBA funding for defense and national security priorities was programmatically or contractually obligated or expended by September 30, 2026.</w:t>
      </w:r>
    </w:p>
    <w:p>
      <w:pPr>
        <w:spacing w:after="0" w:line="214"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On February 3, 2026 President Trump signed the Consolidated Appropriations Act, 2026 (H.R. 7148) a $1.2 trillion funding package, that ended a brief government shutdown that began on February 1, 2026. This law provides funding for most federal agencies, including the DoW, through September 30, 2026. The funding bill includes $838.7 billion in defense appropriations for the DoW. This $838.7 billion, plus the approximate $140 billion included in the OBBBA noted above, and also including approximately $45 billion in Department of Energy National Security related funds, brought the expected total U.S. Federal Fiscal Year 2026 National Security spend to approximately $1 trillion.</w:t>
      </w:r>
    </w:p>
    <w:p>
      <w:pPr>
        <w:spacing w:after="0" w:line="197" w:lineRule="exact"/>
        <w:rPr>
          <w:sz w:val="20"/>
          <w:szCs w:val="20"/>
          <w:color w:val="auto"/>
        </w:rPr>
      </w:pPr>
    </w:p>
    <w:p>
      <w:pPr>
        <w:ind w:right="40" w:firstLine="567"/>
        <w:spacing w:after="0" w:line="236" w:lineRule="auto"/>
        <w:rPr>
          <w:sz w:val="20"/>
          <w:szCs w:val="20"/>
          <w:color w:val="auto"/>
        </w:rPr>
      </w:pPr>
      <w:r>
        <w:rPr>
          <w:rFonts w:ascii="Times New Roman" w:cs="Times New Roman" w:eastAsia="Times New Roman" w:hAnsi="Times New Roman"/>
          <w:sz w:val="18"/>
          <w:szCs w:val="18"/>
          <w:color w:val="auto"/>
        </w:rPr>
        <w:t>On April 3, 2026, the Administration released the Fiscal Year 2027 Defense request proposal. This proposal seeks a $1.5 trillion defense expenditure, including discretionary base funding of approximately $1.15 trillion and an additional $350 billion of funding through a new 2027 reconciliation bill. The fiscal 2027 Defense Request and related Reconciliation Bill are expected to include significant funding for certain priorities of the current presidential Administration, including Golden Dome, Space and Satellite communications, unmanned systems and artificial intelligence, missiles, radars and air defense systems, the nuclear triad and many other systems, initiatives and programs. Additionally, the Administration recently submitted an $88 billion supplemental funding request for FY 2026, of which $67 billion is intended to address costs and munitions expenditures associated with the Iran conflict and other defense priorities. The FY 2027 defense budget proposal and the 2026 supplemental funding request are subject to Congressional approval, and it is not assured when or if they will be enacted at the levels proposed or that increases in funding will result in increased orders for either the industry or our programs. On September 2, 2026, the Continuing Appropriations Act, 2027 (P.L. 119-103) was enacted, providing funding for federal agencies, including the DoW, through December 11, 2026, generally at fiscal year 2026 levels and subject to customary restrictions on new program starts and increases in production rates. As of the date of this Quarterly Report, none of the regular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fiscal year 2027 appropriations bills has been enacted, and we expect the continuing resolution to be extended beyond December 11, 2026.</w:t>
      </w:r>
    </w:p>
    <w:p>
      <w:pPr>
        <w:spacing w:after="0" w:line="252"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The potential challenges presented by differing U.S. Government political and related budgetary priorities, recent Congressional changes, including the Democrats obtaining control of the U.S. House of Representatives and Senate as a result of the election on November 3, 2026, the current budgetary and deficit funding environment, the current Administration’s stated fiscal policies, an uncertain tariff situation, the conflicts in Iran, Israel, Ukraine and Taiwan funding support, potential continuing heightened levels of inflation, ongoing supply chain disruption, and the challenging appropriations process, among other items, all continue to potentially create significant short and long-term risks to the industry and the Company. Additionally, the current Administration has executed certain executive orders directly related to significantly changing the certain DoW procurement policies and procedures, and the Federal Acquisition Regulations, etc., the potential impact of such changes, if effected either by executive orders or changes to the relevant law, to the industry, and to Kratos, is unknown at this time.</w:t>
      </w:r>
    </w:p>
    <w:p>
      <w:pPr>
        <w:spacing w:after="0" w:line="219"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We believe continued budget and deficit funding pressures (which are expected), CRs (which are expected), future Federal Government debt ceiling issues (which are expected), and potential Federal Government shutdowns or disruptions could have serious negative consequences for the security of our country and the defense industrial base, including the Company and related customers, employees, suppliers, investors, and communities that rely on companies in the defense industrial base. It is possible that budget and program decisions made in such an uncertain environment could have long-term implications for the entire defense industry and for our Company.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w:t>
      </w:r>
    </w:p>
    <w:p>
      <w:pPr>
        <w:spacing w:after="0" w:line="216"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Such a dynamic and challenging federal, DoW and National Security related budgetary environment may negatively impact our customers, partners, suppliers, business and programs, and could have a material adverse effect on our forecasts, estimates, financial position, results of operations and/or cash flows.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also continue to be affected by various unfavorable macroeconomic conditions, including adverse supply chain disruptions as well as cost</w:t>
      </w:r>
    </w:p>
    <w:p>
      <w:pPr>
        <w:spacing w:after="0" w:line="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increases that continue throughout the industry and for Kratos, and related delays in the receipt and delivery of materials, parts, supplies, etc. These industry and Company related issues also include the impact of the increased demand for certain electronics and SD cards resulting from consumption by AI data centers, which in certain instances and for certain items is significant. To mitigate the impact of certain delays, we have implemented advanced and larger lot purchases of certain materials and parts where we can and practical,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spacing w:after="0" w:line="216"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Additionally, an industry wide shortage of qualified labor, and the cost of that labor for the Company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including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spacing w:after="0" w:line="201"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We do believe that our business is well-positioned, including in areas that the current Administration, the DoW, national security related and other customers currently indicate are priorities, including for future defense spending. As noted above, we believe that there is a generational recapitalization of weapon systems and the defense industrial base occurring with the U.S. and its allies to address peer and near peer threats, including Russia, China, North Korea and Iran. We believe that the Company’s position as a proven provider of technology and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space and satellite communication systems and training systems, address mission critical priority areas of the DoW.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The Company currently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spacing w:after="0" w:line="207" w:lineRule="exact"/>
        <w:rPr>
          <w:sz w:val="20"/>
          <w:szCs w:val="20"/>
          <w:color w:val="auto"/>
        </w:rPr>
      </w:pPr>
    </w:p>
    <w:p>
      <w:pPr>
        <w:ind w:right="240" w:firstLine="567"/>
        <w:spacing w:after="0" w:line="258" w:lineRule="auto"/>
        <w:rPr>
          <w:sz w:val="20"/>
          <w:szCs w:val="20"/>
          <w:color w:val="auto"/>
        </w:rPr>
      </w:pPr>
      <w:r>
        <w:rPr>
          <w:rFonts w:ascii="Times New Roman" w:cs="Times New Roman" w:eastAsia="Times New Roman" w:hAnsi="Times New Roman"/>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September 27, 2026 to the Three Months Ended September 28, 2025</w:t>
      </w:r>
    </w:p>
    <w:p>
      <w:pPr>
        <w:spacing w:after="0" w:line="227"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by reporting segment for the three months ended September 27, 2026 and September 28, 2025 are as follows (dollars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40" w:type="dxa"/>
            <w:vAlign w:val="bottom"/>
          </w:tcPr>
          <w:p>
            <w:pPr>
              <w:spacing w:after="0"/>
              <w:rPr>
                <w:sz w:val="16"/>
                <w:szCs w:val="16"/>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4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r>
      <w:tr>
        <w:trPr>
          <w:trHeight w:val="23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52.5 %</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4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Unmanned Systems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1"/>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62"/>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Revenues increased $124.2 million to $471.8 million for the three months ended September 27, 2026 from $347.6 million for the three months ended September 28, 2025. Revenues in our KGS segment increased $136.8 million primarily due to increased revenues in our Defense Rocket Support business driven by our hypersonic systems business, as well as growth in our turbine technologies, microwave products and space and training businesses, and the contribution of $20.4 million in revenue from the recent acquisition of Nomad Global Communication Solutions, and $23.3 million in revenue from the recent acquisition of Orbit Technologies. Revenues in our US segment were $74.6 million for the three months ended September 27, 2026, a decrease of $12.6 million from $87.2 million in the three months ended September 28, 2025, which included a shipment of approximately $16.1 million of Valkyrie aircraft to an international customer during the three months ended September 28, 2025.</w:t>
      </w:r>
    </w:p>
    <w:p>
      <w:pPr>
        <w:spacing w:after="0" w:line="212"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18"/>
          <w:szCs w:val="18"/>
          <w:color w:val="auto"/>
        </w:rPr>
        <w:t>Product sales increased $64.7 million to $294.9 million for the three months ended September 27, 2026 from $230.2 million for the three months ended September 28, 2025, due in part to the acquisitions of Nomad and Orbit, as well as increased production in our hypersonic, space and training, and microwave electronics businesses. As a percentage of total consolidated revenues, product sales were 62.5% for the three months ended September 27, 2026 as compared to 66.2% for the three months ended September 28, 2025. Service revenues increased by $59.5 million to $176.9 million for the three months ended September 27, 2026 from $117.4 million for the three months ended September 28, 2025, primarily related to increased activity in our defense rocket support and turbine technologies businesses in our KGS segment.</w:t>
      </w:r>
    </w:p>
    <w:p>
      <w:pPr>
        <w:spacing w:after="0" w:line="22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$95.3 million to $365.8 million for the three months ended September 27, 2026 from $270.5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September 28, 2025. The increase in cost of revenues was primarily due to increased revenues in our KGS business driven by our hypersonic systems business, turbine technologies,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ind w:right="280"/>
        <w:spacing w:after="0" w:line="261" w:lineRule="auto"/>
        <w:rPr>
          <w:sz w:val="20"/>
          <w:szCs w:val="20"/>
          <w:color w:val="auto"/>
        </w:rPr>
      </w:pPr>
      <w:r>
        <w:rPr>
          <w:rFonts w:ascii="Times New Roman" w:cs="Times New Roman" w:eastAsia="Times New Roman" w:hAnsi="Times New Roman"/>
          <w:sz w:val="18"/>
          <w:szCs w:val="18"/>
          <w:color w:val="auto"/>
        </w:rPr>
        <w:t>microwave products and space, training and cyber businesses, as well as the acquisitions of Nomad and Orbit and the impact of increased labor and material costs. Cost of revenues for the three months ended September 27, 2026 included $12.3 million of amortization of capitalized contract and development costs primarily related to the delivery of certain hypersonic systems, primarily in our KGS segment, compared to $1.2 million for the three months ended September 28, 2025.</w:t>
      </w:r>
    </w:p>
    <w:p>
      <w:pPr>
        <w:spacing w:after="0" w:line="205"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margin increased to 22.5% for the three months ended September 27, 2026 from 22.2%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28, 2025. Margins on services decreased to 21.7% for the three months ended September 27, 2026 from 22.3% for the three months ended September 28, 2025. Margins on products increased to 23.0% for the three months ended September 27, 2026 from 22.1% for the three months ended September 28, 2025. Margins in the KGS segment decreased to 22.9% for the three months ended September 27, 2026 from 23.9% for the three months ended September 28, 2025. Margins in the US segment increased to 20.0% for the three months ended September 27, 2026 from 17.0% for the three months ended September 28, 2025.</w:t>
      </w:r>
    </w:p>
    <w:p>
      <w:pPr>
        <w:spacing w:after="0" w:line="19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$35.2 million to $95.0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27, 2026 from $59.8 million for the three months ended September 28, 2025. This increase was primarily due to the inclusion of operating costs from the recent acquisitions of Nomad and Orbit, higher intangible amortization expense of $8.7 million related to these acquisitions, an increase in stock compensation expense of $9.0 million, and the impact of increased revenue volume and headcount. As a percentage of revenues, SG&amp;A increased to 20.1% at September 27, 2026 from 17.2% at September 28, 2025.</w:t>
      </w:r>
    </w:p>
    <w:p>
      <w:pPr>
        <w:spacing w:after="0" w:line="22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to $15.0 million for the three months ended September 27, 2026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million for September 28, 2025 primarily due to the acquisition of Orbit. As a percentage of revenues, R&amp;D increased to 3.2% for the three months ended September 27, 2026 from 2.9% for the three months ended September 28, 2025.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Other Income, Net. </w:t>
      </w:r>
      <w:r>
        <w:rPr>
          <w:rFonts w:ascii="Times New Roman" w:cs="Times New Roman" w:eastAsia="Times New Roman" w:hAnsi="Times New Roman"/>
          <w:sz w:val="18"/>
          <w:szCs w:val="18"/>
          <w:color w:val="auto"/>
        </w:rPr>
        <w:t>The total other income, net was $9.5 million for the three months ended September 27, 2026 and $4.8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28, 2025. The net change of $4.7 million between the three months ended September 28, 2025 and the three months ended September 27, 2026 is primarily related to the reduction of interest expense from the payoff of our long-term debt on July 2, 2025 and an increase in interest income on cash balances, which increased following our June 27, 2025 and February 26, 2026 public offerings.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three months ended September 27, 2026 and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28, 2025 was $4.8 million and $3.2 million, respectively. The higher provision for income taxes for the three months ended September 27, 2026 when compared to the three months ended September 28, 2025 primarily relates to the jurisdictional mix of earnings and $1.0 million less discrete tax benefits for stock compensation related items. For the three months ended September 27, 2026 and September 28, 2025, the Company utilized the annual effective tax rate method based on the forecasted information provided.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Nine Months Ended September 27, 2026 to the Nine Months Ended September 28, 2025</w:t>
      </w:r>
    </w:p>
    <w:p>
      <w:pPr>
        <w:spacing w:after="0" w:line="241" w:lineRule="exact"/>
        <w:rPr>
          <w:sz w:val="20"/>
          <w:szCs w:val="20"/>
          <w:color w:val="auto"/>
        </w:rPr>
      </w:pPr>
    </w:p>
    <w:p>
      <w:pPr>
        <w:ind w:right="520"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by reporting segment for the nine months ended September 27, 2026 and September 28, 2025 are as follows (dollars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c>
          <w:tcPr>
            <w:tcW w:w="2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4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Kratos Government Solutions</w:t>
            </w: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Kratos Government Solutions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Unmanned Systems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Unmanned Systems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service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Revenues increased $299.9 million to $1,301.6 million for the nine months ended September 27, 2026 from $1,001.7 million for the nine months ended September 28, 2025. Revenues in our KGS segment increased $287.1 million, primarily due to increased revenues in our Defense Rocket Support business driven by our hypersonic business, as well as growth in our Space, Cyber and Training, Turbine Technologies and Microwave Products businesses, and the contribution of $46.6 million and $58.0 million in revenues from the acquisitions of Nomad and Orbit, respectively. Revenues in our US segment were $236.3 million for the nine months ended September 27, 2026, an increase of $12.8 million from $223.5 million for the nine months ended September 28, 2025, primarily reflecting increased tactical drone activity during the nine months ended September 27, 2026.</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Product sales increased $174.0 million to $821.0 million for the nine months ended September 27, 2026 from $647.0 million for the nine months ended September 28, 2025, primarily due to increased production activity in the Company’s US Segment and in the Defense Rocket Support, Space, Training and Cyber, and Microwave Products businesses in KGS, as well as the acquisitions of Nomad and Orbit. As a percentage of total revenue, product sales were 63.1% for the nine months ended September 27, 2026 as compared to 64.6% for the nine months ended September 28, 2025. Service revenues increased by $125.9 million to $480.6 million for the nine months ended September 27, 2026 from $354.7 million for the nine months ended September 28, 2025. The increase was primarily related to increased activity in our defense rocket support and turbine technologies businesses in our KGS segment.</w:t>
      </w:r>
    </w:p>
    <w:p>
      <w:pPr>
        <w:spacing w:after="0" w:line="21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increased $228.7 million to $1,005.9 million for the nine months ended September 27, 2026 from $777.2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28, 2025. The increase in cost of revenues was primarily a result of the increase in revenues discussed above as well as the impact of increased labor and material costs. Cost of revenues for the nine months ended September 27, 2026 included $16.5 million of amortization of capitalized contract and development costs primarily related to the delivery of certain hypersonic systems, primarily in our KGS segment, compared to $3.0 million for the nine months ended September 28, 20255.</w:t>
      </w:r>
    </w:p>
    <w:p>
      <w:pPr>
        <w:spacing w:after="0" w:line="21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increased to 22.7% for the nine months ended September 27, 2026 from 22.4%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28, 2025. Gross margin on services increased to 23.1% for the nine months ended September 27, 2026 from 22.7% for the nine months ended September 28, 2025. Gross margin on product sales increased to 22.5% for the nine months ended September 27, 2026 from 22.2% for the nine months ended September 28, 2025. Gross margin in the KGS segment decreased to 23.8% for the nine months ended September 27, 2026 from 24.2% for the nine months ended September 28, 2025 primarily due to less favorable mix of revenues. Gross margin in the US segment increased to 17.9% for the nine months ended September 27, 2026 from 16.3% for the nine months ended September 28, 2025 due primarily to the more favorable mix of revenues in the nine months ended September 27,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r>
        <w:rPr>
          <w:rFonts w:ascii="Times New Roman" w:cs="Times New Roman" w:eastAsia="Times New Roman" w:hAnsi="Times New Roman"/>
          <w:sz w:val="18"/>
          <w:szCs w:val="18"/>
          <w:color w:val="auto"/>
        </w:rPr>
        <w:t>. SG&amp;A expenses increased $77.9 million from $176.7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28, 2025 to $254.6 million for the nine months ended September 27, 2026. This increase was primarily due to the inclusion of operating costs from the recent acquisitions of Nomad and Orbit, higher intangible amortization expense of $20.0 million related to these acquisitions, an increase in stock compensation expense of $23.0 million, and the impact of increased revenue volume and headcount. As a percentage of revenues, SG&amp;A increased to 19.6% at September 27, 2026, from 17.6% at September 28, 2025.</w:t>
      </w:r>
    </w:p>
    <w:p>
      <w:pPr>
        <w:spacing w:after="0" w:line="2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(“R&amp;D”) Expenses</w:t>
      </w:r>
      <w:r>
        <w:rPr>
          <w:rFonts w:ascii="Times New Roman" w:cs="Times New Roman" w:eastAsia="Times New Roman" w:hAnsi="Times New Roman"/>
          <w:sz w:val="18"/>
          <w:szCs w:val="18"/>
          <w:color w:val="auto"/>
        </w:rPr>
        <w:t>. R&amp;D expenses were $39.3 million for the nine months ended September 27, 2026 and $30.2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28, 2025. As a percentage of revenues, R&amp;D expenses remained consistent at 3.0% for the nine months ended September 27, 2026 and September 28, 2025.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Other Income, Net. </w:t>
      </w:r>
      <w:r>
        <w:rPr>
          <w:rFonts w:ascii="Times New Roman" w:cs="Times New Roman" w:eastAsia="Times New Roman" w:hAnsi="Times New Roman"/>
          <w:sz w:val="18"/>
          <w:szCs w:val="18"/>
          <w:color w:val="auto"/>
        </w:rPr>
        <w:t>Total other income (expense), net increased to income of $23.2 million for the nine months ended September 27,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income of $4.5 million for the nine months ended September 28, 2025. The increase in total other income (expense), net of $18.7 million was primarily related to the reduction of interest expense from the payoff of our Term Loan A debt on July 2, 2025 and an increase in interest income on cash balances which increased following our June 27, 2025 and February 26, 2026 public offerings, and due to the receipt of a research and development tax related refund received by one of the Company’s international businesses.</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The provision for income taxes for the nine months ended September 27, 2026 and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28, 2025 was $5.3 million and $5.8 million, respectively. The provision for income taxes for the nine months ended September 27, 2026 and the nine months ended September 28, 2025 include a benefit of $9.2 million and $3.4 million, respectively, for stock compensation related items. For the nine months ended September 27, 2026 and September 28, 2025, the Company utilized the annual effective tax rate method based on the forecasted information provided.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September 27, 2026, we had approximately $2.650 billion of total backlog, of which $2.067 billion was funded. We expect to recognize approximately 16% of the remaining total backlog as revenue in fiscal year 2026, an additional 50% in fiscal year 2027 and the balance thereafter. Our comparable total backlog balance as of September 28, 2025, was approximately $1.480 billion, of which $1.234 billion was funded. Backlog as of September 27, 2026 as compared to September 28, 2025 has increased primarily as a result of contract awards in our Space, Satellite and Training, Defense Rocket Support Services, Microwave Products and Unmanned Systems businesses, as well as the impact of the acquisitions of Nomad and Orbit which contributed approximately $258.1 million to the increase in backlog.</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Total backlog is our estimate of the amount of revenue expected to be realized over the remaining life of awarded contracts and task orders that we have in hand as of the measurement date. Total backlog represents the transaction price allocated to unsatisfied or partially unsatisfied performance obligations under ASC 606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 The Company has not elected either of the ASC 606 practical expedients related to the disclosure of remaining performance obligations. Accordingly, we disclose the transaction price allocated to all unsatisfied or partially unsatisfied performance obligations, including those with an original expected duration of one year or less and those that include variable consideration dependent on future events.</w:t>
      </w: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contracts may remain unfunded unless and until Congress makes a subsequent appropriation and the procuring agency allocates funding to the contract.</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spacing w:after="0" w:line="20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27, 2026, we had cash and cash equivalents of $1,404.3 million compared with cash and cash equivalents of $560.6 million as of December 28, 2025, which includes $81.6 million and $30.3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 As of September 27, 2026, we had no amounts outstanding under our new revolving credit facility (see Note 9), with $300.0 million remaining in borrowing capacity, less approximately $1.5 million of domestic letters of credit outstanding. Foreign letters of credit outstanding of $29.0 million do not impact the availability of the revolving credit facility.</w:t>
      </w:r>
    </w:p>
    <w:p>
      <w:pPr>
        <w:spacing w:after="0" w:line="20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On July 2, 2025 all outstanding Term Loan A debt under the 2022 Credit Facility was extinguished. The then outstanding Term Loan A aggregate principal balance of $177.5 million, plus accrued interest, was paid in full utilizing a portion of the proceeds we received from the June 27, 2025 public equity offering that generated net proceeds of approximately $555.9 million, which is described further in Note 11 to the accompanying unaudited condensed consolidated financial statements.</w:t>
      </w:r>
    </w:p>
    <w:p>
      <w:pPr>
        <w:spacing w:after="0" w:line="22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use our operating cash flow to finance trade accounts receivable, fund necessary increases in inventory including increasing inventory stock levels and advance buys in larger lot sizes to gain pricing benefits where possible, including to mitigate the impact of supply chain disruptions and price increases. We utilize working capital to fund revenue growth, including purchases of components necessary to ramp our production and provide Kratos with a first to market competitive advantage, fund prepayments required for long lead items necessary for production, fund internal investments of engineering and software development costs and fund capital expenditures. We also utilize our working capital for our internal research and development investments and our ongoing operations, to service our debt, enhance our security infrastructure, including facility and cyber security infrastructure, make strategic acquisitions and other discretionary investments. Financing trade accounts receivable is necessary as our customers may not pay us as quickly as we pay our suppliers, vendors and employees for their goods and services as a number of our receivables are contractually billable and due to us only when certain contractual milestones are achieved. Additionally, financing increases in inventory balances are necessary to fulfill shipment requirements to meet delivery schedules of our customers, to fund advanced inventory purchases to mitigate supply chain disruptions and fluctuations in demand for critical components, and to fund production for work in progress and increased inventory levels and prepayments for long-lead materials related to production and revenue growth. These financing requirements have increased and have recently negatively impacted our operating cash flows, including as related to actions we have taken to advance inventory purchases in an attempt to mitigate supply chain disruptions and to bolster our inventory levels. For the nine months ended September 27, 2026, approximately $34.9 million of operating cash flow use was related to increases in prepaid expenses and other assets which also include certain vendor prepayments and deposits related to the procurement of long-lead materials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8"/>
          <w:szCs w:val="18"/>
          <w:color w:val="auto"/>
        </w:rPr>
        <w:t>and inventory and investments we are making for certain unmanned systems initiatives. Cash from continuing operations is primarily derived from our customer contracts in progress and associated changes in working capital components. Our days sales outstanding (“DSO”) have increased from 124 days as of December 28, 2025 to 125 days at September 27, 2026, reflecting the timing of outstanding contractual billing milestones and our internal revenue growth, as well as the impact of the recent Nomad and Orbit acquisitions. Our DSO's are impacted by the achievement of contractual billing milestones, including equipment shipments and deliveries on certain products, the receipt of contractual funding, and for certain flight requirements that must be fulfilled on certain programs, or final milestone billings which are not due until completion on certain projects, and therefore we are unable to contractually bill for amounts outstanding related to those milestones at this time.</w:t>
      </w:r>
    </w:p>
    <w:p>
      <w:pPr>
        <w:spacing w:after="0" w:line="216"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A summary of our net cash provided by (used in) operating activities, investing activities, and financing activities from our condensed consolidated statements of cash flows is as follows (in millions):</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2026</w:t>
            </w:r>
          </w:p>
        </w:tc>
        <w:tc>
          <w:tcPr>
            <w:tcW w:w="160" w:type="dxa"/>
            <w:vAlign w:val="bottom"/>
          </w:tcPr>
          <w:p>
            <w:pPr>
              <w:spacing w:after="0"/>
              <w:rPr>
                <w:sz w:val="16"/>
                <w:szCs w:val="16"/>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2025</w:t>
            </w:r>
          </w:p>
        </w:tc>
      </w:tr>
      <w:tr>
        <w:trPr>
          <w:trHeight w:val="23"/>
        </w:trPr>
        <w:tc>
          <w:tcPr>
            <w:tcW w:w="7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(54.2)</w:t>
            </w:r>
          </w:p>
        </w:tc>
      </w:tr>
      <w:tr>
        <w:trPr>
          <w:trHeight w:val="243"/>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(71.1)</w:t>
            </w:r>
          </w:p>
        </w:tc>
      </w:tr>
      <w:tr>
        <w:trPr>
          <w:trHeight w:val="243"/>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360.2</w:t>
            </w:r>
          </w:p>
        </w:tc>
      </w:tr>
    </w:tbl>
    <w:p>
      <w:pPr>
        <w:spacing w:after="0" w:line="3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$43.6 million for the nine months ended September 27, 2026. Net cash used in operating activities for the nine months ended September 27, 2026 was primarily a result of net income of $16.1 million and changes in net working capital accounts of $180.7 million partially offset by noncash charges of $121.0 million which primarily includes stock compensation, depreciation and amortization. Net cash used in operating activities was $54.2 million for the nine months ended September 28, 2025. Net cash used in operating activities for the nine months ended September 28, 2025 was primarily a result of net income of $16.1 million and changes in net working capital accounts of $140.6 million partially offset by noncash charges of $70.3 million which includes stock compensation, depreciation and amortization.</w:t>
      </w:r>
    </w:p>
    <w:p>
      <w:pPr>
        <w:spacing w:after="0" w:line="21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$408.7 million for the nine months ended September 27, 2026 and is comprised primarily of $346.8 million of payments for acquisitions and $67.3 million of capital expenditures. During the nine months ended September 27, 2026, capital expenditures of approximately $17.7 million were incurred in our US business, primarily related to our unmanned tactical initiative. We expect our capital expenditures for fiscal year 2026 to continue to be significant for investments we are making, including in our US business totaling approximately $30 to $35 million, including approximately $20 to $25 million for Kratos owned capital aerial drones and related support equipment. The Company is currently producing or anticipates producing several versions of the Valkyrie within the ongoing 24 unit production run, with differing versions based on routine communications with the customers, which mix and ultimate duration of the 24 Lot Build may change as a result. In light of increased customer demand for our Firejet drones, which we expect will require us to approximately triple Firejet manufacturing capacity in Oklahoma City by the end of 2027, we are extending the timing of our previously planned Valkyrie production ramp of up to approximately 40 aircraft annually, which we previously expected to achieve by the beginning of 2028. Both the Valkyrie and Firejet are manufactured in our Oklahoma drone facility, and with the significant expected near-term demand for Firejet, we are managing our resources and capital across our drone portfolio based on evolving customer demand, mix and timing. The Company’s small jet engines are currently “designed in” on certain cruise missiles and loitering munitions, certain of which the Company may receive indications of requirements or production contracts for, which has resulted in the Company initiating the ordering from our supply chain the components to produce approximately 3,000 turbojet engines in 2027, which could impact our cash flow. Net cash used in investing activities was $71.1 million for the nine months ended September 28, 2025 and is comprised entirely of capital expenditures. During the nine months ended September 28, 2025, capital expenditures of approximately $25.8 million were incurred in our US business, primarily related to our unmanned tactical initiative. During the nine months ended September 27, 2026, the company funded $16.1 million related to its investment in the Prometheus Energetics (“Prometheus”) approximately 50/50 joint venture with RAFAEL Advanced Defense Systems, Ltd. (“RAFAEL”). Kratos and RAFAEL (through its U.S. based subsidiary RAFAEL USA) have jointly committed up to a combined total of $175 million in capital for the establishment of Prometheus and required property, plant, equity and personnel needed at the new, state-of-the-art SRM and energetics manufacturing campus and facilities. The Company expects to fund approximately $25 to $35 million to the Prometheus joint venture during 2026.</w:t>
      </w:r>
    </w:p>
    <w:p>
      <w:pPr>
        <w:spacing w:after="0" w:line="21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$1,296.5 million for the nine months ended September 27, 2026, which included net proceeds from the issuance of common stock of approximately $1,348.4 million (see Note 11 to the accompanying unaudited condensed consolidated financial statements) and employee stock purchase plan receipts of $12.0 million. These receipts were partially offset by payroll withholding taxes paid from vested restricted stock traded for taxes of $59.3 million, and payments made on financing lease obligations of $3.2 million. Net cash provided by financing activities was $360.2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right="1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28, 2025, which included employee stock purchase plan receipts of $9.9 million and net proceeds from the issuance of common stock of approximately $555.9 million (see Note 11 to the accompanying unaudited condensed consolidated financial statements). These proceeds were partially offset by $185.0 million of principal payments on our Term Loan A, which was extinguished on July 2, 2025, payroll withholding taxes paid from vested restricted stock traded for taxes of $19.2 million and payments made on financing lease obligations of $1.4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2022 Credit Facility</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18, 2022, the Company completed the refinancing of its then-outstanding $90 million revolving credit facility and $300 million 6.5% Senior Secured Notes, with a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11. The Company incurred a loss on the extinguishment of the debt of $0.5 million during the three months ended September 28, 2025 related to the write-off of unamortized debt issuance costs. This loss is included in Other income (expense) in the condensed consolidated statement of operations. The undrawn $200 million revolving credit facility under the 2022 Credit Facility remained active and available to the Company through the February 20, 2026 refinancing described below.</w:t>
      </w:r>
    </w:p>
    <w:p>
      <w:pPr>
        <w:spacing w:after="0" w:line="21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2022 Credit Facility was governed by a Credit Agreement (the “2022 Credit Agreement”), which established a 5-year senior secured credit facility which was comprised of a $200 million Revolving Credit Facility (which included sub-facilities for the incurrence of up to $10.0 million of swingline loans and the issuance of up to $50.0 million of Letters of Credit) and the $200 million Term Loan A. The 2022 Credit Agreement contemplated uncommitted incremental credit facilities of up to $200 million (which amount would be reduced by the aggregate amount of any and all incremental credit facilities actually established under the 2022 Credit Agreement) plus additional uncommitted incremental capacity subject to a limitation based on the Company’s pro forma total net leverage ratio (including any such additional uncommitted incremental capacity).</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and the term loan credit facility may take the form of base rate loans or Secured Overnight Financing Rate (“SOFR”) loans. Base rate loans under the 2022 Credit Agreement bore interest at a rate per annum equal to the sum of the Applicable Margin (as defined in the Credit Agreement) from time to time in effect plus the highest of (i) the Agent’s (as defined in the 2022 Credit Agreement) prime lending rate, as in effect at such time, (ii) the Federal Funds Rate (as defined in the 2022 Credit Agreement), as in effect at such time, plus 0.50%, (iii) the Adjusted Term SOFR (as defined in the 2022 Credit Agreement) for a one-month tenor in effect on such day, plus 1.00% and (iv) 1.00%. SOFR loans will bear interest at a rate per annum equal to the sum of the Applicable Margin from time to time in effect plus the Adjusted Term SOFR for an Interest Period (as defined in the 2022 Credit Agreement) selected by the Company of one, three or six months. The Applicable Margin varied between 1.25% and 2.25% per annum for SOFR loans and between 0.25% and 1.25% per annum for base rate loans, and is based on the Company’s total net leverage ratio from time to time.</w:t>
      </w:r>
    </w:p>
    <w:p>
      <w:pPr>
        <w:spacing w:after="0" w:line="21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contained certain covenants, which included, but were not limited to, restrictions on indebtedness, liens, fundamental changes, restricted payments, asset sales, and investments, and placed limits on various other payments. The Company was in compliance with the covenants contained in the 2022 Credit Agreement as of the February 20, 2026 refinancing described below.</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28, 2023, the Company entered into an interest rate swap contract to hedge U.S. dollar-one month Term SOFR in order to fix the interest rate movements associated with the Company’s Term Loan A. The initial hedge amount was $195.0 million and amortized in accordance with Term Loan A. The swap was at a fixed rate of one-month term SOFR of 3.721% and settled monthly on the last day of each calendar month. The swap had an effective date of May 1, 2023 and was scheduled to terminate on May 1, 2026. On June 30, 2025, in anticipation of the extinguishment of Term Loan A, the Company terminated the swap. The Company received a payment of approximately $0.3 million representing the termination value of the swap. Refer to Note 14 for further discussion of the accounting treatment of the swap arrangement.</w:t>
      </w:r>
    </w:p>
    <w:p>
      <w:pPr>
        <w:spacing w:after="0" w:line="21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the Company completed the refinancing of its 2022 Credit Facility with a new 5-year $300 million Revolving Credit Facility described below. There were no outstanding borrowings under the 2022 Credit Facility subsequent to the repayment in full of the Term Loan A under the 2022 Credit Facility on July 2, 2025. The outstanding letters of credit under the 2022 Credit Facility were transferred to the 2026 Credit Agreement described below.</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 2026 Credit Facility</w:t>
      </w:r>
    </w:p>
    <w:p>
      <w:pPr>
        <w:spacing w:after="0" w:line="256" w:lineRule="exact"/>
        <w:rPr>
          <w:sz w:val="20"/>
          <w:szCs w:val="20"/>
          <w:color w:val="auto"/>
        </w:rPr>
      </w:pPr>
    </w:p>
    <w:p>
      <w:pPr>
        <w:ind w:right="2060" w:firstLine="648"/>
        <w:spacing w:after="0" w:line="253" w:lineRule="auto"/>
        <w:rPr>
          <w:sz w:val="20"/>
          <w:szCs w:val="20"/>
          <w:color w:val="auto"/>
        </w:rPr>
      </w:pPr>
      <w:r>
        <w:rPr>
          <w:rFonts w:ascii="Times New Roman" w:cs="Times New Roman" w:eastAsia="Times New Roman" w:hAnsi="Times New Roman"/>
          <w:sz w:val="18"/>
          <w:szCs w:val="18"/>
          <w:color w:val="auto"/>
        </w:rPr>
        <w:t>On February 20, 2026, the Company entered into a Credit Agreement (the “2026 Credit Agreement”), by and among the Company, the guarantors from time to time party thereto, the lenders from time to time party thereto (the “Lenders”), and PNC Bank, National Association (the “Administrative Agent”), in its capacity as administrative agent, and as swingline loan lender and issuing lender. The 2026 Credit Agreement establishes a five-year senior secured credit facility which is comprised of a $300 million revolving credit facility (which includes sub-facilities for the incurrence of up to $35.0 million of swingline loans and the issuance of up to $50.0 million of Letters of Credit). Letters of credit outstanding under the 2022 Credit Agreement have been transferred to the 2026 Credit Agreement. The 2026 Credit Agreement contemplates uncommitted</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incremental credit facilities of up to $135.0 million. As of September 27, 2026, the Company has no amounts outstanding under the Revolving Credit Facility, with $300.0 million remaining in borrowing capacity, less approximately $1.5 million of domestic letters of credit outstanding. Foreign letters of credit outstanding of $29.0 million does not impact the availability of the Revolving Credit Facility.</w:t>
      </w:r>
    </w:p>
    <w:p>
      <w:pPr>
        <w:spacing w:after="0" w:line="21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spacing w:after="0" w:line="207" w:lineRule="exact"/>
        <w:rPr>
          <w:sz w:val="20"/>
          <w:szCs w:val="20"/>
          <w:color w:val="auto"/>
        </w:rPr>
      </w:pPr>
    </w:p>
    <w:p>
      <w:pPr>
        <w:ind w:right="1940"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may take the form of base rate loans or SOFR loans. Base rate loans under the 2026 Credit Agreement will bear interest at a rate per annum equal to the sum of the Applicable Margin (as defined in the 2026 Credit Agreement) from time to time in effect plus the highest of (i) the Overnight Bank Funding Rate (as defined in the 2026 Credit Agreement), as in effect at such time, plus 0.50%, (ii) the Administrative Agent’s prime lending rate, as in effect at such time, and (iii) the Daily Simple SOFR (as defined in the 2026 Credit Agreement) plus 1.00%, so long as Daily</w:t>
      </w:r>
    </w:p>
    <w:p>
      <w:pPr>
        <w:spacing w:after="0" w:line="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Simple SOFR is offered, ascertainable and not unlawful. SOFR loans will bear interest at a rate per annum equal to the sum of the Applicable Margin from time to time in effect plus the Term SOFR Rate for an Interest Period (as defined in the 2026 Credit Agreement) selected by the Company of one (1), three</w:t>
      </w:r>
    </w:p>
    <w:p>
      <w:pPr>
        <w:ind w:right="12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six (6) months. The Applicable Margin varies between 1.00% and 2.00% per annum for SOFR loans and between 0.00% and 1.00% per annum for base rate loans, and is based on the Company’s total net leverage ratio from time to time.</w:t>
      </w:r>
    </w:p>
    <w:p>
      <w:pPr>
        <w:spacing w:after="0" w:line="20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2026 Credit Agreement contains certain covenants, which include, but are not limited to, restrictions on indebtedness, liens, fundamental changes, restricted payments, asset sales, and investments, and places limits on various other payments.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Events of default under the terms of the 2026 Credit Agreement include, but are not limited to:</w:t>
      </w:r>
    </w:p>
    <w:p>
      <w:pPr>
        <w:spacing w:after="0" w:line="252" w:lineRule="exact"/>
        <w:rPr>
          <w:sz w:val="20"/>
          <w:szCs w:val="20"/>
          <w:color w:val="auto"/>
        </w:rPr>
      </w:pPr>
    </w:p>
    <w:p>
      <w:pPr>
        <w:ind w:left="760" w:hanging="10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principal of any loans in full when due and payable;</w:t>
      </w:r>
    </w:p>
    <w:p>
      <w:pPr>
        <w:spacing w:after="0" w:line="252" w:lineRule="exact"/>
        <w:rPr>
          <w:rFonts w:ascii="Times New Roman" w:cs="Times New Roman" w:eastAsia="Times New Roman" w:hAnsi="Times New Roman"/>
          <w:sz w:val="18"/>
          <w:szCs w:val="18"/>
          <w:color w:val="auto"/>
        </w:rPr>
      </w:pPr>
    </w:p>
    <w:p>
      <w:pPr>
        <w:ind w:right="2240" w:firstLine="656"/>
        <w:spacing w:after="0" w:line="282"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pay any interest on any loan or any fee or other amount payable under the 2026 Credit Agreement within five business days after the date when due and payable;</w:t>
      </w:r>
    </w:p>
    <w:p>
      <w:pPr>
        <w:spacing w:after="0" w:line="188" w:lineRule="exact"/>
        <w:rPr>
          <w:rFonts w:ascii="Times New Roman" w:cs="Times New Roman" w:eastAsia="Times New Roman" w:hAnsi="Times New Roman"/>
          <w:sz w:val="18"/>
          <w:szCs w:val="18"/>
          <w:color w:val="auto"/>
        </w:rPr>
      </w:pPr>
    </w:p>
    <w:p>
      <w:pPr>
        <w:ind w:right="2500" w:firstLine="656"/>
        <w:spacing w:after="0" w:line="282"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or any of its subsidiaries to comply with certain covenants and agreements, subject to applicable grace periods and/or notice requirements; and</w:t>
      </w:r>
    </w:p>
    <w:p>
      <w:pPr>
        <w:spacing w:after="0" w:line="188" w:lineRule="exact"/>
        <w:rPr>
          <w:rFonts w:ascii="Times New Roman" w:cs="Times New Roman" w:eastAsia="Times New Roman" w:hAnsi="Times New Roman"/>
          <w:sz w:val="18"/>
          <w:szCs w:val="18"/>
          <w:color w:val="auto"/>
        </w:rPr>
      </w:pPr>
    </w:p>
    <w:p>
      <w:pPr>
        <w:ind w:right="1940" w:firstLine="656"/>
        <w:spacing w:after="0" w:line="255" w:lineRule="auto"/>
        <w:tabs>
          <w:tab w:leader="none" w:pos="7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of its subsidiaries in or in connection with the 2026 Credit Agreement or in any certificate, report, financial statement or other document submitted to the Administrative Agent or the Lenders by the Company or the Guarantors pursuant to or in connection with the 2026 Credit Agreement or any other loan document shall prove to be incorrect in any material respect (other than any representation or warranty that is expressly qualified by a Material Adverse Effect (as defined in the 2026 Credit Agreement) or other materiality, in which case such representation or warranty shall prove to be incorrect in any respect) when made or deemed made or submitted.</w:t>
      </w:r>
    </w:p>
    <w:p>
      <w:pPr>
        <w:spacing w:after="0" w:line="216" w:lineRule="exact"/>
        <w:rPr>
          <w:sz w:val="20"/>
          <w:szCs w:val="20"/>
          <w:color w:val="auto"/>
        </w:rPr>
      </w:pPr>
    </w:p>
    <w:p>
      <w:pPr>
        <w:ind w:right="2000"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notice requirements and other conditions, upon the occurrence of an event of default, commitments may be terminated and the principal of, and interest then outstanding on, all of the loans may become immediately due and payable; however, where an event of default arises from certain bankruptcy events, the commitments shall automatically and immediately terminate and the principal of, and interest then outstanding on, all of the loans shall become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In connection with the execution of the transactions contemplated by the 2026 Credit Agreement, the 2022 Credit Agreement was terminated.</w:t>
      </w:r>
    </w:p>
    <w:p>
      <w:pPr>
        <w:spacing w:after="0" w:line="252" w:lineRule="exact"/>
        <w:rPr>
          <w:sz w:val="20"/>
          <w:szCs w:val="20"/>
          <w:color w:val="auto"/>
        </w:rPr>
      </w:pPr>
    </w:p>
    <w:p>
      <w:pPr>
        <w:ind w:right="2000" w:firstLine="648"/>
        <w:spacing w:after="0" w:line="282" w:lineRule="auto"/>
        <w:rPr>
          <w:sz w:val="20"/>
          <w:szCs w:val="20"/>
          <w:color w:val="auto"/>
        </w:rPr>
      </w:pPr>
      <w:r>
        <w:rPr>
          <w:rFonts w:ascii="Times New Roman" w:cs="Times New Roman" w:eastAsia="Times New Roman" w:hAnsi="Times New Roman"/>
          <w:sz w:val="18"/>
          <w:szCs w:val="18"/>
          <w:color w:val="auto"/>
        </w:rPr>
        <w:t>Pursuant to the 2026 Credit Agreement, the Company is subject to certain restrictions on its ability to pay dividends or make other distributions or payments on account of any redemption, retirement or purchase of any capital stock.</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has capitalized and is amortizing the debt issuance costs over the term of the facility. The unamortized balance at September 27, 2026 and December 28, 2025 were $1.5 million and $0.4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cash on hand, together with funds available under the undrawn $300.0 million revolving credit facility under the 2026 Credit Agreement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for the three and nine months ended September 27, 2026 include the activity of Nomad Global Communication Solutions, Incorporated ("Nomad GCS"), which was acquired on February 11, 2026, and Orbit Technologies, Ltd. ("Orbit"), which was acquired on March 2, 2026.</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Pursuant to ASC 805, Business Combinations, the initial purchase price allocations for these acquisitions remain provisional as of September 27, 2026. The identification and valuation of intangible assets for Nomad GCS have been finalized, subject to pending tax-related adjustments, while the valuation for Orbit remains in progress. Accordingly, the excess of purchase consideration over the preliminary fair values of net assets acquired has been allocated to goodwill.</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process of identifying and valuing intangible assets requires significant management judgment and the use of estimates, including projected future cash flows and appropriate discount rates. These provisional estimates are subject to change during the measurement period (not to exceed one year from the acquisition dates) as additional information is obtained.</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27, 2026, we recorded measurement period adjustments to the preliminary Orbit purchase price allocation that decreased goodwill by approximately $17.7 million and increased finite-lived identifiable intangible assets by approximately $23.5 million (see Note 2 to the accompanying unaudited condensed consolidated financial statements). Any future allocation of value from non-amortizing goodwill to finite-lived identifiable intangible assets will likely result in an increase in amortization expense in future periods and may impact our deferred tax accounts. We will continue to evaluate the provisional amounts recognized for these acquisitions at each reporting period during the measurement period to determine if any adjustments are necessary based on new information obtained about facts and circumstances that existed as of the acquisition dates. We expect to refine these provisional amounts as the formal valuation processes for both acquisitions progresses.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significant changes to our “Critical Accounting Policies or Estimates” as compared to the significant accounting policies described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Since December 28, 2025, there have been no material changes in the quantitative or qualitative aspects of our market risk profile, except as described below. For additional information regarding our exposure to certain market risks, see “Item 7A. Quantitative and Qualitative Disclosures About</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Market Risk” included in our Annual Report on Form 10-K for the fiscal year ended December 28, 2025 that we filed with the SEC on February 23, 2026. Following the Orbit acquisition, a larger portion of our costs, including materials and salaries at our operations in Israel, is denominated in the Israeli Shekel, and fluctuations in the exchange rate between the Shekel and the U.S. dollar may adversely affect our results of operations. During 2026, we began entering into foreign currency forward contracts to manage a portion of this exposure. At September 27, 2026, these contracts had a notional value of $27.5 million and a net fair value of zero (see Note 14 to the accompanying unaudited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Conclusions Regarding the Effectiveness of Disclosure Controls and Procedures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03"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our Principal Executive Officer and Principal Financial Officer concluded that our disclosure controls and procedures were effective at the reasonable assurance level as of September 27, 2026.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ind w:right="40" w:firstLine="693"/>
        <w:spacing w:after="0" w:line="255" w:lineRule="auto"/>
        <w:rPr>
          <w:sz w:val="20"/>
          <w:szCs w:val="20"/>
          <w:color w:val="auto"/>
        </w:rPr>
      </w:pPr>
      <w:r>
        <w:rPr>
          <w:rFonts w:ascii="Times New Roman" w:cs="Times New Roman" w:eastAsia="Times New Roman" w:hAnsi="Times New Roman"/>
          <w:sz w:val="18"/>
          <w:szCs w:val="18"/>
          <w:color w:val="auto"/>
        </w:rPr>
        <w:t>During the fiscal quarter ended March 29, 2026, the Company completed the acquisitions of Orbit Technologies Ltd. on March 2, 2026 and Nomad Global Communication Solutions, Incorporated on February 11, 2026. The Company is in the process of integrating the operations, systems and internal controls of these acquired businesses into its overall internal control over financial reporting environment and, as part of that process, is evaluating and, where appropriate, implementing additional controls and procedures related to financial reporting, including controls over purchase accounting and related estimates. Other than the integration activities associated with these acquisitions, there were no changes in the Company’s internal control over financial reporting during the fiscal quarter ended September 27,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contained within this Quarterly Report for a discussion of our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Rule 10b5-1 Trading Plans</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27, 2026, none of our directors or officers (as defined in Rule 16a-1 under the Exchange Act) adopted, modified or terminated a "Rule 10b5-1 trading arrangement" or "non-Rule 10b5-1 trading arrangement" (as those terms are defined in Item 408 of Regulation S-K), except as described in the table below:</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640" w:type="dxa"/>
            <w:vAlign w:val="bottom"/>
            <w:tcBorders>
              <w:top w:val="single" w:sz="8" w:color="auto"/>
              <w:left w:val="single" w:sz="8" w:color="auto"/>
              <w:right w:val="single" w:sz="8" w:color="auto"/>
            </w:tcBorders>
          </w:tcPr>
          <w:p>
            <w:pPr>
              <w:spacing w:after="0"/>
              <w:rPr>
                <w:sz w:val="16"/>
                <w:szCs w:val="16"/>
                <w:color w:val="auto"/>
              </w:rPr>
            </w:pPr>
          </w:p>
        </w:tc>
        <w:tc>
          <w:tcPr>
            <w:tcW w:w="216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 10b5-1 Trading</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0" w:type="dxa"/>
            <w:vAlign w:val="bottom"/>
          </w:tcPr>
          <w:p>
            <w:pPr>
              <w:spacing w:after="0"/>
              <w:rPr>
                <w:sz w:val="1"/>
                <w:szCs w:val="1"/>
                <w:color w:val="auto"/>
              </w:rPr>
            </w:pPr>
          </w:p>
        </w:tc>
      </w:tr>
      <w:tr>
        <w:trPr>
          <w:trHeight w:val="162"/>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Applicable Date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86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Subject to</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16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1200" w:type="dxa"/>
            <w:vAlign w:val="bottom"/>
            <w:tcBorders>
              <w:bottom w:val="single" w:sz="8" w:color="auto"/>
              <w:right w:val="single" w:sz="8" w:color="auto"/>
            </w:tcBorders>
            <w:vMerge w:val="continue"/>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Arrangement? (Y/N)</w:t>
            </w:r>
            <w:r>
              <w:rPr>
                <w:rFonts w:ascii="Times New Roman" w:cs="Times New Roman" w:eastAsia="Times New Roman" w:hAnsi="Times New Roman"/>
                <w:sz w:val="21"/>
                <w:szCs w:val="21"/>
                <w:b w:val="1"/>
                <w:bCs w:val="1"/>
                <w:color w:val="auto"/>
                <w:w w:val="99"/>
                <w:vertAlign w:val="superscript"/>
              </w:rPr>
              <w:t>(1)</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Arrangement</w:t>
            </w:r>
          </w:p>
        </w:tc>
        <w:tc>
          <w:tcPr>
            <w:tcW w:w="0" w:type="dxa"/>
            <w:vAlign w:val="bottom"/>
          </w:tcPr>
          <w:p>
            <w:pPr>
              <w:spacing w:after="0"/>
              <w:rPr>
                <w:sz w:val="1"/>
                <w:szCs w:val="1"/>
                <w:color w:val="auto"/>
              </w:rPr>
            </w:pPr>
          </w:p>
        </w:tc>
      </w:tr>
      <w:tr>
        <w:trPr>
          <w:trHeight w:val="147"/>
        </w:trPr>
        <w:tc>
          <w:tcPr>
            <w:tcW w:w="1640" w:type="dxa"/>
            <w:vAlign w:val="bottom"/>
            <w:tcBorders>
              <w:left w:val="single" w:sz="8" w:color="auto"/>
              <w:right w:val="single" w:sz="8" w:color="auto"/>
            </w:tcBorders>
            <w:shd w:val="clear" w:color="auto" w:fill="CCEEFF"/>
          </w:tcPr>
          <w:p>
            <w:pPr>
              <w:spacing w:after="0"/>
              <w:rPr>
                <w:sz w:val="12"/>
                <w:szCs w:val="12"/>
                <w:color w:val="auto"/>
              </w:rPr>
            </w:pPr>
          </w:p>
        </w:tc>
        <w:tc>
          <w:tcPr>
            <w:tcW w:w="21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 Space, Training and</w:t>
            </w:r>
          </w:p>
        </w:tc>
        <w:tc>
          <w:tcPr>
            <w:tcW w:w="1200" w:type="dxa"/>
            <w:vAlign w:val="bottom"/>
            <w:tcBorders>
              <w:right w:val="single" w:sz="8" w:color="auto"/>
            </w:tcBorders>
            <w:shd w:val="clear" w:color="auto" w:fill="CCEEFF"/>
          </w:tcPr>
          <w:p>
            <w:pPr>
              <w:spacing w:after="0"/>
              <w:rPr>
                <w:sz w:val="12"/>
                <w:szCs w:val="12"/>
                <w:color w:val="auto"/>
              </w:rPr>
            </w:pPr>
          </w:p>
        </w:tc>
        <w:tc>
          <w:tcPr>
            <w:tcW w:w="1220" w:type="dxa"/>
            <w:vAlign w:val="bottom"/>
            <w:tcBorders>
              <w:right w:val="single" w:sz="8" w:color="auto"/>
            </w:tcBorders>
            <w:shd w:val="clear" w:color="auto" w:fill="CCEEFF"/>
          </w:tcPr>
          <w:p>
            <w:pPr>
              <w:spacing w:after="0"/>
              <w:rPr>
                <w:sz w:val="12"/>
                <w:szCs w:val="12"/>
                <w:color w:val="auto"/>
              </w:rPr>
            </w:pPr>
          </w:p>
        </w:tc>
        <w:tc>
          <w:tcPr>
            <w:tcW w:w="1200" w:type="dxa"/>
            <w:vAlign w:val="bottom"/>
            <w:tcBorders>
              <w:right w:val="single" w:sz="8" w:color="auto"/>
            </w:tcBorders>
            <w:shd w:val="clear" w:color="auto" w:fill="CCEEFF"/>
          </w:tcPr>
          <w:p>
            <w:pPr>
              <w:spacing w:after="0"/>
              <w:rPr>
                <w:sz w:val="12"/>
                <w:szCs w:val="12"/>
                <w:color w:val="auto"/>
              </w:rPr>
            </w:pPr>
          </w:p>
        </w:tc>
        <w:tc>
          <w:tcPr>
            <w:tcW w:w="1860" w:type="dxa"/>
            <w:vAlign w:val="bottom"/>
            <w:tcBorders>
              <w:right w:val="single" w:sz="8" w:color="auto"/>
            </w:tcBorders>
            <w:shd w:val="clear" w:color="auto" w:fill="CCEEFF"/>
          </w:tcPr>
          <w:p>
            <w:pPr>
              <w:spacing w:after="0"/>
              <w:rPr>
                <w:sz w:val="12"/>
                <w:szCs w:val="12"/>
                <w:color w:val="auto"/>
              </w:rPr>
            </w:pPr>
          </w:p>
        </w:tc>
        <w:tc>
          <w:tcPr>
            <w:tcW w:w="19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7"/>
        </w:trPr>
        <w:tc>
          <w:tcPr>
            <w:tcW w:w="16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Phillip Carrai</w:t>
            </w:r>
          </w:p>
        </w:tc>
        <w:tc>
          <w:tcPr>
            <w:tcW w:w="2160" w:type="dxa"/>
            <w:vAlign w:val="bottom"/>
            <w:tcBorders>
              <w:right w:val="single" w:sz="8" w:color="auto"/>
            </w:tcBorders>
            <w:vMerge w:val="continue"/>
            <w:shd w:val="clear" w:color="auto" w:fill="CCEEFF"/>
          </w:tcPr>
          <w:p>
            <w:pPr>
              <w:spacing w:after="0"/>
              <w:rPr>
                <w:sz w:val="13"/>
                <w:szCs w:val="13"/>
                <w:color w:val="auto"/>
              </w:rPr>
            </w:pP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220" w:type="dxa"/>
            <w:vAlign w:val="bottom"/>
            <w:tcBorders>
              <w:right w:val="single" w:sz="8" w:color="auto"/>
            </w:tcBorders>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8/21/2026</w:t>
            </w:r>
          </w:p>
        </w:tc>
        <w:tc>
          <w:tcPr>
            <w:tcW w:w="1200" w:type="dxa"/>
            <w:vAlign w:val="bottom"/>
            <w:tcBorders>
              <w:right w:val="single" w:sz="8" w:color="auto"/>
            </w:tcBorders>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12/31/2027</w:t>
            </w:r>
          </w:p>
        </w:tc>
        <w:tc>
          <w:tcPr>
            <w:tcW w:w="18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6"/>
              </w:rPr>
              <w:t>Y</w:t>
            </w:r>
          </w:p>
        </w:tc>
        <w:tc>
          <w:tcPr>
            <w:tcW w:w="1980" w:type="dxa"/>
            <w:vAlign w:val="bottom"/>
            <w:tcBorders>
              <w:right w:val="single" w:sz="8" w:color="auto"/>
            </w:tcBorders>
            <w:vMerge w:val="restart"/>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rPr>
              <w:t>78,000</w:t>
            </w:r>
          </w:p>
        </w:tc>
        <w:tc>
          <w:tcPr>
            <w:tcW w:w="0" w:type="dxa"/>
            <w:vAlign w:val="bottom"/>
          </w:tcPr>
          <w:p>
            <w:pPr>
              <w:spacing w:after="0"/>
              <w:rPr>
                <w:sz w:val="1"/>
                <w:szCs w:val="1"/>
                <w:color w:val="auto"/>
              </w:rPr>
            </w:pPr>
          </w:p>
        </w:tc>
      </w:tr>
      <w:tr>
        <w:trPr>
          <w:trHeight w:val="213"/>
        </w:trPr>
        <w:tc>
          <w:tcPr>
            <w:tcW w:w="1640" w:type="dxa"/>
            <w:vAlign w:val="bottom"/>
            <w:tcBorders>
              <w:left w:val="single" w:sz="8" w:color="auto"/>
              <w:bottom w:val="single" w:sz="8" w:color="auto"/>
              <w:right w:val="single" w:sz="8" w:color="auto"/>
            </w:tcBorders>
            <w:vMerge w:val="continue"/>
            <w:shd w:val="clear" w:color="auto" w:fill="CCEEFF"/>
          </w:tcPr>
          <w:p>
            <w:pPr>
              <w:spacing w:after="0"/>
              <w:rPr>
                <w:sz w:val="18"/>
                <w:szCs w:val="18"/>
                <w:color w:val="auto"/>
              </w:rPr>
            </w:pPr>
          </w:p>
        </w:tc>
        <w:tc>
          <w:tcPr>
            <w:tcW w:w="2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Cyber Division</w:t>
            </w:r>
          </w:p>
        </w:tc>
        <w:tc>
          <w:tcPr>
            <w:tcW w:w="12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8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98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Denotes whether the trading arrangement is intended to satisfy the affirmative defense of Rule 10b5-1(c).</w:t>
      </w:r>
    </w:p>
    <w:p>
      <w:pPr>
        <w:spacing w:after="0" w:line="235" w:lineRule="exact"/>
        <w:rPr>
          <w:rFonts w:ascii="Times New Roman" w:cs="Times New Roman" w:eastAsia="Times New Roman" w:hAnsi="Times New Roman"/>
          <w:sz w:val="19"/>
          <w:szCs w:val="19"/>
          <w:color w:val="auto"/>
          <w:vertAlign w:val="superscript"/>
        </w:rPr>
      </w:pPr>
    </w:p>
    <w:p>
      <w:pPr>
        <w:ind w:right="260" w:firstLine="8"/>
        <w:spacing w:after="0" w:line="286" w:lineRule="auto"/>
        <w:tabs>
          <w:tab w:leader="none" w:pos="149"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number represents the maximum number of shares of our common stock that may be sold pursuant to the trading arrangement. The number of shares actually sold will depend on the satisfaction of certain conditions set forth in the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40" w:type="dxa"/>
            <w:vAlign w:val="bottom"/>
            <w:gridSpan w:val="19"/>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40" w:type="dxa"/>
            <w:vAlign w:val="bottom"/>
            <w:gridSpan w:val="1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22"/>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Certificate of Incorporation of Kratos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Defense &amp; Security Solutions, Inc., as amended.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22"/>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Amended and Restated Bylaws of Kratos Defense &amp;</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Security Solutions, Inc., as amended.</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Specimen Stock Certificate.</w:t>
              </w:r>
            </w:hyperlink>
          </w:p>
        </w:tc>
        <w:tc>
          <w:tcPr>
            <w:tcW w:w="640" w:type="dxa"/>
            <w:vAlign w:val="bottom"/>
            <w:tcBorders>
              <w:top w:val="single" w:sz="8" w:color="0000FF"/>
            </w:tcBorders>
            <w:gridSpan w:val="2"/>
          </w:tcPr>
          <w:p>
            <w:pPr>
              <w:spacing w:after="0"/>
              <w:rPr>
                <w:sz w:val="20"/>
                <w:szCs w:val="20"/>
                <w:color w:val="auto"/>
              </w:rPr>
            </w:pPr>
          </w:p>
        </w:tc>
        <w:tc>
          <w:tcPr>
            <w:tcW w:w="210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of the Sarbanes Oxley Act of 2002</w:t>
            </w:r>
          </w:p>
        </w:tc>
        <w:tc>
          <w:tcPr>
            <w:tcW w:w="2040" w:type="dxa"/>
            <w:vAlign w:val="bottom"/>
            <w:tcBorders>
              <w:top w:val="single" w:sz="8" w:color="0000FF"/>
            </w:tcBorders>
            <w:gridSpan w:val="14"/>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0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Eric M. DeMarco.</w:t>
            </w:r>
          </w:p>
        </w:tc>
        <w:tc>
          <w:tcPr>
            <w:tcW w:w="320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0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for</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Deanna Lund.</w:t>
            </w:r>
          </w:p>
        </w:tc>
        <w:tc>
          <w:tcPr>
            <w:tcW w:w="3500" w:type="dxa"/>
            <w:vAlign w:val="bottom"/>
            <w:tcBorders>
              <w:top w:val="single" w:sz="8" w:color="0000FF"/>
            </w:tcBorders>
            <w:gridSpan w:val="16"/>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Inline XBRL Instance Document-the instance document does not</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appear in the Interactive Data File because its XBRL tags are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embedded within the Inline XBRL document</w:t>
            </w:r>
          </w:p>
        </w:tc>
        <w:tc>
          <w:tcPr>
            <w:tcW w:w="114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3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Schema Document</w:t>
            </w:r>
          </w:p>
        </w:tc>
        <w:tc>
          <w:tcPr>
            <w:tcW w:w="82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Inline XBRL Taxonomy Extension Calculation Linkbase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6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0"/>
                <w:szCs w:val="20"/>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Inline XBRL Taxonomy Extension Definition Linkbase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1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20" w:type="dxa"/>
            <w:vAlign w:val="bottom"/>
            <w:gridSpan w:val="11"/>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0"/>
                <w:szCs w:val="20"/>
                <w:color w:val="auto"/>
              </w:rPr>
            </w:pPr>
          </w:p>
        </w:tc>
        <w:tc>
          <w:tcPr>
            <w:tcW w:w="4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Inline XBRL Taxonomy Extension Label Linkbase Document</w:t>
            </w:r>
          </w:p>
        </w:tc>
        <w:tc>
          <w:tcPr>
            <w:tcW w:w="2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19"/>
                <w:szCs w:val="19"/>
                <w:color w:val="auto"/>
              </w:rPr>
            </w:pPr>
          </w:p>
        </w:tc>
        <w:tc>
          <w:tcPr>
            <w:tcW w:w="4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Inline XBRL Taxonomy Extension Presentation Linkbase</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Document</w:t>
            </w:r>
          </w:p>
        </w:tc>
        <w:tc>
          <w:tcPr>
            <w:tcW w:w="6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160" w:right="100" w:hanging="774"/>
        <w:spacing w:after="0" w:line="237"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4599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Incorporated by</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23749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spacing w:after="0"/>
              <w:rPr>
                <w:sz w:val="13"/>
                <w:szCs w:val="13"/>
                <w:color w:val="auto"/>
              </w:rPr>
            </w:pPr>
          </w:p>
        </w:tc>
        <w:tc>
          <w:tcPr>
            <w:tcW w:w="11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7"/>
        </w:trPr>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Period End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jc w:val="center"/>
              <w:ind w:left="388"/>
              <w:spacing w:after="0" w:line="137"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122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vMerge w:val="continue"/>
          </w:tcPr>
          <w:p>
            <w:pPr>
              <w:spacing w:after="0"/>
              <w:rPr>
                <w:sz w:val="16"/>
                <w:szCs w:val="16"/>
                <w:color w:val="auto"/>
              </w:rPr>
            </w:pPr>
          </w:p>
        </w:tc>
        <w:tc>
          <w:tcPr>
            <w:tcW w:w="11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08/04/2026</w:t>
            </w:r>
          </w:p>
        </w:tc>
        <w:tc>
          <w:tcPr>
            <w:tcW w:w="12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05/24/2024</w:t>
            </w:r>
          </w:p>
        </w:tc>
        <w:tc>
          <w:tcPr>
            <w:tcW w:w="12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(001-34460)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02/27/2017</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20"/>
        <w:spacing w:after="0"/>
        <w:rPr>
          <w:sz w:val="20"/>
          <w:szCs w:val="20"/>
          <w:color w:val="auto"/>
        </w:rPr>
      </w:pPr>
      <w:r>
        <w:rPr>
          <w:rFonts w:ascii="Times New Roman" w:cs="Times New Roman" w:eastAsia="Times New Roman" w:hAnsi="Times New Roman"/>
          <w:sz w:val="18"/>
          <w:szCs w:val="18"/>
          <w:color w:val="auto"/>
        </w:rPr>
        <w:t>(001-34460)</w:t>
      </w:r>
    </w:p>
    <w:p>
      <w:pPr>
        <w:spacing w:after="0" w:line="3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920" w:space="100"/>
            <w:col w:w="4840"/>
          </w:cols>
          <w:pgMar w:left="320" w:top="887" w:right="71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171" w:lineRule="exact"/>
        <w:rPr>
          <w:sz w:val="20"/>
          <w:szCs w:val="20"/>
          <w:color w:val="auto"/>
        </w:rPr>
      </w:pPr>
    </w:p>
    <w:tbl>
      <w:tblPr>
        <w:tblLayout w:type="fixed"/>
        <w:tblInd w:w="54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M. DEMARCO</w:t>
            </w:r>
          </w:p>
        </w:tc>
      </w:tr>
      <w:tr>
        <w:trPr>
          <w:trHeight w:val="237"/>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M. DeMarco</w:t>
            </w:r>
          </w:p>
        </w:tc>
      </w:tr>
      <w:tr>
        <w:trPr>
          <w:trHeight w:val="243"/>
        </w:trPr>
        <w:tc>
          <w:tcPr>
            <w:tcW w:w="5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Executive Officer, President</w:t>
            </w:r>
          </w:p>
        </w:tc>
      </w:tr>
      <w:tr>
        <w:trPr>
          <w:trHeight w:val="243"/>
        </w:trPr>
        <w:tc>
          <w:tcPr>
            <w:tcW w:w="5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DEANNA H. LUND</w:t>
            </w:r>
          </w:p>
        </w:tc>
      </w:tr>
      <w:tr>
        <w:trPr>
          <w:trHeight w:val="237"/>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Deanna H. Lund</w:t>
            </w:r>
          </w:p>
        </w:tc>
      </w:tr>
      <w:tr>
        <w:trPr>
          <w:trHeight w:val="243"/>
        </w:trPr>
        <w:tc>
          <w:tcPr>
            <w:tcW w:w="5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Chief Financial Officer</w:t>
            </w:r>
          </w:p>
        </w:tc>
      </w:tr>
      <w:tr>
        <w:trPr>
          <w:trHeight w:val="243"/>
        </w:trPr>
        <w:tc>
          <w:tcPr>
            <w:tcW w:w="5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56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MARIA CERVANTES DE BURGREEN</w:t>
            </w:r>
          </w:p>
        </w:tc>
      </w:tr>
      <w:tr>
        <w:trPr>
          <w:trHeight w:val="237"/>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Maria Cervantes de Burgreen</w:t>
            </w:r>
          </w:p>
        </w:tc>
      </w:tr>
      <w:tr>
        <w:trPr>
          <w:trHeight w:val="243"/>
        </w:trPr>
        <w:tc>
          <w:tcPr>
            <w:tcW w:w="5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Corporate Controller</w:t>
            </w:r>
          </w:p>
        </w:tc>
      </w:tr>
      <w:tr>
        <w:trPr>
          <w:trHeight w:val="243"/>
        </w:trPr>
        <w:tc>
          <w:tcPr>
            <w:tcW w:w="5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5,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887"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Eric M. DeMarco, certify that:</w:t>
      </w:r>
    </w:p>
    <w:p>
      <w:pPr>
        <w:spacing w:after="0" w:line="20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23" w:lineRule="exact"/>
        <w:rPr>
          <w:rFonts w:ascii="Times New Roman" w:cs="Times New Roman" w:eastAsia="Times New Roman" w:hAnsi="Times New Roman"/>
          <w:sz w:val="16"/>
          <w:szCs w:val="16"/>
          <w:color w:val="auto"/>
        </w:rPr>
      </w:pPr>
    </w:p>
    <w:p>
      <w:pPr>
        <w:ind w:left="660" w:hanging="652"/>
        <w:spacing w:after="0" w:line="255"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ind w:left="660" w:right="200" w:hanging="652"/>
        <w:spacing w:after="0" w:line="25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300" w:hanging="644"/>
        <w:spacing w:after="0" w:line="260"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00" w:hanging="644"/>
        <w:spacing w:after="0" w:line="253"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1300" w:right="160" w:hanging="644"/>
        <w:spacing w:after="0" w:line="253"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60" w:lineRule="auto"/>
        <w:tabs>
          <w:tab w:leader="none" w:pos="13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6"/>
          <w:szCs w:val="16"/>
          <w:color w:val="auto"/>
        </w:rPr>
      </w:pPr>
    </w:p>
    <w:p>
      <w:pPr>
        <w:ind w:left="660" w:right="120" w:hanging="652"/>
        <w:spacing w:after="0" w:line="280"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6"/>
          <w:szCs w:val="16"/>
          <w:color w:val="auto"/>
        </w:rPr>
      </w:pPr>
    </w:p>
    <w:p>
      <w:pPr>
        <w:ind w:left="1300" w:right="80" w:hanging="644"/>
        <w:spacing w:after="0" w:line="267"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7"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2026</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Eric M. DeMarco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Deanna H. Lund, certify that:</w:t>
      </w:r>
    </w:p>
    <w:p>
      <w:pPr>
        <w:spacing w:after="0" w:line="22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Kratos Defense &amp; Security Solutions, Inc.;</w:t>
      </w:r>
    </w:p>
    <w:p>
      <w:pPr>
        <w:spacing w:after="0" w:line="9"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652"/>
        <w:spacing w:after="0" w:line="24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Times New Roman" w:cs="Times New Roman" w:eastAsia="Times New Roman" w:hAnsi="Times New Roman"/>
          <w:sz w:val="18"/>
          <w:szCs w:val="18"/>
          <w:color w:val="auto"/>
        </w:rPr>
      </w:pPr>
    </w:p>
    <w:p>
      <w:pPr>
        <w:ind w:left="660" w:right="200" w:hanging="652"/>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8"/>
          <w:szCs w:val="18"/>
          <w:color w:val="auto"/>
        </w:rPr>
      </w:pPr>
    </w:p>
    <w:p>
      <w:pPr>
        <w:ind w:left="1300" w:right="280" w:hanging="644"/>
        <w:spacing w:after="0" w:line="251"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120" w:hanging="644"/>
        <w:spacing w:after="0" w:line="253"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140" w:hanging="644"/>
        <w:spacing w:after="0" w:line="248"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3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Times New Roman" w:cs="Times New Roman" w:eastAsia="Times New Roman" w:hAnsi="Times New Roman"/>
          <w:sz w:val="18"/>
          <w:szCs w:val="18"/>
          <w:color w:val="auto"/>
        </w:rPr>
      </w:pPr>
    </w:p>
    <w:p>
      <w:pPr>
        <w:ind w:left="660" w:right="120" w:hanging="652"/>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Times New Roman" w:cs="Times New Roman" w:eastAsia="Times New Roman" w:hAnsi="Times New Roman"/>
          <w:sz w:val="18"/>
          <w:szCs w:val="18"/>
          <w:color w:val="auto"/>
        </w:rPr>
      </w:pPr>
    </w:p>
    <w:p>
      <w:pPr>
        <w:ind w:left="1300" w:right="80" w:hanging="644"/>
        <w:spacing w:after="0" w:line="253" w:lineRule="auto"/>
        <w:tabs>
          <w:tab w:leader="none" w:pos="12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00" w:hanging="644"/>
        <w:spacing w:after="0" w:line="258" w:lineRule="auto"/>
        <w:tabs>
          <w:tab w:leader="none" w:pos="129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2026</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3454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Deanna H. Lund</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p>
      <w:pPr>
        <w:sectPr>
          <w:pgSz w:w="11900" w:h="16838" w:orient="portrait"/>
          <w:cols w:equalWidth="0" w:num="1">
            <w:col w:w="11240"/>
          </w:cols>
          <w:pgMar w:left="320" w:top="89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ind w:right="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September 27, 2026 (the “Report”), I, Eric M. DeMarco, Chief Executive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Eric M. DeMarco</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Chief Executive Officer, President</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SECTION 906 OF THE SARBANES-OXLEY ACT OF 2002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0" w:lineRule="exact"/>
        <w:rPr>
          <w:sz w:val="20"/>
          <w:szCs w:val="20"/>
          <w:color w:val="auto"/>
        </w:rPr>
      </w:pPr>
    </w:p>
    <w:p>
      <w:pPr>
        <w:ind w:right="40" w:firstLine="162"/>
        <w:spacing w:after="0" w:line="272" w:lineRule="auto"/>
        <w:rPr>
          <w:sz w:val="20"/>
          <w:szCs w:val="20"/>
          <w:color w:val="auto"/>
        </w:rPr>
      </w:pPr>
      <w:r>
        <w:rPr>
          <w:rFonts w:ascii="Times New Roman" w:cs="Times New Roman" w:eastAsia="Times New Roman" w:hAnsi="Times New Roman"/>
          <w:sz w:val="16"/>
          <w:szCs w:val="16"/>
          <w:color w:val="auto"/>
        </w:rPr>
        <w:t>In connection with the accompanying Quarterly Report of Kratos Defense &amp; Security Solutions, Inc. (the “Company”) on Form 10-Q for the quarter ended September 27, 2026 (the “Report”), I, Deanna H. Lund,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 w:lineRule="exact"/>
        <w:rPr>
          <w:rFonts w:ascii="Times New Roman" w:cs="Times New Roman" w:eastAsia="Times New Roman" w:hAnsi="Times New Roman"/>
          <w:sz w:val="16"/>
          <w:szCs w:val="16"/>
          <w:color w:val="auto"/>
        </w:rPr>
      </w:pPr>
    </w:p>
    <w:p>
      <w:pPr>
        <w:ind w:left="1340" w:hanging="684"/>
        <w:spacing w:after="0"/>
        <w:tabs>
          <w:tab w:leader="none" w:pos="1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540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Deanna H. Lund</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Executive Vice President, Chief Financial Officer</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Financial Officer and Acting Principal Accounting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6"/>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1)"/>
      <w:numFmt w:val="decimal"/>
      <w:start w:val="3"/>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62" Type="http://schemas.openxmlformats.org/officeDocument/2006/relationships/hyperlink" Target="https://www.sec.gov/Archives/edgar/data/1069258/000106925826000077/ktos20260628ex-31.htm" TargetMode="External"/><Relationship Id="rId63" Type="http://schemas.openxmlformats.org/officeDocument/2006/relationships/hyperlink" Target="https://www.sec.gov/Archives/edgar/data/1069258/000106925824000042/exhibit31-thirdamendedandr.htm" TargetMode="External"/><Relationship Id="rId64" Type="http://schemas.openxmlformats.org/officeDocument/2006/relationships/hyperlink" Target="https://www.sec.gov/Archives/edgar/data/1069258/000106925817000009/kratoscommonformofcert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2026-11-05T15:34:53Z</dcterms:created>
  <dcterms:modified xsi:type="dcterms:W3CDTF">2026-11-05T15:34:53Z</dcterms:modified>
</cp:coreProperties>
</file>