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Mendoza Marie</w:t>
              </w:r>
            </w:hyperlink>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KRATOS DEFENSE &amp; SECURITY</w:t>
              </w:r>
            </w:hyperlink>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3"/>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KTOS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1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top w:val="single" w:sz="8" w:color="0000EE"/>
            </w:tcBorders>
          </w:tcPr>
          <w:p>
            <w:pPr>
              <w:spacing w:after="0"/>
              <w:rPr>
                <w:sz w:val="3"/>
                <w:szCs w:val="3"/>
                <w:color w:val="auto"/>
              </w:rPr>
            </w:pPr>
          </w:p>
        </w:tc>
        <w:tc>
          <w:tcPr>
            <w:tcW w:w="5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SVP &amp; General Counsel</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10680 TREENA STREET, SUITE 600</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4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gridSpan w:val="3"/>
          </w:tcPr>
          <w:p>
            <w:pPr>
              <w:spacing w:after="0"/>
              <w:rPr>
                <w:sz w:val="9"/>
                <w:szCs w:val="9"/>
                <w:color w:val="auto"/>
              </w:rPr>
            </w:pPr>
          </w:p>
        </w:tc>
        <w:tc>
          <w:tcPr>
            <w:tcW w:w="1420" w:type="dxa"/>
            <w:vAlign w:val="bottom"/>
            <w:tcBorders>
              <w:bottom w:val="single" w:sz="8" w:color="2C2C2C"/>
            </w:tcBorders>
            <w:gridSpan w:val="3"/>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gridSpan w:val="2"/>
          </w:tcPr>
          <w:p>
            <w:pPr>
              <w:spacing w:after="0"/>
              <w:rPr>
                <w:sz w:val="9"/>
                <w:szCs w:val="9"/>
                <w:color w:val="auto"/>
              </w:rPr>
            </w:pPr>
          </w:p>
        </w:tc>
        <w:tc>
          <w:tcPr>
            <w:tcW w:w="280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3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vMerge w:val="restart"/>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380" w:type="dxa"/>
            <w:vAlign w:val="bottom"/>
            <w:gridSpan w:val="9"/>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7"/>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73"/>
              <w:spacing w:after="0" w:line="320" w:lineRule="exact"/>
              <w:rPr>
                <w:sz w:val="20"/>
                <w:szCs w:val="20"/>
                <w:color w:val="auto"/>
              </w:rPr>
            </w:pPr>
            <w:r>
              <w:rPr>
                <w:rFonts w:ascii="Times New Roman" w:cs="Times New Roman" w:eastAsia="Times New Roman" w:hAnsi="Times New Roman"/>
                <w:sz w:val="34"/>
                <w:szCs w:val="34"/>
                <w:color w:val="0000FF"/>
                <w:vertAlign w:val="subscript"/>
              </w:rPr>
              <w:t>800</w:t>
            </w:r>
            <w:r>
              <w:rPr>
                <w:rFonts w:ascii="Times New Roman" w:cs="Times New Roman" w:eastAsia="Times New Roman" w:hAnsi="Times New Roman"/>
                <w:sz w:val="11"/>
                <w:szCs w:val="11"/>
                <w:color w:val="008000"/>
              </w:rPr>
              <w:t>(1)</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57.5288</w:t>
            </w:r>
            <w:r>
              <w:rPr>
                <w:rFonts w:ascii="Times New Roman" w:cs="Times New Roman" w:eastAsia="Times New Roman" w:hAnsi="Times New Roman"/>
                <w:sz w:val="22"/>
                <w:szCs w:val="22"/>
                <w:color w:val="008000"/>
                <w:w w:val="95"/>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65,147</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7"/>
                <w:szCs w:val="17"/>
                <w:color w:val="0000FF"/>
              </w:rPr>
              <w:t>600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58.2017</w:t>
            </w:r>
            <w:r>
              <w:rPr>
                <w:rFonts w:ascii="Times New Roman" w:cs="Times New Roman" w:eastAsia="Times New Roman" w:hAnsi="Times New Roman"/>
                <w:sz w:val="22"/>
                <w:szCs w:val="22"/>
                <w:color w:val="008000"/>
                <w:w w:val="95"/>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64,547</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06/15/2026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7"/>
                <w:szCs w:val="17"/>
                <w:color w:val="0000FF"/>
              </w:rPr>
              <w:t>100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59.45</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40"/>
              <w:spacing w:after="0"/>
              <w:rPr>
                <w:sz w:val="20"/>
                <w:szCs w:val="20"/>
                <w:color w:val="auto"/>
              </w:rPr>
            </w:pPr>
            <w:r>
              <w:rPr>
                <w:rFonts w:ascii="Times New Roman" w:cs="Times New Roman" w:eastAsia="Times New Roman" w:hAnsi="Times New Roman"/>
                <w:sz w:val="17"/>
                <w:szCs w:val="17"/>
                <w:color w:val="0000FF"/>
                <w:w w:val="93"/>
              </w:rPr>
              <w:t>64,447</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10b5-1 trading plan adopted by the reporting person March 17,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$56.90 to $57.84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$57.90 to $58.72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2,251 shares purchased through Issuer's Employee Stock Purchase Plan and approximately 14,773 shares held through Issuer's 401(k)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Marie C. Mendoza, by Eva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Yee, Attorney-In-Fact</w:t>
            </w:r>
          </w:p>
        </w:tc>
        <w:tc>
          <w:tcPr>
            <w:tcW w:w="34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0112" TargetMode="External"/><Relationship Id="rId14" Type="http://schemas.openxmlformats.org/officeDocument/2006/relationships/hyperlink" Target="http://www.sec.gov/cgi-bin/browse-edgar?action=getcompany&amp;CIK=000106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2026-06-17T19:21:39Z</dcterms:created>
  <dcterms:modified xsi:type="dcterms:W3CDTF">2026-06-17T19:21:39Z</dcterms:modified>
</cp:coreProperties>
</file>