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70" w:lineRule="exact"/>
        <w:rPr>
          <w:sz w:val="24"/>
          <w:szCs w:val="24"/>
          <w:color w:val="auto"/>
        </w:rPr>
      </w:pPr>
    </w:p>
    <w:p>
      <w:pPr>
        <w:ind w:left="920" w:right="300" w:hanging="635"/>
        <w:spacing w:after="0" w:line="256"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29, 2009</w:t>
      </w:r>
    </w:p>
    <w:p>
      <w:pPr>
        <w:spacing w:after="0" w:line="239" w:lineRule="exact"/>
        <w:rPr>
          <w:sz w:val="24"/>
          <w:szCs w:val="24"/>
          <w:color w:val="auto"/>
        </w:rPr>
      </w:pPr>
    </w:p>
    <w:p>
      <w:pPr>
        <w:ind w:left="920" w:right="280" w:hanging="595"/>
        <w:spacing w:after="0" w:line="256" w:lineRule="auto"/>
        <w:tabs>
          <w:tab w:leader="none" w:pos="9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13-3818604</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4810 Eastgate Mall</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o Yes o No</w:t>
      </w:r>
    </w:p>
    <w:p>
      <w:pPr>
        <w:spacing w:after="0" w:line="194"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698" w:right="299" w:bottom="1440" w:gutter="0" w:footer="0" w:header="0"/>
        </w:sectPr>
      </w:pPr>
    </w:p>
    <w:p>
      <w:pPr>
        <w:spacing w:after="0" w:line="139" w:lineRule="exact"/>
        <w:rPr>
          <w:sz w:val="24"/>
          <w:szCs w:val="24"/>
          <w:color w:val="auto"/>
        </w:rPr>
      </w:pPr>
    </w:p>
    <w:p>
      <w:pPr>
        <w:ind w:left="3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4"/>
          <w:szCs w:val="24"/>
          <w:color w:val="auto"/>
        </w:rPr>
      </w:pPr>
    </w:p>
    <w:p>
      <w:pPr>
        <w:sectPr>
          <w:pgSz w:w="11900" w:h="16838" w:orient="portrait"/>
          <w:cols w:equalWidth="0" w:num="4">
            <w:col w:w="2180" w:space="720"/>
            <w:col w:w="2100" w:space="720"/>
            <w:col w:w="2480" w:space="720"/>
            <w:col w:w="2440"/>
          </w:cols>
          <w:pgMar w:left="240" w:top="698" w:right="299" w:bottom="1440" w:gutter="0" w:footer="0" w:header="0"/>
          <w:type w:val="continuous"/>
        </w:sectPr>
      </w:pPr>
    </w:p>
    <w:p>
      <w:pPr>
        <w:ind w:left="526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360"/>
          </w:cols>
          <w:pgMar w:left="240" w:top="698" w:right="299" w:bottom="1440" w:gutter="0" w:footer="0" w:header="0"/>
          <w:type w:val="continuous"/>
        </w:sectPr>
      </w:pPr>
    </w:p>
    <w:p>
      <w:pPr>
        <w:spacing w:after="0" w:line="200"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760" w:space="180"/>
            <w:col w:w="2420"/>
          </w:cols>
          <w:pgMar w:left="240" w:top="698" w:right="299" w:bottom="1440" w:gutter="0" w:footer="0" w:header="0"/>
          <w:type w:val="continuous"/>
        </w:sectPr>
      </w:pPr>
    </w:p>
    <w:p>
      <w:pPr>
        <w:spacing w:after="0" w:line="60"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April, 30, 2009 129,873,940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98"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29, 2009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vMerge w:val="restart"/>
          </w:tcPr>
          <w:p>
            <w:pPr>
              <w:spacing w:after="0"/>
              <w:rPr>
                <w:sz w:val="14"/>
                <w:szCs w:val="14"/>
                <w:color w:val="auto"/>
              </w:rPr>
            </w:pPr>
          </w:p>
        </w:tc>
        <w:tc>
          <w:tcPr>
            <w:tcW w:w="3000" w:type="dxa"/>
            <w:vAlign w:val="bottom"/>
            <w:gridSpan w:val="6"/>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140" w:type="dxa"/>
            <w:vAlign w:val="bottom"/>
            <w:gridSpan w:val="5"/>
            <w:vMerge w:val="restart"/>
          </w:tcPr>
          <w:p>
            <w:pPr>
              <w:spacing w:after="0"/>
              <w:rPr>
                <w:sz w:val="14"/>
                <w:szCs w:val="14"/>
                <w:color w:val="auto"/>
              </w:rPr>
            </w:pPr>
          </w:p>
        </w:tc>
        <w:tc>
          <w:tcPr>
            <w:tcW w:w="380" w:type="dxa"/>
            <w:vAlign w:val="bottom"/>
            <w:gridSpan w:val="4"/>
          </w:tcPr>
          <w:p>
            <w:pPr>
              <w:jc w:val="right"/>
              <w:spacing w:after="0"/>
              <w:rPr>
                <w:sz w:val="20"/>
                <w:szCs w:val="20"/>
                <w:color w:val="auto"/>
              </w:rPr>
            </w:pPr>
            <w:r>
              <w:rPr>
                <w:rFonts w:ascii="Arial" w:cs="Arial" w:eastAsia="Arial" w:hAnsi="Arial"/>
                <w:sz w:val="14"/>
                <w:szCs w:val="14"/>
                <w:b w:val="1"/>
                <w:bCs w:val="1"/>
                <w:color w:val="auto"/>
              </w:rPr>
              <w:t>Page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000" w:type="dxa"/>
            <w:vAlign w:val="bottom"/>
            <w:tcBorders>
              <w:bottom w:val="single" w:sz="8" w:color="0000EE"/>
            </w:tcBorders>
            <w:gridSpan w:val="6"/>
            <w:vMerge w:val="continue"/>
          </w:tcPr>
          <w:p>
            <w:pPr>
              <w:spacing w:after="0"/>
              <w:rPr>
                <w:sz w:val="14"/>
                <w:szCs w:val="14"/>
                <w:color w:val="auto"/>
              </w:rPr>
            </w:pPr>
          </w:p>
        </w:tc>
        <w:tc>
          <w:tcPr>
            <w:tcW w:w="31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1.</w:t>
              </w:r>
            </w:hyperlink>
          </w:p>
        </w:tc>
        <w:tc>
          <w:tcPr>
            <w:tcW w:w="300" w:type="dxa"/>
            <w:vAlign w:val="bottom"/>
            <w:gridSpan w:val="2"/>
          </w:tcPr>
          <w:p>
            <w:pPr>
              <w:spacing w:after="0"/>
              <w:rPr>
                <w:sz w:val="17"/>
                <w:szCs w:val="17"/>
                <w:color w:val="auto"/>
              </w:rPr>
            </w:pPr>
          </w:p>
        </w:tc>
        <w:tc>
          <w:tcPr>
            <w:tcW w:w="920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80" w:type="dxa"/>
            <w:vAlign w:val="bottom"/>
            <w:gridSpan w:val="4"/>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December 28, 2008 and March 29, 2009 (unaudited)</w:t>
              </w:r>
            </w:hyperlink>
          </w:p>
        </w:tc>
        <w:tc>
          <w:tcPr>
            <w:tcW w:w="380" w:type="dxa"/>
            <w:vAlign w:val="bottom"/>
            <w:gridSpan w:val="4"/>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Ended March 30, 2008 and March 29, 2009 (unaudited)</w:t>
              </w:r>
            </w:hyperlink>
          </w:p>
        </w:tc>
        <w:tc>
          <w:tcPr>
            <w:tcW w:w="120" w:type="dxa"/>
            <w:vAlign w:val="bottom"/>
            <w:gridSpan w:val="2"/>
          </w:tcPr>
          <w:p>
            <w:pPr>
              <w:spacing w:after="0"/>
              <w:rPr>
                <w:sz w:val="17"/>
                <w:szCs w:val="17"/>
                <w:color w:val="auto"/>
              </w:rPr>
            </w:pPr>
          </w:p>
        </w:tc>
        <w:tc>
          <w:tcPr>
            <w:tcW w:w="28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gridSpan w:val="18"/>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Three Months Ended March 30, 2008 and March 29, 2009 (unaudited)</w:t>
              </w:r>
            </w:hyperlink>
          </w:p>
        </w:tc>
        <w:tc>
          <w:tcPr>
            <w:tcW w:w="38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80" w:type="dxa"/>
            <w:vAlign w:val="bottom"/>
          </w:tcPr>
          <w:p>
            <w:pPr>
              <w:spacing w:after="0"/>
              <w:rPr>
                <w:sz w:val="17"/>
                <w:szCs w:val="17"/>
                <w:color w:val="auto"/>
              </w:rPr>
            </w:pPr>
          </w:p>
        </w:tc>
        <w:tc>
          <w:tcPr>
            <w:tcW w:w="280" w:type="dxa"/>
            <w:vAlign w:val="bottom"/>
            <w:gridSpan w:val="3"/>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2.</w:t>
              </w:r>
            </w:hyperlink>
          </w:p>
        </w:tc>
        <w:tc>
          <w:tcPr>
            <w:tcW w:w="300" w:type="dxa"/>
            <w:vAlign w:val="bottom"/>
            <w:gridSpan w:val="2"/>
          </w:tcPr>
          <w:p>
            <w:pPr>
              <w:spacing w:after="0"/>
              <w:rPr>
                <w:sz w:val="17"/>
                <w:szCs w:val="17"/>
                <w:color w:val="auto"/>
              </w:rPr>
            </w:pPr>
          </w:p>
        </w:tc>
        <w:tc>
          <w:tcPr>
            <w:tcW w:w="920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4"/>
          </w:tcPr>
          <w:p>
            <w:pPr>
              <w:jc w:val="right"/>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3.</w:t>
              </w:r>
            </w:hyperlink>
          </w:p>
        </w:tc>
        <w:tc>
          <w:tcPr>
            <w:tcW w:w="300" w:type="dxa"/>
            <w:vAlign w:val="bottom"/>
            <w:gridSpan w:val="2"/>
          </w:tcPr>
          <w:p>
            <w:pPr>
              <w:spacing w:after="0"/>
              <w:rPr>
                <w:sz w:val="17"/>
                <w:szCs w:val="17"/>
                <w:color w:val="auto"/>
              </w:rPr>
            </w:pPr>
          </w:p>
        </w:tc>
        <w:tc>
          <w:tcPr>
            <w:tcW w:w="4240" w:type="dxa"/>
            <w:vAlign w:val="bottom"/>
            <w:gridSpan w:val="10"/>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Quantitative and Qualitative Disclosures About Market Risk</w:t>
              </w:r>
            </w:hyperlink>
          </w:p>
        </w:tc>
        <w:tc>
          <w:tcPr>
            <w:tcW w:w="2040" w:type="dxa"/>
            <w:vAlign w:val="bottom"/>
            <w:gridSpan w:val="4"/>
          </w:tcPr>
          <w:p>
            <w:pPr>
              <w:spacing w:after="0"/>
              <w:rPr>
                <w:sz w:val="17"/>
                <w:szCs w:val="17"/>
                <w:color w:val="auto"/>
              </w:rPr>
            </w:pPr>
          </w:p>
        </w:tc>
        <w:tc>
          <w:tcPr>
            <w:tcW w:w="2920" w:type="dxa"/>
            <w:vAlign w:val="bottom"/>
            <w:gridSpan w:val="4"/>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2"/>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4.</w:t>
              </w:r>
            </w:hyperlink>
          </w:p>
        </w:tc>
        <w:tc>
          <w:tcPr>
            <w:tcW w:w="300" w:type="dxa"/>
            <w:vAlign w:val="bottom"/>
            <w:gridSpan w:val="2"/>
          </w:tcPr>
          <w:p>
            <w:pPr>
              <w:spacing w:after="0"/>
              <w:rPr>
                <w:sz w:val="17"/>
                <w:szCs w:val="17"/>
                <w:color w:val="auto"/>
              </w:rPr>
            </w:pPr>
          </w:p>
        </w:tc>
        <w:tc>
          <w:tcPr>
            <w:tcW w:w="4240" w:type="dxa"/>
            <w:vAlign w:val="bottom"/>
            <w:gridSpan w:val="1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496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140" w:type="dxa"/>
            <w:vAlign w:val="bottom"/>
            <w:gridSpan w:val="11"/>
          </w:tcPr>
          <w:p>
            <w:pPr>
              <w:jc w:val="center"/>
              <w:ind w:right="3120"/>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Item 1.</w:t>
              </w:r>
            </w:hyperlink>
          </w:p>
        </w:tc>
        <w:tc>
          <w:tcPr>
            <w:tcW w:w="300" w:type="dxa"/>
            <w:vAlign w:val="bottom"/>
            <w:gridSpan w:val="2"/>
          </w:tcPr>
          <w:p>
            <w:pPr>
              <w:spacing w:after="0"/>
              <w:rPr>
                <w:sz w:val="17"/>
                <w:szCs w:val="17"/>
                <w:color w:val="auto"/>
              </w:rPr>
            </w:pPr>
          </w:p>
        </w:tc>
        <w:tc>
          <w:tcPr>
            <w:tcW w:w="1280" w:type="dxa"/>
            <w:vAlign w:val="bottom"/>
            <w:gridSpan w:val="3"/>
          </w:tcPr>
          <w:p>
            <w:pPr>
              <w:spacing w:after="0" w:line="196" w:lineRule="exact"/>
              <w:rPr>
                <w:rFonts w:ascii="Arial" w:cs="Arial" w:eastAsia="Arial" w:hAnsi="Arial"/>
                <w:sz w:val="18"/>
                <w:szCs w:val="18"/>
                <w:color w:val="0000EE"/>
                <w:w w:val="83"/>
              </w:rPr>
            </w:pPr>
            <w:hyperlink w:anchor="page44">
              <w:r>
                <w:rPr>
                  <w:rFonts w:ascii="Arial" w:cs="Arial" w:eastAsia="Arial" w:hAnsi="Arial"/>
                  <w:sz w:val="18"/>
                  <w:szCs w:val="18"/>
                  <w:color w:val="0000EE"/>
                  <w:w w:val="83"/>
                </w:rPr>
                <w:t>Legal Proceedings</w:t>
              </w:r>
            </w:hyperlink>
          </w:p>
        </w:tc>
        <w:tc>
          <w:tcPr>
            <w:tcW w:w="1940" w:type="dxa"/>
            <w:vAlign w:val="bottom"/>
            <w:gridSpan w:val="5"/>
          </w:tcPr>
          <w:p>
            <w:pPr>
              <w:spacing w:after="0"/>
              <w:rPr>
                <w:sz w:val="17"/>
                <w:szCs w:val="17"/>
                <w:color w:val="auto"/>
              </w:rPr>
            </w:pPr>
          </w:p>
        </w:tc>
        <w:tc>
          <w:tcPr>
            <w:tcW w:w="2700" w:type="dxa"/>
            <w:vAlign w:val="bottom"/>
            <w:tcBorders>
              <w:top w:val="single" w:sz="8" w:color="0000EE"/>
            </w:tcBorders>
            <w:gridSpan w:val="4"/>
          </w:tcPr>
          <w:p>
            <w:pPr>
              <w:spacing w:after="0"/>
              <w:rPr>
                <w:sz w:val="17"/>
                <w:szCs w:val="17"/>
                <w:color w:val="auto"/>
              </w:rPr>
            </w:pPr>
          </w:p>
        </w:tc>
        <w:tc>
          <w:tcPr>
            <w:tcW w:w="3280" w:type="dxa"/>
            <w:vAlign w:val="bottom"/>
            <w:gridSpan w:val="6"/>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0" w:type="dxa"/>
            <w:vAlign w:val="bottom"/>
            <w:gridSpan w:val="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1A.</w:t>
              </w:r>
            </w:hyperlink>
          </w:p>
        </w:tc>
        <w:tc>
          <w:tcPr>
            <w:tcW w:w="9200" w:type="dxa"/>
            <w:vAlign w:val="bottom"/>
            <w:gridSpan w:val="18"/>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380" w:type="dxa"/>
            <w:vAlign w:val="bottom"/>
            <w:gridSpan w:val="4"/>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2.</w:t>
              </w:r>
            </w:hyperlink>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40" w:type="dxa"/>
            <w:vAlign w:val="bottom"/>
            <w:gridSpan w:val="10"/>
          </w:tcPr>
          <w:p>
            <w:pPr>
              <w:spacing w:after="0" w:line="196" w:lineRule="exact"/>
              <w:rPr>
                <w:rFonts w:ascii="Arial" w:cs="Arial" w:eastAsia="Arial" w:hAnsi="Arial"/>
                <w:sz w:val="18"/>
                <w:szCs w:val="18"/>
                <w:color w:val="0000EE"/>
                <w:w w:val="86"/>
              </w:rPr>
            </w:pPr>
            <w:hyperlink w:anchor="page65">
              <w:r>
                <w:rPr>
                  <w:rFonts w:ascii="Arial" w:cs="Arial" w:eastAsia="Arial" w:hAnsi="Arial"/>
                  <w:sz w:val="18"/>
                  <w:szCs w:val="18"/>
                  <w:color w:val="0000EE"/>
                  <w:w w:val="86"/>
                </w:rPr>
                <w:t>Unregistered Sales of Equity Securities and Use of Proceeds</w:t>
              </w:r>
            </w:hyperlink>
          </w:p>
        </w:tc>
        <w:tc>
          <w:tcPr>
            <w:tcW w:w="496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3.</w:t>
              </w:r>
            </w:hyperlink>
          </w:p>
        </w:tc>
        <w:tc>
          <w:tcPr>
            <w:tcW w:w="300" w:type="dxa"/>
            <w:vAlign w:val="bottom"/>
            <w:gridSpan w:val="2"/>
          </w:tcPr>
          <w:p>
            <w:pPr>
              <w:spacing w:after="0"/>
              <w:rPr>
                <w:sz w:val="17"/>
                <w:szCs w:val="17"/>
                <w:color w:val="auto"/>
              </w:rPr>
            </w:pPr>
          </w:p>
        </w:tc>
        <w:tc>
          <w:tcPr>
            <w:tcW w:w="4240" w:type="dxa"/>
            <w:vAlign w:val="bottom"/>
            <w:gridSpan w:val="1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Defaults Upon Senior Securities</w:t>
              </w:r>
            </w:hyperlink>
          </w:p>
        </w:tc>
        <w:tc>
          <w:tcPr>
            <w:tcW w:w="496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4.</w:t>
              </w:r>
            </w:hyperlink>
          </w:p>
        </w:tc>
        <w:tc>
          <w:tcPr>
            <w:tcW w:w="300" w:type="dxa"/>
            <w:vAlign w:val="bottom"/>
            <w:gridSpan w:val="2"/>
          </w:tcPr>
          <w:p>
            <w:pPr>
              <w:spacing w:after="0"/>
              <w:rPr>
                <w:sz w:val="17"/>
                <w:szCs w:val="17"/>
                <w:color w:val="auto"/>
              </w:rPr>
            </w:pPr>
          </w:p>
        </w:tc>
        <w:tc>
          <w:tcPr>
            <w:tcW w:w="3680" w:type="dxa"/>
            <w:vAlign w:val="bottom"/>
            <w:gridSpan w:val="9"/>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Submission of Matters to a Vote of Security Holders</w:t>
              </w:r>
            </w:hyperlink>
          </w:p>
        </w:tc>
        <w:tc>
          <w:tcPr>
            <w:tcW w:w="5520" w:type="dxa"/>
            <w:vAlign w:val="bottom"/>
            <w:gridSpan w:val="9"/>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400" w:type="dxa"/>
            <w:vAlign w:val="bottom"/>
            <w:tcBorders>
              <w:left w:val="single" w:sz="8" w:color="0000EE"/>
            </w:tcBorders>
            <w:gridSpan w:val="6"/>
            <w:shd w:val="clear" w:color="auto" w:fill="0000EE"/>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5.</w:t>
              </w:r>
            </w:hyperlink>
          </w:p>
        </w:tc>
        <w:tc>
          <w:tcPr>
            <w:tcW w:w="300" w:type="dxa"/>
            <w:vAlign w:val="bottom"/>
            <w:gridSpan w:val="2"/>
          </w:tcPr>
          <w:p>
            <w:pPr>
              <w:spacing w:after="0"/>
              <w:rPr>
                <w:sz w:val="17"/>
                <w:szCs w:val="17"/>
                <w:color w:val="auto"/>
              </w:rPr>
            </w:pPr>
          </w:p>
        </w:tc>
        <w:tc>
          <w:tcPr>
            <w:tcW w:w="3680" w:type="dxa"/>
            <w:vAlign w:val="bottom"/>
            <w:gridSpan w:val="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5520" w:type="dxa"/>
            <w:vAlign w:val="bottom"/>
            <w:gridSpan w:val="9"/>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920" w:type="dxa"/>
            <w:vAlign w:val="bottom"/>
            <w:gridSpan w:val="1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6.</w:t>
              </w:r>
            </w:hyperlink>
          </w:p>
        </w:tc>
        <w:tc>
          <w:tcPr>
            <w:tcW w:w="300" w:type="dxa"/>
            <w:vAlign w:val="bottom"/>
            <w:gridSpan w:val="2"/>
          </w:tcPr>
          <w:p>
            <w:pPr>
              <w:spacing w:after="0"/>
              <w:rPr>
                <w:sz w:val="17"/>
                <w:szCs w:val="17"/>
                <w:color w:val="auto"/>
              </w:rPr>
            </w:pPr>
          </w:p>
        </w:tc>
        <w:tc>
          <w:tcPr>
            <w:tcW w:w="1280" w:type="dxa"/>
            <w:vAlign w:val="bottom"/>
            <w:gridSpan w:val="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7920" w:type="dxa"/>
            <w:vAlign w:val="bottom"/>
            <w:gridSpan w:val="15"/>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65</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50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160" w:type="dxa"/>
            <w:vAlign w:val="bottom"/>
            <w:gridSpan w:val="10"/>
          </w:tcPr>
          <w:p>
            <w:pPr>
              <w:jc w:val="right"/>
              <w:ind w:right="28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December 28,</w:t>
            </w:r>
          </w:p>
        </w:tc>
        <w:tc>
          <w:tcPr>
            <w:tcW w:w="1340" w:type="dxa"/>
            <w:vAlign w:val="bottom"/>
          </w:tcPr>
          <w:p>
            <w:pPr>
              <w:spacing w:after="0"/>
              <w:rPr>
                <w:sz w:val="14"/>
                <w:szCs w:val="14"/>
                <w:color w:val="auto"/>
              </w:rPr>
            </w:pPr>
          </w:p>
        </w:tc>
        <w:tc>
          <w:tcPr>
            <w:tcW w:w="3680" w:type="dxa"/>
            <w:vAlign w:val="bottom"/>
            <w:gridSpan w:val="2"/>
          </w:tcPr>
          <w:p>
            <w:pPr>
              <w:jc w:val="right"/>
              <w:ind w:right="2460"/>
              <w:spacing w:after="0"/>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840" w:type="dxa"/>
            <w:vAlign w:val="bottom"/>
            <w:tcBorders>
              <w:bottom w:val="single" w:sz="8" w:color="auto"/>
            </w:tcBorders>
          </w:tcPr>
          <w:p>
            <w:pPr>
              <w:jc w:val="center"/>
              <w:ind w:left="399"/>
              <w:spacing w:after="0"/>
              <w:rPr>
                <w:sz w:val="20"/>
                <w:szCs w:val="20"/>
                <w:color w:val="auto"/>
              </w:rPr>
            </w:pPr>
            <w:r>
              <w:rPr>
                <w:rFonts w:ascii="Arial" w:cs="Arial" w:eastAsia="Arial" w:hAnsi="Arial"/>
                <w:sz w:val="14"/>
                <w:szCs w:val="14"/>
                <w:b w:val="1"/>
                <w:bCs w:val="1"/>
                <w:color w:val="auto"/>
                <w:w w:val="89"/>
              </w:rPr>
              <w:t>2008</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jc w:val="right"/>
              <w:ind w:right="2014"/>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80" w:type="dxa"/>
            <w:vAlign w:val="bottom"/>
            <w:gridSpan w:val="2"/>
          </w:tcPr>
          <w:p>
            <w:pPr>
              <w:jc w:val="right"/>
              <w:ind w:right="5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8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4900" w:type="dxa"/>
            <w:vAlign w:val="bottom"/>
          </w:tcPr>
          <w:p>
            <w:pPr>
              <w:ind w:left="120"/>
              <w:spacing w:after="0"/>
              <w:rPr>
                <w:sz w:val="20"/>
                <w:szCs w:val="20"/>
                <w:color w:val="auto"/>
              </w:rPr>
            </w:pPr>
            <w:r>
              <w:rPr>
                <w:rFonts w:ascii="Arial" w:cs="Arial" w:eastAsia="Arial" w:hAnsi="Arial"/>
                <w:sz w:val="18"/>
                <w:szCs w:val="18"/>
                <w:color w:val="auto"/>
              </w:rPr>
              <w:t>Other current assets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80" w:type="dxa"/>
            <w:vAlign w:val="bottom"/>
            <w:gridSpan w:val="2"/>
          </w:tcPr>
          <w:p>
            <w:pPr>
              <w:jc w:val="right"/>
              <w:ind w:right="5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80" w:type="dxa"/>
            <w:vAlign w:val="bottom"/>
            <w:gridSpan w:val="2"/>
          </w:tcPr>
          <w:p>
            <w:pPr>
              <w:jc w:val="right"/>
              <w:ind w:right="5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intangibles, net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80" w:type="dxa"/>
            <w:vAlign w:val="bottom"/>
            <w:gridSpan w:val="2"/>
          </w:tcPr>
          <w:p>
            <w:pPr>
              <w:jc w:val="right"/>
              <w:ind w:right="5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900" w:type="dxa"/>
            <w:vAlign w:val="bottom"/>
            <w:vMerge w:val="restart"/>
          </w:tcPr>
          <w:p>
            <w:pPr>
              <w:ind w:left="260"/>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00" w:type="dxa"/>
            <w:vAlign w:val="bottom"/>
            <w:vMerge w:val="continue"/>
          </w:tcPr>
          <w:p>
            <w:pPr>
              <w:spacing w:after="0"/>
              <w:rPr>
                <w:sz w:val="18"/>
                <w:szCs w:val="18"/>
                <w:color w:val="auto"/>
              </w:rPr>
            </w:pPr>
          </w:p>
        </w:tc>
        <w:tc>
          <w:tcPr>
            <w:tcW w:w="840" w:type="dxa"/>
            <w:vAlign w:val="bottom"/>
            <w:tcBorders>
              <w:top w:val="single" w:sz="8" w:color="auto"/>
            </w:tcBorders>
          </w:tcPr>
          <w:p>
            <w:pPr>
              <w:jc w:val="center"/>
              <w:ind w:left="41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80" w:type="dxa"/>
            <w:vAlign w:val="bottom"/>
          </w:tcPr>
          <w:p>
            <w:pPr>
              <w:spacing w:after="0"/>
              <w:rPr>
                <w:sz w:val="18"/>
                <w:szCs w:val="18"/>
                <w:color w:val="auto"/>
              </w:rPr>
            </w:pPr>
          </w:p>
        </w:tc>
        <w:tc>
          <w:tcPr>
            <w:tcW w:w="134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color w:val="auto"/>
              </w:rPr>
              <w:t>$</w:t>
            </w:r>
          </w:p>
        </w:tc>
        <w:tc>
          <w:tcPr>
            <w:tcW w:w="3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CEEFF"/>
          </w:tcPr>
          <w:p>
            <w:pPr>
              <w:jc w:val="center"/>
              <w:ind w:left="4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8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compensation</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8"/>
        </w:trPr>
        <w:tc>
          <w:tcPr>
            <w:tcW w:w="4900" w:type="dxa"/>
            <w:vAlign w:val="bottom"/>
          </w:tcPr>
          <w:p>
            <w:pPr>
              <w:ind w:left="120"/>
              <w:spacing w:after="0"/>
              <w:rPr>
                <w:sz w:val="20"/>
                <w:szCs w:val="20"/>
                <w:color w:val="auto"/>
              </w:rPr>
            </w:pPr>
            <w:r>
              <w:rPr>
                <w:rFonts w:ascii="Arial" w:cs="Arial" w:eastAsia="Arial" w:hAnsi="Arial"/>
                <w:sz w:val="18"/>
                <w:szCs w:val="18"/>
                <w:color w:val="auto"/>
              </w:rPr>
              <w:t>Billings in excess of costs and earnings on uncompleted</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00"/>
              <w:spacing w:after="0"/>
              <w:rPr>
                <w:sz w:val="20"/>
                <w:szCs w:val="20"/>
                <w:color w:val="auto"/>
              </w:rPr>
            </w:pPr>
            <w:r>
              <w:rPr>
                <w:rFonts w:ascii="Arial" w:cs="Arial" w:eastAsia="Arial" w:hAnsi="Arial"/>
                <w:sz w:val="18"/>
                <w:szCs w:val="18"/>
                <w:color w:val="auto"/>
              </w:rPr>
              <w:t>contracts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80" w:type="dxa"/>
            <w:vAlign w:val="bottom"/>
            <w:gridSpan w:val="2"/>
          </w:tcPr>
          <w:p>
            <w:pPr>
              <w:jc w:val="right"/>
              <w:ind w:right="5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490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80" w:type="dxa"/>
            <w:vAlign w:val="bottom"/>
            <w:gridSpan w:val="2"/>
          </w:tcPr>
          <w:p>
            <w:pPr>
              <w:jc w:val="right"/>
              <w:ind w:right="5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80" w:type="dxa"/>
            <w:vAlign w:val="bottom"/>
            <w:gridSpan w:val="2"/>
          </w:tcPr>
          <w:p>
            <w:pPr>
              <w:jc w:val="right"/>
              <w:ind w:right="5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900" w:type="dxa"/>
            <w:vAlign w:val="bottom"/>
            <w:vMerge w:val="restart"/>
          </w:tcPr>
          <w:p>
            <w:pPr>
              <w:ind w:left="260"/>
              <w:spacing w:after="0"/>
              <w:rPr>
                <w:sz w:val="20"/>
                <w:szCs w:val="20"/>
                <w:color w:val="auto"/>
              </w:rPr>
            </w:pPr>
            <w:r>
              <w:rPr>
                <w:rFonts w:ascii="Arial" w:cs="Arial" w:eastAsia="Arial" w:hAnsi="Arial"/>
                <w:sz w:val="18"/>
                <w:szCs w:val="18"/>
                <w:color w:val="auto"/>
              </w:rPr>
              <w:t>Total liabilities</w:t>
            </w: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Stockholders' equity:</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 5,000,000 shares authorized Series B</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Convertible Preferred Stock, $.001 par value, 10,000 shares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at December 28, 2008 and March 29, 2009</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(liquidation preference $5.0 million at March 29, 2009)</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900" w:type="dxa"/>
            <w:vAlign w:val="bottom"/>
          </w:tcPr>
          <w:p>
            <w:pPr>
              <w:ind w:left="120"/>
              <w:spacing w:after="0"/>
              <w:rPr>
                <w:sz w:val="20"/>
                <w:szCs w:val="20"/>
                <w:color w:val="auto"/>
              </w:rPr>
            </w:pPr>
            <w:r>
              <w:rPr>
                <w:rFonts w:ascii="Arial" w:cs="Arial" w:eastAsia="Arial" w:hAnsi="Arial"/>
                <w:sz w:val="18"/>
                <w:szCs w:val="18"/>
                <w:color w:val="auto"/>
                <w:w w:val="92"/>
              </w:rPr>
              <w:t>Common stock, $.001 par value, 195,000,000 shares authorized;</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00"/>
              <w:spacing w:after="0"/>
              <w:rPr>
                <w:sz w:val="20"/>
                <w:szCs w:val="20"/>
                <w:color w:val="auto"/>
              </w:rPr>
            </w:pPr>
            <w:r>
              <w:rPr>
                <w:rFonts w:ascii="Arial" w:cs="Arial" w:eastAsia="Arial" w:hAnsi="Arial"/>
                <w:sz w:val="18"/>
                <w:szCs w:val="18"/>
                <w:color w:val="auto"/>
                <w:w w:val="89"/>
              </w:rPr>
              <w:t>128,169,634 and 128,377,442 shares issued and outstanding at</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00"/>
              <w:spacing w:after="0"/>
              <w:rPr>
                <w:sz w:val="20"/>
                <w:szCs w:val="20"/>
                <w:color w:val="auto"/>
              </w:rPr>
            </w:pPr>
            <w:r>
              <w:rPr>
                <w:rFonts w:ascii="Arial" w:cs="Arial" w:eastAsia="Arial" w:hAnsi="Arial"/>
                <w:sz w:val="18"/>
                <w:szCs w:val="18"/>
                <w:color w:val="auto"/>
              </w:rPr>
              <w:t>December 28, 2008 and March 29, 2009, respectively</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9"/>
                <w:szCs w:val="19"/>
                <w:color w:val="auto"/>
              </w:rPr>
            </w:pPr>
          </w:p>
        </w:tc>
        <w:tc>
          <w:tcPr>
            <w:tcW w:w="36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22"/>
        </w:trPr>
        <w:tc>
          <w:tcPr>
            <w:tcW w:w="49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8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(356.6)</w:t>
            </w:r>
          </w:p>
        </w:tc>
        <w:tc>
          <w:tcPr>
            <w:tcW w:w="1340" w:type="dxa"/>
            <w:vAlign w:val="bottom"/>
          </w:tcPr>
          <w:p>
            <w:pPr>
              <w:spacing w:after="0"/>
              <w:rPr>
                <w:sz w:val="19"/>
                <w:szCs w:val="19"/>
                <w:color w:val="auto"/>
              </w:rPr>
            </w:pPr>
          </w:p>
        </w:tc>
        <w:tc>
          <w:tcPr>
            <w:tcW w:w="3680" w:type="dxa"/>
            <w:vAlign w:val="bottom"/>
            <w:gridSpan w:val="2"/>
          </w:tcPr>
          <w:p>
            <w:pPr>
              <w:jc w:val="right"/>
              <w:ind w:right="460"/>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4900" w:type="dxa"/>
            <w:vAlign w:val="bottom"/>
            <w:vMerge w:val="restart"/>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00" w:type="dxa"/>
            <w:vAlign w:val="bottom"/>
            <w:vMerge w:val="continue"/>
          </w:tcPr>
          <w:p>
            <w:pPr>
              <w:spacing w:after="0"/>
              <w:rPr>
                <w:sz w:val="18"/>
                <w:szCs w:val="18"/>
                <w:color w:val="auto"/>
              </w:rPr>
            </w:pPr>
          </w:p>
        </w:tc>
        <w:tc>
          <w:tcPr>
            <w:tcW w:w="840" w:type="dxa"/>
            <w:vAlign w:val="bottom"/>
            <w:tcBorders>
              <w:top w:val="single" w:sz="8" w:color="auto"/>
            </w:tcBorders>
          </w:tcPr>
          <w:p>
            <w:pPr>
              <w:jc w:val="center"/>
              <w:ind w:left="41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80" w:type="dxa"/>
            <w:vAlign w:val="bottom"/>
          </w:tcPr>
          <w:p>
            <w:pPr>
              <w:spacing w:after="0"/>
              <w:rPr>
                <w:sz w:val="18"/>
                <w:szCs w:val="18"/>
                <w:color w:val="auto"/>
              </w:rPr>
            </w:pPr>
          </w:p>
        </w:tc>
        <w:tc>
          <w:tcPr>
            <w:tcW w:w="134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color w:val="auto"/>
              </w:rPr>
              <w:t>$</w:t>
            </w:r>
          </w:p>
        </w:tc>
        <w:tc>
          <w:tcPr>
            <w:tcW w:w="3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24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Three months</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ended</w:t>
            </w:r>
          </w:p>
        </w:tc>
        <w:tc>
          <w:tcPr>
            <w:tcW w:w="24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30,</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March 29,</w:t>
            </w: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income (loss) from continuing operations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4420" w:type="dxa"/>
            <w:vAlign w:val="bottom"/>
          </w:tcPr>
          <w:p>
            <w:pPr>
              <w:ind w:left="14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other expense, net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42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from continuing operations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20" w:type="dxa"/>
            <w:vAlign w:val="bottom"/>
            <w:vMerge w:val="restart"/>
          </w:tcPr>
          <w:p>
            <w:pPr>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420" w:type="dxa"/>
            <w:vAlign w:val="bottom"/>
            <w:vMerge w:val="restart"/>
          </w:tcPr>
          <w:p>
            <w:pPr>
              <w:ind w:left="26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loss per common share:</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4420" w:type="dxa"/>
            <w:vAlign w:val="bottom"/>
            <w:vMerge w:val="restart"/>
          </w:tcPr>
          <w:p>
            <w:pPr>
              <w:ind w:left="260"/>
              <w:spacing w:after="0"/>
              <w:rPr>
                <w:sz w:val="20"/>
                <w:szCs w:val="20"/>
                <w:color w:val="auto"/>
              </w:rPr>
            </w:pPr>
            <w:r>
              <w:rPr>
                <w:rFonts w:ascii="Arial" w:cs="Arial" w:eastAsia="Arial" w:hAnsi="Arial"/>
                <w:sz w:val="18"/>
                <w:szCs w:val="18"/>
                <w:color w:val="auto"/>
              </w:rPr>
              <w:t>Net loss per common share:</w:t>
            </w: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loss per common share:</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4420" w:type="dxa"/>
            <w:vAlign w:val="bottom"/>
            <w:vMerge w:val="restart"/>
          </w:tcPr>
          <w:p>
            <w:pPr>
              <w:ind w:left="260"/>
              <w:spacing w:after="0"/>
              <w:rPr>
                <w:sz w:val="20"/>
                <w:szCs w:val="20"/>
                <w:color w:val="auto"/>
              </w:rPr>
            </w:pPr>
            <w:r>
              <w:rPr>
                <w:rFonts w:ascii="Arial" w:cs="Arial" w:eastAsia="Arial" w:hAnsi="Arial"/>
                <w:sz w:val="18"/>
                <w:szCs w:val="18"/>
                <w:color w:val="auto"/>
              </w:rPr>
              <w:t>Net loss per common share:</w:t>
            </w: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2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Three months</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9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9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March 30,</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29,</w:t>
            </w:r>
          </w:p>
        </w:tc>
        <w:tc>
          <w:tcPr>
            <w:tcW w:w="0" w:type="dxa"/>
            <w:vAlign w:val="bottom"/>
          </w:tcPr>
          <w:p>
            <w:pPr>
              <w:spacing w:after="0"/>
              <w:rPr>
                <w:sz w:val="1"/>
                <w:szCs w:val="1"/>
                <w:color w:val="auto"/>
              </w:rPr>
            </w:pPr>
          </w:p>
        </w:tc>
      </w:tr>
      <w:tr>
        <w:trPr>
          <w:trHeight w:val="161"/>
        </w:trPr>
        <w:tc>
          <w:tcPr>
            <w:tcW w:w="9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12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Income from discontinued operations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9420" w:type="dxa"/>
            <w:vAlign w:val="bottom"/>
            <w:vMerge w:val="restart"/>
          </w:tcPr>
          <w:p>
            <w:pPr>
              <w:ind w:left="120"/>
              <w:spacing w:after="0"/>
              <w:rPr>
                <w:sz w:val="20"/>
                <w:szCs w:val="20"/>
                <w:color w:val="auto"/>
              </w:rPr>
            </w:pPr>
            <w:r>
              <w:rPr>
                <w:rFonts w:ascii="Arial" w:cs="Arial" w:eastAsia="Arial" w:hAnsi="Arial"/>
                <w:sz w:val="18"/>
                <w:szCs w:val="18"/>
                <w:color w:val="auto"/>
              </w:rPr>
              <w:t>Loss from continuing operations</w:t>
            </w: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Adjustments to reconcile loss from continuing operations to net cash provided by operating activities from continuing operations: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260"/>
              <w:spacing w:after="0"/>
              <w:rPr>
                <w:sz w:val="20"/>
                <w:szCs w:val="20"/>
                <w:color w:val="auto"/>
              </w:rPr>
            </w:pPr>
            <w:r>
              <w:rPr>
                <w:rFonts w:ascii="Arial" w:cs="Arial" w:eastAsia="Arial" w:hAnsi="Arial"/>
                <w:sz w:val="18"/>
                <w:szCs w:val="18"/>
                <w:color w:val="auto"/>
              </w:rPr>
              <w:t>Goodwill impairment charges</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Asset impairment charges and net loss on disposition of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 to market on swaps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260"/>
              <w:spacing w:after="0"/>
              <w:rPr>
                <w:sz w:val="20"/>
                <w:szCs w:val="20"/>
                <w:color w:val="auto"/>
              </w:rPr>
            </w:pPr>
            <w:r>
              <w:rPr>
                <w:rFonts w:ascii="Arial" w:cs="Arial" w:eastAsia="Arial" w:hAnsi="Arial"/>
                <w:sz w:val="18"/>
                <w:szCs w:val="18"/>
                <w:color w:val="auto"/>
              </w:rPr>
              <w:t>Change in accrual for unused office space</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assets and liabilities, net of acquisitions: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94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42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420" w:type="dxa"/>
            <w:vAlign w:val="bottom"/>
          </w:tcPr>
          <w:p>
            <w:pPr>
              <w:ind w:left="380"/>
              <w:spacing w:after="0"/>
              <w:rPr>
                <w:sz w:val="20"/>
                <w:szCs w:val="20"/>
                <w:color w:val="auto"/>
              </w:rPr>
            </w:pPr>
            <w:r>
              <w:rPr>
                <w:rFonts w:ascii="Arial" w:cs="Arial" w:eastAsia="Arial" w:hAnsi="Arial"/>
                <w:sz w:val="18"/>
                <w:szCs w:val="18"/>
                <w:color w:val="auto"/>
              </w:rPr>
              <w:t>Income tax receivable and payable</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9420" w:type="dxa"/>
            <w:vAlign w:val="bottom"/>
            <w:vMerge w:val="restart"/>
          </w:tcPr>
          <w:p>
            <w:pPr>
              <w:ind w:left="50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4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9420" w:type="dxa"/>
            <w:vAlign w:val="bottom"/>
          </w:tcPr>
          <w:p>
            <w:pPr>
              <w:ind w:left="120"/>
              <w:spacing w:after="0"/>
              <w:rPr>
                <w:sz w:val="20"/>
                <w:szCs w:val="20"/>
                <w:color w:val="auto"/>
              </w:rPr>
            </w:pPr>
            <w:r>
              <w:rPr>
                <w:rFonts w:ascii="Arial" w:cs="Arial" w:eastAsia="Arial" w:hAnsi="Arial"/>
                <w:sz w:val="18"/>
                <w:szCs w:val="18"/>
                <w:color w:val="auto"/>
              </w:rPr>
              <w:t>Proceeds/(payments) from the disposition of discontinued operations</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9420" w:type="dxa"/>
            <w:vAlign w:val="bottom"/>
            <w:vMerge w:val="restart"/>
          </w:tcPr>
          <w:p>
            <w:pPr>
              <w:ind w:left="50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9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120"/>
              <w:spacing w:after="0"/>
              <w:rPr>
                <w:sz w:val="20"/>
                <w:szCs w:val="20"/>
                <w:color w:val="auto"/>
              </w:rPr>
            </w:pPr>
            <w:r>
              <w:rPr>
                <w:rFonts w:ascii="Arial" w:cs="Arial" w:eastAsia="Arial" w:hAnsi="Arial"/>
                <w:sz w:val="18"/>
                <w:szCs w:val="18"/>
                <w:color w:val="auto"/>
              </w:rPr>
              <w:t>Borrowings under credit facility</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 under credit facility</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420" w:type="dxa"/>
            <w:vAlign w:val="bottom"/>
          </w:tcPr>
          <w:p>
            <w:pPr>
              <w:ind w:left="120"/>
              <w:spacing w:after="0"/>
              <w:rPr>
                <w:sz w:val="20"/>
                <w:szCs w:val="20"/>
                <w:color w:val="auto"/>
              </w:rPr>
            </w:pPr>
            <w:r>
              <w:rPr>
                <w:rFonts w:ascii="Arial" w:cs="Arial" w:eastAsia="Arial" w:hAnsi="Arial"/>
                <w:sz w:val="18"/>
                <w:szCs w:val="18"/>
                <w:color w:val="auto"/>
              </w:rPr>
              <w:t>Payments of subordinated debt</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9420" w:type="dxa"/>
            <w:vAlign w:val="bottom"/>
            <w:vMerge w:val="restart"/>
          </w:tcPr>
          <w:p>
            <w:pPr>
              <w:ind w:left="50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4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of continuing operations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9420" w:type="dxa"/>
            <w:vAlign w:val="bottom"/>
            <w:vMerge w:val="restart"/>
          </w:tcPr>
          <w:p>
            <w:pPr>
              <w:spacing w:after="0"/>
              <w:rPr>
                <w:sz w:val="20"/>
                <w:szCs w:val="20"/>
                <w:color w:val="auto"/>
              </w:rPr>
            </w:pPr>
            <w:r>
              <w:rPr>
                <w:rFonts w:ascii="Arial" w:cs="Arial" w:eastAsia="Arial" w:hAnsi="Arial"/>
                <w:sz w:val="18"/>
                <w:szCs w:val="18"/>
                <w:color w:val="auto"/>
              </w:rPr>
              <w:t>Net operating cash flows of discontinued operations</w:t>
            </w: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4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420" w:type="dxa"/>
            <w:vAlign w:val="bottom"/>
            <w:vMerge w:val="restart"/>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4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9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39"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information as of March 29, 2009 and for the three months ended March 30, 2008 and March 29, 2009 is unaudited. The condensed consolidated balance sheet as of December 28, 2008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of America. These unaudited condensed consolidated financial statements should be read in conjunction with the consolidated financial statements and the related notes included in the Company's audited annual consolidated financial statements for the year ended December 28, 2008, filed on Form 10-K on March 10, 2009, with the United States Securities and Exchange Commission ("SEC"). Interim operating results are not necessarily indicative of operating results expected in subsequent periods or for the year as a whole.</w:t>
      </w:r>
    </w:p>
    <w:p>
      <w:pPr>
        <w:spacing w:after="0" w:line="195"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Kratos and its wholly-owned subsidiaries for which all inter-company transactions have been eliminated in consolidation. Kratos and its subsidiaries are collectively referred to herein as the "Company."</w:t>
      </w:r>
    </w:p>
    <w:p>
      <w:pPr>
        <w:spacing w:after="0" w:line="193"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Company's fiscal year end is on the last Sunday of the year, with interim fiscal periods ending on the last Sunday of the last month of each calendar quarter. There are 52 calendar weeks in the fiscal years ended December 28, 2008 and December 27, 2009.</w:t>
      </w:r>
    </w:p>
    <w:p>
      <w:pPr>
        <w:spacing w:after="0" w:line="193"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and uncertain tax positions,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 on the Company's consolidated financial position, results of operations and cash flows.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Company generates almost all of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fixed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 contracts is recognized to the extent of billable rates times hours delivered for services provided, to the extent of material cost for products delivered to customers, and to the extent of expenses incurred on behalf of the customers.</w:t>
      </w:r>
    </w:p>
    <w:p>
      <w:pPr>
        <w:spacing w:after="0" w:line="17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 xml:space="preserve">The Company has three basic categories of fixed price contracts: fixed unit price, fixed price-level of effort, and fixed price-completion. Revenue recognition methods on fixed-price contracts will vary depending on the nature of the work and the contract terms. Revenues on fixed-price service contracts are recorded as work is performed in accordance with Staff Accounting Bulletin 104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(SAB 104). SAB 104 generally requires revenue to be deferred until all of the following have occurred: (1) there is a contract in place, (2) delivery has occurred, (3) the price is fixed or determinable, and (4) collectibility is reasonably assured. Revenues on fixed-price contracts that require delivery of specific items may be recorded based on a price per unit as units are delivered. Revenue for fixed price contracts in which the Company is paid a specific amount to provide services for a stated period of time is recognized ratably over the service period.</w:t>
      </w:r>
    </w:p>
    <w:p>
      <w:pPr>
        <w:spacing w:after="0" w:line="201"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 xml:space="preserve">A portion of our fixed price-completion contracts are within the scope of Statement of Position 81-1 </w:t>
      </w:r>
      <w:r>
        <w:rPr>
          <w:rFonts w:ascii="Arial" w:cs="Arial" w:eastAsia="Arial" w:hAnsi="Arial"/>
          <w:sz w:val="16"/>
          <w:szCs w:val="16"/>
          <w:i w:val="1"/>
          <w:iCs w:val="1"/>
          <w:color w:val="auto"/>
        </w:rPr>
        <w:t>"Accounting for Performance of Construction-Type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Production-Type Contracts" </w:t>
      </w:r>
      <w:r>
        <w:rPr>
          <w:rFonts w:ascii="Arial" w:cs="Arial" w:eastAsia="Arial" w:hAnsi="Arial"/>
          <w:sz w:val="16"/>
          <w:szCs w:val="16"/>
          <w:color w:val="auto"/>
        </w:rPr>
        <w:t>(SOP 81-1). For these contracts, revenue is recognized using the percentage-of-completion method based on the ratio of total</w:t>
      </w:r>
      <w:r>
        <w:rPr>
          <w:rFonts w:ascii="Arial" w:cs="Arial" w:eastAsia="Arial" w:hAnsi="Arial"/>
          <w:sz w:val="16"/>
          <w:szCs w:val="16"/>
          <w:i w:val="1"/>
          <w:iCs w:val="1"/>
          <w:color w:val="auto"/>
        </w:rPr>
        <w:t xml:space="preserve"> </w:t>
      </w:r>
      <w:r>
        <w:rPr>
          <w:rFonts w:ascii="Arial" w:cs="Arial" w:eastAsia="Arial" w:hAnsi="Arial"/>
          <w:sz w:val="16"/>
          <w:szCs w:val="16"/>
          <w:color w:val="auto"/>
        </w:rPr>
        <w:t>costs incurred to date compared to estimated total costs to complete the 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the Company determines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the Company will not incur a loss on the project, the Company may record revenue equal to cost incurred, at zero margin. In the event that the cost incurred to date may be in excess of the funded contract value, the Company may defer those costs until the associated contract value has been funded by the customer. Once the final estimate of the outcome of the project margin is determined, the Company will record revenue using the percentage-of-completion method of accounting based on the ratio of total costs incurred to date compared to the estimated total costs to complete the project.</w:t>
      </w:r>
    </w:p>
    <w:p>
      <w:pPr>
        <w:spacing w:after="0" w:line="18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accounted for using the percentage-of-completion method may adversely affect our gross margins for the period in which the contract is modified or cancelled.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Material differences may result in the amount and timing of our revenue for any period if management made different judgments or utilized different estimates.</w:t>
      </w:r>
    </w:p>
    <w:p>
      <w:pPr>
        <w:spacing w:after="0" w:line="198"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 xml:space="preserve">It is the Company's policy to review any arrangement containing software or software deliverables and services against the criteria contained in SOP 97-2, </w:t>
      </w:r>
      <w:r>
        <w:rPr>
          <w:rFonts w:ascii="Arial" w:cs="Arial" w:eastAsia="Arial" w:hAnsi="Arial"/>
          <w:sz w:val="16"/>
          <w:szCs w:val="16"/>
          <w:i w:val="1"/>
          <w:iCs w:val="1"/>
          <w:color w:val="auto"/>
        </w:rPr>
        <w:t>"Software Revenue Recognition"</w:t>
      </w:r>
      <w:r>
        <w:rPr>
          <w:rFonts w:ascii="Arial" w:cs="Arial" w:eastAsia="Arial" w:hAnsi="Arial"/>
          <w:sz w:val="16"/>
          <w:szCs w:val="16"/>
          <w:color w:val="auto"/>
        </w:rPr>
        <w:t>, and related technical practice aids. Under the provisions of SOP 97-2, the Company reviews the contract value of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deliverables and services and determines allocations of the contract value based on Vendor Specific Objective Evidence ("VSOE") or fair value for each of the elements. All software arrangements requiring significant production, modification, or customization of the software are accounted for in conformity with Accounting Research Bulletin 45 </w:t>
      </w:r>
      <w:r>
        <w:rPr>
          <w:rFonts w:ascii="Arial" w:cs="Arial" w:eastAsia="Arial" w:hAnsi="Arial"/>
          <w:sz w:val="16"/>
          <w:szCs w:val="16"/>
          <w:i w:val="1"/>
          <w:iCs w:val="1"/>
          <w:color w:val="auto"/>
        </w:rPr>
        <w:t>"Long-Term Construction-Type Contracts"</w:t>
      </w:r>
      <w:r>
        <w:rPr>
          <w:rFonts w:ascii="Arial" w:cs="Arial" w:eastAsia="Arial" w:hAnsi="Arial"/>
          <w:sz w:val="16"/>
          <w:szCs w:val="16"/>
          <w:color w:val="auto"/>
        </w:rPr>
        <w:t xml:space="preserve"> (ARB 45), using the relevant guidance in SOP 81-1.</w:t>
      </w:r>
    </w:p>
    <w:p>
      <w:pPr>
        <w:spacing w:after="0" w:line="170"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 xml:space="preserve">The Company's contracts may include the provision of more than one of its services. In these situations, the Company applies the guidance of FASB's Emerging Issues Task Force (EITF) Issue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certain of the Company's contractual arrangements, the Company may also recognize revenue for out-of-pocket expenses in accordance with</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EITF 01-14 "</w:t>
      </w:r>
      <w:r>
        <w:rPr>
          <w:rFonts w:ascii="Arial" w:cs="Arial" w:eastAsia="Arial" w:hAnsi="Arial"/>
          <w:sz w:val="18"/>
          <w:szCs w:val="18"/>
          <w:i w:val="1"/>
          <w:iCs w:val="1"/>
          <w:color w:val="auto"/>
        </w:rPr>
        <w:t>Income Statement Characterization of Reimbursements Received for Out-of-Pocket Expenses Incurred.</w:t>
      </w:r>
      <w:r>
        <w:rPr>
          <w:rFonts w:ascii="Arial" w:cs="Arial" w:eastAsia="Arial" w:hAnsi="Arial"/>
          <w:sz w:val="18"/>
          <w:szCs w:val="18"/>
          <w:color w:val="auto"/>
        </w:rPr>
        <w:t>" Depending on the contractual arrangement, these expenses may be reimbursed with or without a fee.</w:t>
      </w:r>
    </w:p>
    <w:p>
      <w:pPr>
        <w:spacing w:after="0" w:line="19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w:t>
      </w:r>
      <w:r>
        <w:rPr>
          <w:rFonts w:ascii="Arial" w:cs="Arial" w:eastAsia="Arial" w:hAnsi="Arial"/>
          <w:sz w:val="16"/>
          <w:szCs w:val="16"/>
          <w:i w:val="1"/>
          <w:iCs w:val="1"/>
          <w:color w:val="auto"/>
        </w:rPr>
        <w:t>Reporting Revenue Gross as a Principal versus Net as an Agent</w:t>
      </w:r>
      <w:r>
        <w:rPr>
          <w:rFonts w:ascii="Arial" w:cs="Arial" w:eastAsia="Arial" w:hAnsi="Arial"/>
          <w:sz w:val="16"/>
          <w:szCs w:val="16"/>
          <w:color w:val="auto"/>
        </w:rPr>
        <w:t>," depending on the specific circumstances of the arrangement. The Company considers the following criteria, among others, for recording revenue on a gross or net basis:</w:t>
      </w:r>
    </w:p>
    <w:p>
      <w:pPr>
        <w:spacing w:after="0" w:line="161" w:lineRule="exact"/>
        <w:rPr>
          <w:sz w:val="20"/>
          <w:szCs w:val="20"/>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  Whether the Company assumes the credit risk for the amount billed to the customer subsequent to delivery.</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 or if the underlying circumstances were to change. The Company closely monitors compliance with, and the consistent application of, its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 (DCAA).</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From time to time, the Company may proceed with work based on client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client, communications with the client regarding funding status, and its knowledge of available funding for the contract or program. As December 28, 2008 and March 29, 2009 approximately $0.8 million and $0.6 million, respectively, of the Company's unbilled accounts receivable balance were under an authorization to proceed or work order from its customers where a formal purchase order had not yet been received.</w:t>
      </w:r>
    </w:p>
    <w:p>
      <w:pPr>
        <w:spacing w:after="0" w:line="206"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has restricted cash accounts of approximately $0.4 million as of December 28, 2008, and March 29, 2009, which are required to collateralize a credit card program and a deposit relating to the run out of a now terminated workers compensation program.</w:t>
      </w:r>
    </w:p>
    <w:p>
      <w:pPr>
        <w:spacing w:after="0" w:line="207"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Inventories which are comprised primarily of supplies including parts and materials are stated at the lower of cost or market. The Company regularly reviews inventory quantities on hand, future purchase commitments with its suppliers, and the estimated utility of its inventory. If the Company review indicates a reduction in utility below carrying value, it reduces its inventory to a new cost basis. As of December 28, 2008 and March 29, 2009, the Company had $2.1 million of inventories which were reflected in other current assets on the condensed consolidated balance sheets.</w:t>
      </w:r>
    </w:p>
    <w:p>
      <w:pPr>
        <w:spacing w:after="0" w:line="174"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Company currently carries a significant amount of debt and has historically experienced recurring losses and negative cash flows from continuing operations. Given the Company's highly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leveraged liquidity position, any down-turn in its operating earnings or cash flows could impair its ability to comply with the financial covenants of its existing credit facility. Its ability to execute on additional business opportunities may be limited due to its existing borrowing capacity. If the Company believed a covenant violation is more than likely to occur in the near future, it would seek relief from its lenders. This relief, if available, would have some cost to the Company and such relief might not be on terms as favorable as those in its existing Credit Agreement. If the Company were to actually default due to its failure to meet the financial covenants of its Credit Agreement and inability to obtain a waiver from the lenders, the Company's Credit Agreement could require the Company to immediately repay all amounts then outstanding under the Credit Agreement and/or require the Company to pay interest at default rates per the Credit Agreement. In the event the Company was required to repay the amount outstanding under the existing credit facility, it would need to obtain alternative sources of financing to continue its operating activities at existing levels. There can be no assurance that alternative financing would be available on acceptable terms or at all.</w:t>
      </w:r>
    </w:p>
    <w:p>
      <w:pPr>
        <w:spacing w:after="0" w:line="212"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Standards</w:t>
      </w:r>
    </w:p>
    <w:p>
      <w:pPr>
        <w:spacing w:after="0" w:line="225"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The disclosure requirements of SFAS No. 157—</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took effect on January 1, 2008, are presented in Note 9. On January 1, 2009, the Company implemented the previously deferred provisions of SFAS No. 157 for nonfinancial assets and liabilities recorded at fair value, as required.</w:t>
      </w:r>
    </w:p>
    <w:p>
      <w:pPr>
        <w:spacing w:after="0" w:line="194"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The disclosure requirements of SFAS No. 161—</w:t>
      </w:r>
      <w:r>
        <w:rPr>
          <w:rFonts w:ascii="Arial" w:cs="Arial" w:eastAsia="Arial" w:hAnsi="Arial"/>
          <w:sz w:val="18"/>
          <w:szCs w:val="18"/>
          <w:i w:val="1"/>
          <w:iCs w:val="1"/>
          <w:color w:val="auto"/>
        </w:rPr>
        <w:t>Disclosures about Derivative Instruments and Hedging Activities,</w:t>
      </w:r>
      <w:r>
        <w:rPr>
          <w:rFonts w:ascii="Arial" w:cs="Arial" w:eastAsia="Arial" w:hAnsi="Arial"/>
          <w:sz w:val="18"/>
          <w:szCs w:val="18"/>
          <w:color w:val="auto"/>
        </w:rPr>
        <w:t xml:space="preserve"> which took effect on January 1, 2009, are presented in Note 10.</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accounting requirements of SFAS No. 141(R)—</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which took effect on January 1, 2009, were adopted but had no impact on the Company's consolidated financial statements.</w:t>
      </w:r>
    </w:p>
    <w:p>
      <w:pPr>
        <w:spacing w:after="0" w:line="186"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The accounting and presentation requirements of SFAS No. 160—</w:t>
      </w:r>
      <w:r>
        <w:rPr>
          <w:rFonts w:ascii="Arial" w:cs="Arial" w:eastAsia="Arial" w:hAnsi="Arial"/>
          <w:sz w:val="18"/>
          <w:szCs w:val="18"/>
          <w:i w:val="1"/>
          <w:iCs w:val="1"/>
          <w:color w:val="auto"/>
        </w:rPr>
        <w:t>Noncontrolling Interests in Consolidated Financial Statements—an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Research Bulletin No. 51, </w:t>
      </w:r>
      <w:r>
        <w:rPr>
          <w:rFonts w:ascii="Arial" w:cs="Arial" w:eastAsia="Arial" w:hAnsi="Arial"/>
          <w:sz w:val="18"/>
          <w:szCs w:val="18"/>
          <w:color w:val="auto"/>
        </w:rPr>
        <w:t>which took effect on January 1, 2009, had no impact on the financial statements as the Company's non-controlling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were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Issued But Not Yet Effective</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Other new pronouncements issued but not effective until after March 31, 2009, are not expected to have a significant effect on the company's consolidated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performs its annual impairment test for goodwill in accordance with SFAS 142</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xml:space="preserve"> as of the last day of the fiscal year or when evidence of potential impairment exists. The Company's testing approach utilizes a discounted cash flow analysis corroborated by comparative market multiples to determine the fair value of its businesses for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Other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comparison to their corresponding book values because there are no observable inputs available (Level 3 hierarchy as defined by SFAS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If the book value exceeds the estimated fair value for a business, a potential impairment is indicated and SFAS 142 prescribes the approach for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the impairment amount, if any.</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Given the continued significant decline in the stock market in general and specifically the Company's stock price in 2009, the Company performed an impairment test for goodwill in accordance with SFAS 142 as of February 28, 2009. The test indicated that the book value for the Kratos Government Solutions (KGS) segment exceeded the fair values of these businesses and resulted in the Company recording a charge totaling $41.3 million in its KGS segment for the impairment of goodwill. The impairment charge is primarily driven by adverse equity market conditions that caused a decrease in current market multiples and the Company's average stock price as of February 28, 2009, compared with the test performed as of December 28, 2008.</w:t>
      </w:r>
    </w:p>
    <w:p>
      <w:pPr>
        <w:spacing w:after="0" w:line="17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will continue to evaluate whether a triggering event under SFAS 142 that could be an indication of additional goodwill impairment occurs. If such a triggering event is identified, the Company will perform additional goodwill impairment tests.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tables summarize the changes in the carrying amounts of goodwill and other finite-life intangible assets for the three months ended March 29, 2009 (in millions):</w:t>
      </w:r>
    </w:p>
    <w:p>
      <w:pPr>
        <w:spacing w:after="0" w:line="169"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8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Government</w:t>
            </w:r>
          </w:p>
        </w:tc>
      </w:tr>
      <w:tr>
        <w:trPr>
          <w:trHeight w:val="161"/>
        </w:trPr>
        <w:tc>
          <w:tcPr>
            <w:tcW w:w="3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Solutions</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0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Balance as of December 28, 2008</w:t>
            </w:r>
          </w:p>
        </w:tc>
        <w:tc>
          <w:tcPr>
            <w:tcW w:w="13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152.2</w:t>
            </w:r>
          </w:p>
        </w:tc>
        <w:tc>
          <w:tcPr>
            <w:tcW w:w="60" w:type="dxa"/>
            <w:vAlign w:val="bottom"/>
          </w:tcPr>
          <w:p>
            <w:pPr>
              <w:spacing w:after="0"/>
              <w:rPr>
                <w:sz w:val="18"/>
                <w:szCs w:val="18"/>
                <w:color w:val="auto"/>
              </w:rPr>
            </w:pP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r>
      <w:tr>
        <w:trPr>
          <w:trHeight w:val="222"/>
        </w:trPr>
        <w:tc>
          <w:tcPr>
            <w:tcW w:w="3480" w:type="dxa"/>
            <w:vAlign w:val="bottom"/>
          </w:tcPr>
          <w:p>
            <w:pPr>
              <w:ind w:left="120"/>
              <w:spacing w:after="0"/>
              <w:rPr>
                <w:sz w:val="20"/>
                <w:szCs w:val="20"/>
                <w:color w:val="auto"/>
              </w:rPr>
            </w:pPr>
            <w:r>
              <w:rPr>
                <w:rFonts w:ascii="Arial" w:cs="Arial" w:eastAsia="Arial" w:hAnsi="Arial"/>
                <w:sz w:val="18"/>
                <w:szCs w:val="18"/>
                <w:color w:val="auto"/>
              </w:rPr>
              <w:t>Purchase accounting adjustments</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1"/>
        </w:trPr>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29, 2009</w:t>
            </w:r>
          </w:p>
        </w:tc>
        <w:tc>
          <w:tcPr>
            <w:tcW w:w="13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w:t>
            </w:r>
          </w:p>
        </w:tc>
        <w:tc>
          <w:tcPr>
            <w:tcW w:w="60" w:type="dxa"/>
            <w:vAlign w:val="bottom"/>
            <w:shd w:val="clear" w:color="auto" w:fill="CCEEFF"/>
          </w:tcPr>
          <w:p>
            <w:pPr>
              <w:spacing w:after="0"/>
              <w:rPr>
                <w:sz w:val="18"/>
                <w:szCs w:val="18"/>
                <w:color w:val="auto"/>
              </w:rPr>
            </w:pPr>
          </w:p>
        </w:tc>
      </w:tr>
      <w:tr>
        <w:trPr>
          <w:trHeight w:val="27"/>
        </w:trPr>
        <w:tc>
          <w:tcPr>
            <w:tcW w:w="3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information for finite-lived intangible assets subject to amortization (in millions):</w:t>
      </w:r>
    </w:p>
    <w:p>
      <w:pPr>
        <w:spacing w:after="0" w:line="275"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000" w:type="dxa"/>
            <w:vAlign w:val="bottom"/>
            <w:gridSpan w:val="6"/>
          </w:tcPr>
          <w:p>
            <w:pPr>
              <w:jc w:val="right"/>
              <w:ind w:right="197"/>
              <w:spacing w:after="0"/>
              <w:rPr>
                <w:sz w:val="20"/>
                <w:szCs w:val="20"/>
                <w:color w:val="auto"/>
              </w:rPr>
            </w:pPr>
            <w:r>
              <w:rPr>
                <w:rFonts w:ascii="Arial" w:cs="Arial" w:eastAsia="Arial" w:hAnsi="Arial"/>
                <w:sz w:val="14"/>
                <w:szCs w:val="14"/>
                <w:b w:val="1"/>
                <w:bCs w:val="1"/>
                <w:color w:val="auto"/>
              </w:rPr>
              <w:t>As of December 28, 2008</w:t>
            </w:r>
          </w:p>
        </w:tc>
        <w:tc>
          <w:tcPr>
            <w:tcW w:w="200" w:type="dxa"/>
            <w:vAlign w:val="bottom"/>
          </w:tcPr>
          <w:p>
            <w:pPr>
              <w:spacing w:after="0"/>
              <w:rPr>
                <w:sz w:val="14"/>
                <w:szCs w:val="14"/>
                <w:color w:val="auto"/>
              </w:rPr>
            </w:pPr>
          </w:p>
        </w:tc>
        <w:tc>
          <w:tcPr>
            <w:tcW w:w="2060" w:type="dxa"/>
            <w:vAlign w:val="bottom"/>
            <w:gridSpan w:val="7"/>
          </w:tcPr>
          <w:p>
            <w:pPr>
              <w:ind w:left="400"/>
              <w:spacing w:after="0"/>
              <w:rPr>
                <w:sz w:val="20"/>
                <w:szCs w:val="20"/>
                <w:color w:val="auto"/>
              </w:rPr>
            </w:pPr>
            <w:r>
              <w:rPr>
                <w:rFonts w:ascii="Arial" w:cs="Arial" w:eastAsia="Arial" w:hAnsi="Arial"/>
                <w:sz w:val="14"/>
                <w:szCs w:val="14"/>
                <w:b w:val="1"/>
                <w:bCs w:val="1"/>
                <w:color w:val="auto"/>
              </w:rPr>
              <w:t>As of March 29, 2009</w:t>
            </w:r>
          </w:p>
        </w:tc>
      </w:tr>
      <w:tr>
        <w:trPr>
          <w:trHeight w:val="129"/>
        </w:trPr>
        <w:tc>
          <w:tcPr>
            <w:tcW w:w="2920" w:type="dxa"/>
            <w:vAlign w:val="bottom"/>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4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1"/>
                <w:szCs w:val="11"/>
                <w:color w:val="auto"/>
              </w:rPr>
            </w:pPr>
          </w:p>
        </w:tc>
        <w:tc>
          <w:tcPr>
            <w:tcW w:w="6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98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4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1"/>
                <w:szCs w:val="11"/>
                <w:color w:val="auto"/>
              </w:rPr>
            </w:pPr>
          </w:p>
        </w:tc>
      </w:tr>
      <w:tr>
        <w:trPr>
          <w:trHeight w:val="161"/>
        </w:trPr>
        <w:tc>
          <w:tcPr>
            <w:tcW w:w="29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Amortization</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Amortization</w:t>
            </w: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7"/>
              </w:rPr>
              <w:t>Acquired finite-lived intangible assets</w:t>
            </w: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$23.0</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$18.0</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$23.0</w:t>
            </w:r>
          </w:p>
        </w:tc>
        <w:tc>
          <w:tcPr>
            <w:tcW w:w="3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$17.2</w:t>
            </w: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backlog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ind w:left="140"/>
              <w:spacing w:after="0"/>
              <w:rPr>
                <w:sz w:val="20"/>
                <w:szCs w:val="20"/>
                <w:color w:val="auto"/>
              </w:rPr>
            </w:pPr>
            <w:r>
              <w:rPr>
                <w:rFonts w:ascii="Arial" w:cs="Arial" w:eastAsia="Arial" w:hAnsi="Arial"/>
                <w:sz w:val="18"/>
                <w:szCs w:val="18"/>
                <w:color w:val="auto"/>
              </w:rPr>
              <w:t>Developed technology</w:t>
            </w: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Non-compete agreements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292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r>
      <w:tr>
        <w:trPr>
          <w:trHeight w:val="21"/>
        </w:trPr>
        <w:tc>
          <w:tcPr>
            <w:tcW w:w="2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$45.7</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$32.2</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$30.7</w:t>
            </w:r>
          </w:p>
        </w:tc>
        <w:tc>
          <w:tcPr>
            <w:tcW w:w="60" w:type="dxa"/>
            <w:vAlign w:val="bottom"/>
            <w:shd w:val="clear" w:color="auto" w:fill="CCEEFF"/>
          </w:tcPr>
          <w:p>
            <w:pPr>
              <w:spacing w:after="0"/>
              <w:rPr>
                <w:sz w:val="18"/>
                <w:szCs w:val="18"/>
                <w:color w:val="auto"/>
              </w:rPr>
            </w:pPr>
          </w:p>
        </w:tc>
      </w:tr>
      <w:tr>
        <w:trPr>
          <w:trHeight w:val="27"/>
        </w:trPr>
        <w:tc>
          <w:tcPr>
            <w:tcW w:w="29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Consolidated amortization expense related to intangible assets subject to amortization was $1.2 million and $1.5 million for the quarters ended March 30, 2008 and March 29, 2009, respectively.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Company had the following equity incentive plans under which shares were available for grant at March 29, 2009: the 1999 Equity Incentive Plan (the "1999 Plan"), the 2000 Non-Statutory Stock Option Plan (the "2000 Plan") and the 2005 Equity Incentive Plan (the "2005 Plan").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Digital Fusion, Inc. 1998, 1999, 2000, and 2005 Stock Option and Stock Incentive Plans.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connection with the Company's acquisition of Digital Fusion, Inc. (DFI) on December 24, 2008, the Company assumed all outstanding options under DFI's 1998, 1999, 2000, and 2005 Stock Option and Stock Incentive Plans. No further grants will be made under these plans. Award grants that were outstanding under these plans on December 24, 2008 will continue to be governed by their existing terms and may be exercised for shares of the Company's common stock at any time prior to the expiration of the option pursuant to its terms. Stock options granted under these plans included incentive stock options and non-statutory stock options. All non-statutory options vest upon change in control and were 100% vested on December 24, 2008. With respect to incentive stock options, the qualified stock option plans provide that the exercise price of each such option must be at least equal to 100% of the fair market value of its common stock on the date of grant. Stock options granted under these plans may generally be exercised from one to ten years after the date of grant. Certain of these options had change in control provisions that extended the exercise period for grants for two years from the transaction closing date. Awards granted under these plans generally vest equally over three years; however, in connection with the Company's acquisition of DFI the plans were amended to include immediate vesting of all unvested grants upon any future change in control of the Company. DFI also granted certain options outside of its qualified stock option plans. These non-qualified "out of plan" stock options have been assumed by the Company and expire 10 years from the grant date.</w:t>
      </w:r>
    </w:p>
    <w:p>
      <w:pPr>
        <w:spacing w:after="0" w:line="18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Company also has a form of Restricted Stock Unit Agreement (the "RSU Agreement") to govern the issuance of restricted stock units ("RSU") to executive officers under the Company's 2005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summarizes the Company's Restricted Stock Unit activity:</w:t>
      </w:r>
    </w:p>
    <w:p>
      <w:pPr>
        <w:spacing w:after="0" w:line="214"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2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84"/>
              </w:rPr>
              <w:t>Restricted</w:t>
            </w: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Average</w:t>
            </w: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Units</w:t>
            </w: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(000's)</w:t>
            </w:r>
          </w:p>
        </w:tc>
        <w:tc>
          <w:tcPr>
            <w:tcW w:w="2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December 28, 2008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2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Cancellations/Forfeitures</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(64)</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March 29, 2009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following table shows the amounts recognized in the financial statements for the three months ended March 30, 2008 and March 29, 2009 for stock-based compensation expense related to employees (in millions, except per share data). The stock-based compensation expense for the three months ended March 30, 2008 and March 29, 2009 primarily relates to the grant of restricted stock units. In addition,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30, 2008 and March 29, 2009, there was no incremental tax benefit from stock options exercised in the period.</w:t>
      </w:r>
    </w:p>
    <w:p>
      <w:pPr>
        <w:spacing w:after="0" w:line="23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Three</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149"/>
        </w:trPr>
        <w:tc>
          <w:tcPr>
            <w:tcW w:w="9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Months</w:t>
            </w:r>
          </w:p>
        </w:tc>
        <w:tc>
          <w:tcPr>
            <w:tcW w:w="0" w:type="dxa"/>
            <w:vAlign w:val="bottom"/>
          </w:tcPr>
          <w:p>
            <w:pPr>
              <w:spacing w:after="0"/>
              <w:rPr>
                <w:sz w:val="1"/>
                <w:szCs w:val="1"/>
                <w:color w:val="auto"/>
              </w:rPr>
            </w:pPr>
          </w:p>
        </w:tc>
      </w:tr>
      <w:tr>
        <w:trPr>
          <w:trHeight w:val="149"/>
        </w:trPr>
        <w:tc>
          <w:tcPr>
            <w:tcW w:w="9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916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March 30,</w:t>
            </w: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March 29,</w:t>
            </w:r>
          </w:p>
        </w:tc>
        <w:tc>
          <w:tcPr>
            <w:tcW w:w="0" w:type="dxa"/>
            <w:vAlign w:val="bottom"/>
          </w:tcPr>
          <w:p>
            <w:pPr>
              <w:spacing w:after="0"/>
              <w:rPr>
                <w:sz w:val="1"/>
                <w:szCs w:val="1"/>
                <w:color w:val="auto"/>
              </w:rPr>
            </w:pPr>
          </w:p>
        </w:tc>
      </w:tr>
      <w:tr>
        <w:trPr>
          <w:trHeight w:val="161"/>
        </w:trPr>
        <w:tc>
          <w:tcPr>
            <w:tcW w:w="9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9160" w:type="dxa"/>
            <w:vAlign w:val="bottom"/>
            <w:vMerge w:val="restart"/>
          </w:tcPr>
          <w:p>
            <w:pPr>
              <w:ind w:left="140"/>
              <w:spacing w:after="0"/>
              <w:rPr>
                <w:sz w:val="20"/>
                <w:szCs w:val="20"/>
                <w:color w:val="auto"/>
              </w:rPr>
            </w:pPr>
            <w:r>
              <w:rPr>
                <w:rFonts w:ascii="Arial" w:cs="Arial" w:eastAsia="Arial" w:hAnsi="Arial"/>
                <w:sz w:val="18"/>
                <w:szCs w:val="18"/>
                <w:color w:val="auto"/>
                <w:w w:val="91"/>
              </w:rPr>
              <w:t>Total cost of employee stock-based compensation included in operating loss from continuing operations, before income tax</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1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Amount charged to loss from discontinued operations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60" w:type="dxa"/>
            <w:vAlign w:val="bottom"/>
            <w:vMerge w:val="restart"/>
          </w:tcPr>
          <w:p>
            <w:pPr>
              <w:ind w:left="140"/>
              <w:spacing w:after="0"/>
              <w:rPr>
                <w:sz w:val="20"/>
                <w:szCs w:val="20"/>
                <w:color w:val="auto"/>
              </w:rPr>
            </w:pPr>
            <w:r>
              <w:rPr>
                <w:rFonts w:ascii="Arial" w:cs="Arial" w:eastAsia="Arial" w:hAnsi="Arial"/>
                <w:sz w:val="18"/>
                <w:szCs w:val="18"/>
                <w:color w:val="auto"/>
              </w:rPr>
              <w:t>Total charged against operations</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16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Impact on net loss per common share: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August 1999, the Board of Directors approved the 1999 Employee Stock Purchase Plan (the "Purchase Plan"). A total of 4.4 million shares of common stock have been authorized for issuance under the Purchase Plan. The Purchase Plan qualifies as an employee stock purchase plan within the meaning of Section 423 of the Internal Revenue Service Code. The Purchase Plan commenced in November 1999 upon completion of the Company's initial public offering. On November 16, 2005, the Compensation Committee of the Board of Directors elected to suspend all future offerings under the Purchase Plan effective January 1, 2006. On February 27, 2008, the Compensation Committee elected to reinstate offerings under the Purchase Plan effective April 1, 2008.</w:t>
      </w:r>
    </w:p>
    <w:p>
      <w:pPr>
        <w:spacing w:after="0" w:line="17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Employees who actively participate in the Purchase Plan are eligible to have up to 15% of their earnings for each purchase period withheld pursuant to the Purchase Plan. The amount that was withheld was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For the three month period ended March 29, 2009, 0.2 million shares were purchased with a total value of $0.2 million. No shares were purchased under the plan for the quarter ended March 30, 2008.</w:t>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Stockholders' Equity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changes in Stockholders' Equity for the quarters ended March 30, 2008 and March 29, 2009 is provided below (in millions):</w:t>
      </w:r>
    </w:p>
    <w:p>
      <w:pPr>
        <w:spacing w:after="0" w:line="231" w:lineRule="exact"/>
        <w:rPr>
          <w:sz w:val="20"/>
          <w:szCs w:val="20"/>
          <w:color w:val="auto"/>
        </w:rPr>
      </w:pPr>
    </w:p>
    <w:tbl>
      <w:tblPr>
        <w:tblLayout w:type="fixed"/>
        <w:tblInd w:w="2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Three</w:t>
            </w:r>
          </w:p>
        </w:tc>
        <w:tc>
          <w:tcPr>
            <w:tcW w:w="14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Three</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March 30,</w:t>
            </w: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March 29,</w:t>
            </w: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2009</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8"/>
              </w:rPr>
              <w:t>Working capital adjustment for Haverstick acquisition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ESPP Plan and RSU settlement in cash</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 for acquisition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r>
      <w:tr>
        <w:trPr>
          <w:trHeight w:val="21"/>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8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The Company has two classes of stock, Series B Convertible Preferred Stock and common stock. There was no issuance, redemption or conversion of the Series B Convertible Preferred Stock in the quarter ended March 30, 2008 or for the quarter ended March 29, 2009. Common stock issued by the Company for the three months ended March 30, 2008, and March 29, 2009, was as follows (in millions):</w:t>
      </w:r>
    </w:p>
    <w:p>
      <w:pPr>
        <w:spacing w:after="0" w:line="177"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2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Three</w:t>
            </w:r>
          </w:p>
        </w:tc>
      </w:tr>
      <w:tr>
        <w:trPr>
          <w:trHeight w:val="149"/>
        </w:trPr>
        <w:tc>
          <w:tcPr>
            <w:tcW w:w="39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2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Months</w:t>
            </w:r>
          </w:p>
        </w:tc>
      </w:tr>
      <w:tr>
        <w:trPr>
          <w:trHeight w:val="149"/>
        </w:trPr>
        <w:tc>
          <w:tcPr>
            <w:tcW w:w="39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9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30,</w:t>
            </w:r>
          </w:p>
        </w:tc>
        <w:tc>
          <w:tcPr>
            <w:tcW w:w="20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March 29,</w:t>
            </w:r>
          </w:p>
        </w:tc>
      </w:tr>
      <w:tr>
        <w:trPr>
          <w:trHeight w:val="161"/>
        </w:trPr>
        <w:tc>
          <w:tcPr>
            <w:tcW w:w="39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80" w:type="dxa"/>
            <w:vAlign w:val="bottom"/>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outstanding at the beginning of the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CCEEFF"/>
          </w:tcPr>
          <w:p>
            <w:pPr>
              <w:spacing w:after="0"/>
              <w:rPr>
                <w:sz w:val="18"/>
                <w:szCs w:val="18"/>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Stock issued for employee stock purchase plan</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r>
      <w:tr>
        <w:trPr>
          <w:trHeight w:val="21"/>
        </w:trPr>
        <w:tc>
          <w:tcPr>
            <w:tcW w:w="3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the end of the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80" w:type="dxa"/>
            <w:vAlign w:val="bottom"/>
            <w:shd w:val="clear" w:color="auto" w:fill="CCEEFF"/>
          </w:tcPr>
          <w:p>
            <w:pPr>
              <w:spacing w:after="0"/>
              <w:rPr>
                <w:sz w:val="18"/>
                <w:szCs w:val="18"/>
                <w:color w:val="auto"/>
              </w:rPr>
            </w:pPr>
          </w:p>
        </w:tc>
      </w:tr>
      <w:tr>
        <w:trPr>
          <w:trHeight w:val="27"/>
        </w:trPr>
        <w:tc>
          <w:tcPr>
            <w:tcW w:w="39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(Loss) Per Common Share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 Company calculates net income (loss) per share in accordance with 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Under SFAS 128,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March 30,</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March 29,</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520" w:type="dxa"/>
            <w:vAlign w:val="bottom"/>
            <w:gridSpan w:val="2"/>
          </w:tcPr>
          <w:p>
            <w:pPr>
              <w:ind w:left="1300"/>
              <w:spacing w:after="0"/>
              <w:rPr>
                <w:sz w:val="20"/>
                <w:szCs w:val="20"/>
                <w:color w:val="auto"/>
              </w:rPr>
            </w:pPr>
            <w:r>
              <w:rPr>
                <w:rFonts w:ascii="Arial" w:cs="Arial" w:eastAsia="Arial" w:hAnsi="Arial"/>
                <w:sz w:val="14"/>
                <w:szCs w:val="14"/>
                <w:b w:val="1"/>
                <w:bCs w:val="1"/>
                <w:color w:val="auto"/>
                <w:w w:val="94"/>
              </w:rPr>
              <w:t>Weighted average shares excluded from the calculation of diluted earnings per share because they are antidilutive</w:t>
            </w:r>
          </w:p>
        </w:tc>
        <w:tc>
          <w:tcPr>
            <w:tcW w:w="76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600" w:type="dxa"/>
            <w:vAlign w:val="bottom"/>
          </w:tcPr>
          <w:p>
            <w:pPr>
              <w:jc w:val="right"/>
              <w:ind w:right="79"/>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line="20" w:lineRule="exact"/>
              <w:rPr>
                <w:sz w:val="1"/>
                <w:szCs w:val="1"/>
                <w:color w:val="auto"/>
              </w:rPr>
            </w:pPr>
          </w:p>
        </w:tc>
        <w:tc>
          <w:tcPr>
            <w:tcW w:w="7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from restricted stock units and stock options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Weighted shares from preferred stock</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of common stock contingently issuable</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0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Weighted shares of common stock from convertible debt</w:t>
            </w: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520" w:type="dxa"/>
            <w:vAlign w:val="bottom"/>
            <w:gridSpan w:val="2"/>
          </w:tcPr>
          <w:p>
            <w:pPr>
              <w:jc w:val="right"/>
              <w:ind w:right="2632"/>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00" w:type="dxa"/>
            <w:vAlign w:val="bottom"/>
            <w:tcBorders>
              <w:bottom w:val="single" w:sz="8" w:color="808080"/>
            </w:tcBorders>
          </w:tcPr>
          <w:p>
            <w:pPr>
              <w:spacing w:after="0"/>
              <w:rPr>
                <w:sz w:val="19"/>
                <w:szCs w:val="19"/>
                <w:color w:val="auto"/>
              </w:rPr>
            </w:pPr>
          </w:p>
        </w:tc>
        <w:tc>
          <w:tcPr>
            <w:tcW w:w="7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31" w:lineRule="exact"/>
        <w:rPr>
          <w:sz w:val="20"/>
          <w:szCs w:val="20"/>
          <w:color w:val="auto"/>
        </w:rPr>
      </w:pPr>
    </w:p>
    <w:p>
      <w:pPr>
        <w:jc w:val="both"/>
        <w:ind w:right="560" w:firstLine="341"/>
        <w:spacing w:after="0" w:line="259" w:lineRule="auto"/>
        <w:rPr>
          <w:sz w:val="20"/>
          <w:szCs w:val="20"/>
          <w:color w:val="auto"/>
        </w:rPr>
      </w:pPr>
      <w:r>
        <w:rPr>
          <w:rFonts w:ascii="Arial" w:cs="Arial" w:eastAsia="Arial" w:hAnsi="Arial"/>
          <w:sz w:val="18"/>
          <w:szCs w:val="18"/>
          <w:color w:val="auto"/>
        </w:rPr>
        <w:t>As of December 28, 2008, the Company had $12.8 million of unrecognized tax benefits. During the first quarter of 2009, this amount was reduced by $0.3 million relating to the expiration of statutes of limitations resulting in unrecognized tax benefits at March 29, 2009 of $12.5 million. The reduction in unrecognized tax benefits was recorded as a tax benefit from discontinued operations for $0.3 million.</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There were no material amounts recorded during the periods ended March 30, 2008 and March 29, 2009.</w:t>
      </w:r>
    </w:p>
    <w:p>
      <w:pPr>
        <w:spacing w:after="0" w:line="186"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 xml:space="preserve">The Company believes that it is reasonably possible that as much as $3.4 million of the FASB Interpretation No. 48, </w:t>
      </w:r>
      <w:r>
        <w:rPr>
          <w:rFonts w:ascii="Arial" w:cs="Arial" w:eastAsia="Arial" w:hAnsi="Arial"/>
          <w:sz w:val="18"/>
          <w:szCs w:val="18"/>
          <w:i w:val="1"/>
          <w:iCs w:val="1"/>
          <w:color w:val="auto"/>
        </w:rPr>
        <w:t>Accounting for Uncertainty in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(FIN 48) tax liabilities will expire within 12 months of March 29, 2009 due to the expiration of various applicable statutes of limitations and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a pending income tax refund claim.</w:t>
      </w:r>
    </w:p>
    <w:p>
      <w:pPr>
        <w:spacing w:after="0" w:line="194"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Company is subject to taxation in the U.S. and various state tax jurisdictions. The Company's tax years for 2000 and forward are subject to examination by the U.S. and state tax authorities due to the existence of net operating loss carryforwards. Generally, the Company's tax years for 2002 and forward are subject to examination by various foreign tax authorities.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assessing the realizability of deferred tax assets, management considers on a periodic basis, whether it is more likely than not that some portion or all of the deferred tax assets will not be realized. As such, management has determined that it is appropriate to maintain a full valuation allowance against its deferred tax assets, with the exception of an amount equal to its deferred tax liabilities which can be expected to reverse. Management will continue to evaluate the necessity to maintain a valuation allowance against its net deferred tax asset.</w:t>
      </w:r>
    </w:p>
    <w:p>
      <w:pPr>
        <w:spacing w:after="0" w:line="197" w:lineRule="exact"/>
        <w:rPr>
          <w:sz w:val="20"/>
          <w:szCs w:val="20"/>
          <w:color w:val="auto"/>
        </w:rPr>
      </w:pPr>
    </w:p>
    <w:p>
      <w:pPr>
        <w:ind w:right="440" w:firstLine="341"/>
        <w:spacing w:after="0" w:line="332" w:lineRule="auto"/>
        <w:rPr>
          <w:sz w:val="20"/>
          <w:szCs w:val="20"/>
          <w:color w:val="auto"/>
        </w:rPr>
      </w:pPr>
      <w:r>
        <w:rPr>
          <w:rFonts w:ascii="Arial" w:cs="Arial" w:eastAsia="Arial" w:hAnsi="Arial"/>
          <w:sz w:val="16"/>
          <w:szCs w:val="16"/>
          <w:color w:val="auto"/>
        </w:rPr>
        <w:t>A reconciliation of total income tax provision to the amount computed by applying the statutory federal income tax rate of 35% to loss from continuing operations before income tax provision for the three months ended March 30, 2008 and March 29, 2009 is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March 30, 2008</w:t>
            </w:r>
          </w:p>
        </w:tc>
        <w:tc>
          <w:tcPr>
            <w:tcW w:w="15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March 29,2009</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46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tax expense (benefit) at federal</w:t>
            </w:r>
          </w:p>
        </w:tc>
        <w:tc>
          <w:tcPr>
            <w:tcW w:w="34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460" w:type="dxa"/>
            <w:vAlign w:val="bottom"/>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statutory rate</w:t>
            </w:r>
          </w:p>
        </w:tc>
        <w:tc>
          <w:tcPr>
            <w:tcW w:w="108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5"/>
              </w:rPr>
              <w:t>State taxes, net of federal tax benefit and</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31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88"/>
              </w:rPr>
              <w:t>Nondeductable goodwill impairment charges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CCEEFF"/>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Nondeductable expenses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9"/>
              </w:rPr>
              <w:t>Increase (decrease) in federal valuation</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60" w:type="dxa"/>
            <w:vAlign w:val="bottom"/>
          </w:tcPr>
          <w:p>
            <w:pPr>
              <w:spacing w:after="0"/>
              <w:rPr>
                <w:sz w:val="19"/>
                <w:szCs w:val="19"/>
                <w:color w:val="auto"/>
              </w:rPr>
            </w:pPr>
          </w:p>
        </w:tc>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15</w:t>
            </w: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4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6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Fusion,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December 24, 2008, the Company acquired Huntsville, Alabama based Digital Fusion, Inc. (DFI) in a stock for stock transaction for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$37.0 million. DFI provides Command, Control, Communications, Computing, Intelligence, Surveillance, and Reconnaissance (C4ISR) and technical engineering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Unmanned Aerial Vehicle (UAV) products and technology and has significant engineering, modeling and simulation capabilities. The acquisition of DFI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provides Kratos with new customers and an expanded contract vehicle portfolio, in addition to expanding the range of service offerings to existing Kratos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customers. Principal customers of DFI include the Army Aviation and Missile Research, Development and Engineering Center (AMRDEC), Army Space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Missile Defense Command/Army Forces Strategic Command ARSTRAT), NASA Marshall Space Flight Center, and certain classified customers.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aforementioned factors are the primary reason for the acquisition and the amount subsequently assigned to goodwill.</w:t>
      </w:r>
    </w:p>
    <w:p>
      <w:pPr>
        <w:spacing w:after="0" w:line="219"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purchase price of $37.0 million includes direct transaction costs of $0.9 million. The Company issued 22.9 million shares to DFI shareholders and assumed DFI options which are now exercisable for approximately 10.0 million shares of Kratos common stock. The value of the purchase price related to the common stock issued was derived from the number of shares of Kratos common stock issued of 22.9 million, based on 12.8 million shares of DFI common stock outstanding and the exchange ratio of 1.7933 for each DFI share, at a price of $1.27 per share, the average closing price of Kratos shares of common stock on the announcement date and for the two days prior to and two days subsequent to the public announcement of the merger on November 24, 2008. The Company assumed DFI options valued at the exchange ratio of 1.7933 for each DFI option. The fair value of the options issued that was allocated to goodwill based upon the Black-Scholes pricing model was $7.0 million. The fair value of unvested options which are related to future service will be expensed as the service is performed over the weighted average vesting period of 1.2 years. The results of operations of DFI are included in the accompanying condensed consolidated financial statements for the three months ended March 29, 2009.</w:t>
      </w:r>
    </w:p>
    <w:p>
      <w:pPr>
        <w:spacing w:after="0" w:line="174"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$0.9 million, to the fair value of the assets acquired and liabilities assumed at the date of acquisition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10.0</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w w:val="95"/>
              </w:rPr>
              <w:t>Property, plant, and equipment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Goodwill</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23.8</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40" w:type="dxa"/>
            <w:vAlign w:val="bottom"/>
            <w:gridSpan w:val="2"/>
            <w:vMerge w:val="restart"/>
          </w:tcPr>
          <w:p>
            <w:pPr>
              <w:ind w:left="3080"/>
              <w:spacing w:after="0"/>
              <w:rPr>
                <w:sz w:val="20"/>
                <w:szCs w:val="20"/>
                <w:color w:val="auto"/>
              </w:rPr>
            </w:pPr>
            <w:r>
              <w:rPr>
                <w:rFonts w:ascii="Arial" w:cs="Arial" w:eastAsia="Arial" w:hAnsi="Arial"/>
                <w:sz w:val="18"/>
                <w:szCs w:val="18"/>
                <w:color w:val="auto"/>
              </w:rPr>
              <w:t>Total assets</w:t>
            </w:r>
          </w:p>
        </w:tc>
        <w:tc>
          <w:tcPr>
            <w:tcW w:w="2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46.9</w:t>
            </w:r>
          </w:p>
        </w:tc>
        <w:tc>
          <w:tcPr>
            <w:tcW w:w="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(9.0)</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Other liabilities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(0.9)</w:t>
            </w: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37.0</w:t>
            </w:r>
          </w:p>
        </w:tc>
        <w:tc>
          <w:tcPr>
            <w:tcW w:w="80" w:type="dxa"/>
            <w:vAlign w:val="bottom"/>
            <w:shd w:val="clear" w:color="auto" w:fill="CCEEFF"/>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40" w:type="dxa"/>
            <w:vAlign w:val="bottom"/>
            <w:vMerge w:val="restart"/>
          </w:tcPr>
          <w:p>
            <w:pPr>
              <w:jc w:val="right"/>
              <w:ind w:right="199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8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is not tax deductible with the exception of approximately $3.6 million which was tax deductible to DFI.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 Technologies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June 28, 2008, the Company acquired San Diego-based SYS Technologies (SYS). SYS provides a range of C4ISR and net-centric solutions to federal, state, local and other customers. The combination of SYS and Kratos creates a broad, complementary set of offerings, and positions the organization to deliver proven capabilities to a wider spectrum of customers in the areas of highly-specialized engineering and IT solutions and services, specifically in the areas of weapon systems life cycle support and extension, military range operations, missile and weapon system testing, and C4ISR. The amount of goodwill assigned in the allocation of purchase price is primarily attributable to the aforementioned advantages of this acquisition.</w:t>
      </w:r>
    </w:p>
    <w:p>
      <w:pPr>
        <w:spacing w:after="0" w:line="170"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purchase price of $55.9 million includes direct transaction costs of $2.4 million and estimated restructuring costs to be paid by Kratos. The value of the purchase price related to the common stock issued was derived from the number of shares of Kratos common stock issued of 25.3 million, based on 20.1 million shares of SYS common stock outstanding and the exchange ratio of 1.2582 for each SYS share, at a price of $2.022 per share, the average closing price of Kratos shares of common stock on the announcement date and for the two days prior to and two days subsequent to the public announcement of the merger on February 21, 2008. Following the closing of the acquisition, the Company implemented a plan to restructure and/or exit certain business activities of SYS. The plan included a comprehensive assessment of personnel, relocation of personnel, facility consolidation and exit strategies for certain lines of business. The plan provided for approximately $2.0 million of restructuring costs associated with personnel, and additional costs of $0.5 million for facilities consolidation. The restructuring costs are primarily associated with the businesses sold and are accounted for in discontinued operations in the accompanying condensed consolidated financial statements.</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the Company identified three business units of SYS that were not core to its business strategy and/or have been dilutive to profitability. The divestiture of these businesses will slightly reduce revenues going forward, and the Company believes will immediately increase profitability and cash flow. The sale of these businesses was completed in the quarter ended March 29, 2009 for an aggregate cash consideration of approximately $0.4 million. These businesses have been classified as discontinued operations as of December 28, 2008 and March 29, 2009.</w:t>
      </w:r>
    </w:p>
    <w:p>
      <w:pPr>
        <w:spacing w:after="0" w:line="167" w:lineRule="exact"/>
        <w:rPr>
          <w:sz w:val="20"/>
          <w:szCs w:val="20"/>
          <w:color w:val="auto"/>
        </w:rPr>
      </w:pPr>
    </w:p>
    <w:p>
      <w:pPr>
        <w:jc w:val="center"/>
        <w:ind w:left="300"/>
        <w:spacing w:after="0"/>
        <w:rPr>
          <w:sz w:val="20"/>
          <w:szCs w:val="20"/>
          <w:color w:val="auto"/>
        </w:rPr>
      </w:pPr>
      <w:r>
        <w:rPr>
          <w:rFonts w:ascii="Arial" w:cs="Arial" w:eastAsia="Arial" w:hAnsi="Arial"/>
          <w:sz w:val="15"/>
          <w:szCs w:val="15"/>
          <w:color w:val="auto"/>
        </w:rPr>
        <w:t>The results of operations of SYS are included in the accompanying condensed consolidated financial statements for the three months ended March 29, 2009.</w:t>
      </w: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following summarizes the allocation of the purchase price, including transaction costs of $2.4 million, to the fair value of the assets acquired and liabilities assumed at the date of acquisition (in millions):</w:t>
      </w:r>
    </w:p>
    <w:p>
      <w:pPr>
        <w:spacing w:after="0" w:line="194"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13.6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40.1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4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69.9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(13.2)</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55.9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goodwill recorded in this transaction is not tax deductible with the exception of approximately $6.7 million which was tax deductible to SYS.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tables summarize the supplemental statement of operations information on an unaudited pro forma basis as if the acquisitions of SYS and DFI had occurred on January 1, 2008, and includes adjustments that were directly attributable to the transactions or were not expected to have a continuing impact on the Company.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amounts, except per share amounts are in millions):</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5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85"/>
              </w:rPr>
              <w:t>SYS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DFI</w:t>
            </w: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720" w:type="dxa"/>
            <w:vAlign w:val="bottom"/>
          </w:tcPr>
          <w:p>
            <w:pPr>
              <w:spacing w:after="0"/>
              <w:rPr>
                <w:sz w:val="12"/>
                <w:szCs w:val="12"/>
                <w:color w:val="auto"/>
              </w:rPr>
            </w:pPr>
          </w:p>
        </w:tc>
        <w:tc>
          <w:tcPr>
            <w:tcW w:w="12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March 30, 2008</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Pro forma</w:t>
            </w:r>
          </w:p>
        </w:tc>
        <w:tc>
          <w:tcPr>
            <w:tcW w:w="220" w:type="dxa"/>
            <w:vAlign w:val="bottom"/>
          </w:tcPr>
          <w:p>
            <w:pPr>
              <w:spacing w:after="0"/>
              <w:rPr>
                <w:sz w:val="12"/>
                <w:szCs w:val="12"/>
                <w:color w:val="auto"/>
              </w:rPr>
            </w:pPr>
          </w:p>
        </w:tc>
        <w:tc>
          <w:tcPr>
            <w:tcW w:w="9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Pro forma</w:t>
            </w:r>
          </w:p>
        </w:tc>
        <w:tc>
          <w:tcPr>
            <w:tcW w:w="11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March 30, 2008</w:t>
            </w:r>
          </w:p>
        </w:tc>
      </w:tr>
      <w:tr>
        <w:trPr>
          <w:trHeight w:val="161"/>
        </w:trPr>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6"/>
              </w:rPr>
              <w:t>As Reported</w:t>
            </w:r>
          </w:p>
        </w:tc>
        <w:tc>
          <w:tcPr>
            <w:tcW w:w="20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Pro forma</w:t>
            </w:r>
          </w:p>
        </w:tc>
        <w:tc>
          <w:tcPr>
            <w:tcW w:w="6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Pro forma 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or issued for acquisition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127.2</w:t>
            </w: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Basic and diluted pro forma net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In connection with two prior business acquisitions, Madison Research Corporation (MRC) and Haverstick Consulting, Inc. (Haverstick), the Company has agreed to make additional future payments to sellers contingent upon achievement of specific performance-based milestones by the acquired entities. Pursuant to the provisions of SFAS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 such amounts are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accrued, and therefore, recorded by the Company when the contingency is resolved beyond a reasonable doubt and the additional consideration becomes payable.</w:t>
      </w:r>
    </w:p>
    <w:p>
      <w:pPr>
        <w:spacing w:after="0" w:line="26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Company resolved all outstanding indemnification obligations related to the MRD holdback and made the final payment of $2.4 million in March 2009. The Company also agreed to make the Haverstick holdback payment related to the December 2008 payment. The stock portion of this payment of 1.4 million shares was not issued until March 31, 2009. The other current liabilities on the accompanying condensed consolidated balance sheet as of March 29, 2009 include $0.6 million for the final Haverstick cash holdback and the Haverstick common stock holdback consideration of $8.5 million is reflected as additional paid in capital for contingent consideration in the accompanying condensed consolidated financial statements.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 summary of the contingent acquisition consideration as of December 28, 2008 and March 29, 2009 is summarized in the following table (in millions):</w:t>
      </w:r>
    </w:p>
    <w:p>
      <w:pPr>
        <w:spacing w:after="0" w:line="298" w:lineRule="exact"/>
        <w:rPr>
          <w:sz w:val="20"/>
          <w:szCs w:val="20"/>
          <w:color w:val="auto"/>
        </w:rPr>
      </w:pPr>
    </w:p>
    <w:tbl>
      <w:tblPr>
        <w:tblLayout w:type="fixed"/>
        <w:tblInd w:w="2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8"/>
              </w:rPr>
              <w:t>Haverstick</w:t>
            </w: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MRD</w:t>
            </w:r>
          </w:p>
        </w:tc>
        <w:tc>
          <w:tcPr>
            <w:tcW w:w="4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28, 2008</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Principal and interest cash payments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(2.4)</w:t>
            </w:r>
          </w:p>
        </w:tc>
        <w:tc>
          <w:tcPr>
            <w:tcW w:w="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Post acquisition adjustments and interest accruals,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(0.1)</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(0.4)</w:t>
            </w:r>
          </w:p>
        </w:tc>
        <w:tc>
          <w:tcPr>
            <w:tcW w:w="0" w:type="dxa"/>
            <w:vAlign w:val="bottom"/>
          </w:tcPr>
          <w:p>
            <w:pPr>
              <w:spacing w:after="0"/>
              <w:rPr>
                <w:sz w:val="1"/>
                <w:szCs w:val="1"/>
                <w:color w:val="auto"/>
              </w:rPr>
            </w:pPr>
          </w:p>
        </w:tc>
      </w:tr>
      <w:tr>
        <w:trPr>
          <w:trHeight w:val="27"/>
        </w:trPr>
        <w:tc>
          <w:tcPr>
            <w:tcW w:w="4000" w:type="dxa"/>
            <w:vAlign w:val="bottom"/>
            <w:gridSpan w:val="2"/>
            <w:vMerge w:val="restart"/>
          </w:tcPr>
          <w:p>
            <w:pPr>
              <w:spacing w:after="0"/>
              <w:rPr>
                <w:sz w:val="20"/>
                <w:szCs w:val="20"/>
                <w:color w:val="auto"/>
              </w:rPr>
            </w:pPr>
            <w:r>
              <w:rPr>
                <w:rFonts w:ascii="Arial" w:cs="Arial" w:eastAsia="Arial" w:hAnsi="Arial"/>
                <w:sz w:val="18"/>
                <w:szCs w:val="18"/>
                <w:color w:val="auto"/>
              </w:rPr>
              <w:t>Balance as of March 29, 2009</w:t>
            </w:r>
          </w:p>
        </w:tc>
        <w:tc>
          <w:tcPr>
            <w:tcW w:w="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On July 7, 2007, the Company entered into a definitive agreement with an affiliate of Platinum Equity to sell the Company's wireless deployment business. Platinum Equity is a Los Angeles based private equity firm whose portfolio includes service and distribution businesses in a number of equity sectors. The total consideration for the acquisition was $24.0 million including $18.0 million in cash at closing, subject to post closing working capital adjustments, and an aggregate $6.0 million in a three-year earn-out arrangement through 2010. The transaction included a Transition Services Agreement for the transition of certain services for a period of nine months. The assets sold to an affiliate of Platinum Equity included all of the Company's wireless deployment business, and the Wireless Facilities name. The transaction closed on July 24, 2007.</w:t>
      </w:r>
    </w:p>
    <w:p>
      <w:pPr>
        <w:spacing w:after="0" w:line="17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On September 25, 2007, in accordance with the acquisition agreement, the Company provided its working capital calculation to Platinum Equity. On July 16, 2008, the Company came to an agreement with Platinum Equity on a working capital adjustment of $5.0 million. In connection with that resolution, the earn-out arrangement was terminated. The adjustment was to be paid in installments with the first amount of $2.5 million due on July 31, 2008 and payments of</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$0.5 million monthly thereafter until paid in full in December 2008. The Company did not make the scheduled $2.5 million payment due as of July 31, 2008. Payments of $1.0 million were made in August and September of 2008, with an additional $0.5 million paid in December 2008. In March of 2009, the Company paid $1.5 million of the working capital adjustment. As of March 29, 2009, the balance of $1.0 million plus accrued interest on the outstanding balance has been reflected in other current liabilities.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 (Continued)</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During the due diligence process related to the acquisition of SYS, senior management identified three business units of SYS which were non-core to Kratos' base national security and public security businesses. These businesses provided video surveillance and information analysis products, digital broadcasting products and incident response management systems. In December of 2008, after evaluating these businesses further, a decision was made to dispose of and sell all three business units. In accordance with SFAS 144, </w:t>
      </w:r>
      <w:r>
        <w:rPr>
          <w:rFonts w:ascii="Arial" w:cs="Arial" w:eastAsia="Arial" w:hAnsi="Arial"/>
          <w:sz w:val="16"/>
          <w:szCs w:val="16"/>
          <w:i w:val="1"/>
          <w:iCs w:val="1"/>
          <w:color w:val="auto"/>
        </w:rPr>
        <w:t>Accounting for the Impairment or Disposal of Long-Lived</w:t>
      </w:r>
      <w:r>
        <w:rPr>
          <w:rFonts w:ascii="Arial" w:cs="Arial" w:eastAsia="Arial" w:hAnsi="Arial"/>
          <w:sz w:val="16"/>
          <w:szCs w:val="16"/>
          <w:color w:val="auto"/>
        </w:rPr>
        <w:t xml:space="preserve"> Assets (SFAS144), these business units were classified as held for sale and reported in discontinued operations as of and for the year ended December 28, 2008, and the three months ended March 29, 2009, respectively. The Company recorded a $4.5 million impairment charge in the fourth quarter of 2008 primarily related to the impairment of goodwill and intangibles allocated to these businesses. In the first quarter of 2009, all three of the businesses were sold for an aggregate cash consideration of approximately $0.4 million.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8" w:lineRule="exact"/>
        <w:rPr>
          <w:sz w:val="20"/>
          <w:szCs w:val="20"/>
          <w:color w:val="auto"/>
        </w:rPr>
      </w:pPr>
    </w:p>
    <w:tbl>
      <w:tblPr>
        <w:tblLayout w:type="fixed"/>
        <w:tblInd w:w="29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380" w:type="dxa"/>
            <w:vAlign w:val="bottom"/>
            <w:gridSpan w:val="3"/>
          </w:tcPr>
          <w:p>
            <w:pPr>
              <w:ind w:left="180"/>
              <w:spacing w:after="0"/>
              <w:rPr>
                <w:sz w:val="20"/>
                <w:szCs w:val="20"/>
                <w:color w:val="auto"/>
              </w:rPr>
            </w:pPr>
            <w:r>
              <w:rPr>
                <w:rFonts w:ascii="Arial" w:cs="Arial" w:eastAsia="Arial" w:hAnsi="Arial"/>
                <w:sz w:val="14"/>
                <w:szCs w:val="14"/>
                <w:b w:val="1"/>
                <w:bCs w:val="1"/>
                <w:color w:val="auto"/>
              </w:rPr>
              <w:t>Three Months</w:t>
            </w:r>
          </w:p>
        </w:tc>
        <w:tc>
          <w:tcPr>
            <w:tcW w:w="1340" w:type="dxa"/>
            <w:vAlign w:val="bottom"/>
            <w:gridSpan w:val="3"/>
          </w:tcPr>
          <w:p>
            <w:pPr>
              <w:ind w:left="1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30, 2008</w:t>
            </w:r>
          </w:p>
        </w:tc>
        <w:tc>
          <w:tcPr>
            <w:tcW w:w="200" w:type="dxa"/>
            <w:vAlign w:val="bottom"/>
          </w:tcPr>
          <w:p>
            <w:pPr>
              <w:spacing w:after="0"/>
              <w:rPr>
                <w:sz w:val="14"/>
                <w:szCs w:val="1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29, 2009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Loss before taxes</w:t>
            </w:r>
          </w:p>
        </w:tc>
        <w:tc>
          <w:tcPr>
            <w:tcW w:w="3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9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is a summary of the assets and liabilities of discontinued operations as of December 28, 2008 and March 29, 2009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28,</w:t>
            </w:r>
          </w:p>
        </w:tc>
        <w:tc>
          <w:tcPr>
            <w:tcW w:w="200" w:type="dxa"/>
            <w:vAlign w:val="bottom"/>
          </w:tcPr>
          <w:p>
            <w:pPr>
              <w:spacing w:after="0"/>
              <w:rPr>
                <w:sz w:val="14"/>
                <w:szCs w:val="14"/>
                <w:color w:val="auto"/>
              </w:rPr>
            </w:pPr>
          </w:p>
        </w:tc>
        <w:tc>
          <w:tcPr>
            <w:tcW w:w="8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March 29,</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2009</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ind w:left="2760"/>
              <w:spacing w:after="0"/>
              <w:rPr>
                <w:sz w:val="20"/>
                <w:szCs w:val="20"/>
                <w:color w:val="auto"/>
              </w:rPr>
            </w:pPr>
            <w:r>
              <w:rPr>
                <w:rFonts w:ascii="Arial" w:cs="Arial" w:eastAsia="Arial" w:hAnsi="Arial"/>
                <w:sz w:val="18"/>
                <w:szCs w:val="18"/>
                <w:color w:val="auto"/>
              </w:rPr>
              <w:t>Current assets of discontinued operations</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4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8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assets of discontinued operations</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ind w:left="27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vMerge w:val="continue"/>
          </w:tcPr>
          <w:p>
            <w:pPr>
              <w:spacing w:after="0"/>
              <w:rPr>
                <w:sz w:val="17"/>
                <w:szCs w:val="17"/>
                <w:color w:val="auto"/>
              </w:rPr>
            </w:pPr>
          </w:p>
        </w:tc>
        <w:tc>
          <w:tcPr>
            <w:tcW w:w="220" w:type="dxa"/>
            <w:vAlign w:val="bottom"/>
            <w:tcBorders>
              <w:top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0.1</w:t>
            </w:r>
          </w:p>
        </w:tc>
        <w:tc>
          <w:tcPr>
            <w:tcW w:w="200" w:type="dxa"/>
            <w:vAlign w:val="bottom"/>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0.1</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ind w:left="2760"/>
              <w:spacing w:after="0"/>
              <w:rPr>
                <w:sz w:val="20"/>
                <w:szCs w:val="20"/>
                <w:color w:val="auto"/>
              </w:rPr>
            </w:pPr>
            <w:r>
              <w:rPr>
                <w:rFonts w:ascii="Arial" w:cs="Arial" w:eastAsia="Arial" w:hAnsi="Arial"/>
                <w:sz w:val="18"/>
                <w:szCs w:val="18"/>
                <w:color w:val="auto"/>
              </w:rPr>
              <w:t>Current liabilities of discontinued operations</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4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8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unrecognized tax benefits</w:t>
            </w:r>
          </w:p>
        </w:tc>
        <w:tc>
          <w:tcPr>
            <w:tcW w:w="220" w:type="dxa"/>
            <w:vAlign w:val="bottom"/>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8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40" w:type="dxa"/>
            <w:vAlign w:val="bottom"/>
            <w:gridSpan w:val="2"/>
            <w:vMerge w:val="restart"/>
          </w:tcPr>
          <w:p>
            <w:pPr>
              <w:jc w:val="right"/>
              <w:ind w:right="752"/>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3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Credit Agreement</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 has a credit facility of $85.0 million with KeyBanc Capital Markets. This credit facility provides for two term loans consisting of a first lien term note of $50.0 million and a second lien term note of $10.0 million, as well as a first lien $25.0 million revolving line of credit and is collateralized by the assets of the Company. The $10.0 million term loan has a five and one half-year term with principal payments of $25.0 thousand required quarterly beginning on March 31, 2008 through March 31, 2013 with the final balance of $9.5 million due on June 30, 2013. The $50.0 million term loan has a five year term with principal payments of $0.6 million required quarterly beginning on March 31, 2008, $1.3 million in 2009, $2.5 million in 2010, and $4.1 million in 2011 and 2012. The term loans have a provision which states that once the full amount of the note has been borrowed, the notes cannot be paid down and reborrowed again. The revolving line of credit has a four year term which expires on December 31, 2011. All loans under the credit facility have an interest rate equal to a base rate defined as a fluctuating rate per annum equal to the higher of (a) the Federal Funds Rate plus 0.5% and (b) the rate of interest in effect for such day as publicly announced from time to time by KeyBank as its "prime rate" plus a margin for the term loans of 6.5% to 7.5% and a margin of 1.0% to 3.25% on the revolving line of credit. All rates are subject to a LIBOR floor of 4.25% and a "prime rate" floor of 5.25%.</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29, 2009, the Company's outstanding balance on the facility was $79.5 million and the weighted average interest rate on the debt as of</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March 29, 2009 was 10.56%. As of March 29, 2009, the unused line of credit under the revolving line of credit, net of $1.5 million in outstanding letters of credit, was approximately $0.1 million. The only restriction on the use of these funds is that the Company must be in compliance with covenants of the credit facility. The Company was in compliance with all covenants under the credit facility as of March 29, 2009.</w:t>
      </w:r>
    </w:p>
    <w:p>
      <w:pPr>
        <w:spacing w:after="0" w:line="219"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Subordinated Notes</w:t>
      </w:r>
    </w:p>
    <w:p>
      <w:pPr>
        <w:spacing w:after="0" w:line="23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of December 28, 2008, the Company had outstanding convertible notes payable totaling $3.1 million which were acquired as a result of the SYS acquisition, of which $0.8 million was payable to related parties. The convertible notes payable are unsecured and subordinated to the Company's bank debt and bear interest at 10% per annum payable quarterly. Principal was due February 14, 2009 and the notes were convertible at any time into shares of common stock at a conversion rate of $2.86 per share. In February 2009, in the interest of preserving cash due to the current macroeconomic conditions, the Company provided each note holder with the option to:</w:t>
      </w:r>
    </w:p>
    <w:p>
      <w:pPr>
        <w:spacing w:after="0" w:line="210"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 per share or the Kratos closing share value on February 13, 2009; or</w:t>
      </w:r>
    </w:p>
    <w:p>
      <w:pPr>
        <w:spacing w:after="0" w:line="21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convert the principal balance of Kratos shares at the lower of the existing conversion price of $2.86 or the Kratos closing share value on February 13, 2009 less a 10% discount.</w:t>
      </w:r>
    </w:p>
    <w:p>
      <w:pPr>
        <w:spacing w:after="0" w:line="186"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As of March 29, 2009, $2.1 million of the notes had been paid and $1.0 million of the notes had been extended to August 14, 2010, $25,000 of which is payable to a related party. The balance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outstanding notes of $1.0 million, which is potentially convertible into common stock of Kratos at $1.02 per share or approximately 968,000 shares, is reflected in long-term debt in the accompanying condensed consolidated balance sheets.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the convertible notes was approximately $60,000 for the three month period ended March 29,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defines fair value, establishes a market-based framework or hierarchy for measuring fair value, and expands disclosures about fair value measurements. SFAS 157 is applicable whenever another accounting pronouncement requires or permits assets and liabilities to be measured at fair value, but does not require any new fair value measurements.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hierarchy established in SFAS 157 prioritizes the inputs used in valuation techniques into three levels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liabilities—includes quoted prices for similar instruments, quoted prices for identical or similar instruments in inactive markets, and amounts derived from valuation models where all significant inputs are observable in active markets; and</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presents assets and liabilities measured and recorded at fair value on the Company's balance sheet on a recurring basis and their level within the fair value hierarchy as of March 29, 2009:</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Significant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Quoted prices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other</w:t>
            </w: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3520" w:type="dxa"/>
            <w:vAlign w:val="bottom"/>
          </w:tcPr>
          <w:p>
            <w:pPr>
              <w:spacing w:after="0"/>
              <w:rPr>
                <w:sz w:val="12"/>
                <w:szCs w:val="12"/>
                <w:color w:val="auto"/>
              </w:rPr>
            </w:pPr>
          </w:p>
        </w:tc>
        <w:tc>
          <w:tcPr>
            <w:tcW w:w="12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Total Carrying</w:t>
            </w:r>
          </w:p>
        </w:tc>
        <w:tc>
          <w:tcPr>
            <w:tcW w:w="140" w:type="dxa"/>
            <w:vAlign w:val="bottom"/>
          </w:tcPr>
          <w:p>
            <w:pPr>
              <w:spacing w:after="0"/>
              <w:rPr>
                <w:sz w:val="12"/>
                <w:szCs w:val="12"/>
                <w:color w:val="auto"/>
              </w:rPr>
            </w:pPr>
          </w:p>
        </w:tc>
        <w:tc>
          <w:tcPr>
            <w:tcW w:w="72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6"/>
              </w:rPr>
              <w:t>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unobservable</w:t>
            </w:r>
          </w:p>
        </w:tc>
      </w:tr>
      <w:tr>
        <w:trPr>
          <w:trHeight w:val="149"/>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Value</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active markets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inputs</w:t>
            </w:r>
          </w:p>
        </w:tc>
        <w:tc>
          <w:tcPr>
            <w:tcW w:w="6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5"/>
              </w:rPr>
              <w:t>inputs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352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March 29, 2009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7"/>
              </w:rPr>
              <w:t>(Level 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87"/>
              </w:rPr>
              <w:t>(Level 2)</w:t>
            </w: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60" w:type="dxa"/>
            <w:vAlign w:val="bottom"/>
          </w:tcPr>
          <w:p>
            <w:pPr>
              <w:spacing w:after="0"/>
              <w:rPr>
                <w:sz w:val="14"/>
                <w:szCs w:val="14"/>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 (interest rates swaps)</w:t>
            </w:r>
          </w:p>
        </w:tc>
        <w:tc>
          <w:tcPr>
            <w:tcW w:w="24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significant Level 2 observable inputs utilized to value the Company's derivative financial instruments are based upon calculations provided by an investment advisor and is validated with the use of a nationally recognized financial reporting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w:t>
      </w:r>
    </w:p>
    <w:p>
      <w:pPr>
        <w:spacing w:after="0" w:line="231"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 xml:space="preserve">In the first quarter of 2009, the Company adopted SFAS 161, </w:t>
      </w:r>
      <w:r>
        <w:rPr>
          <w:rFonts w:ascii="Arial" w:cs="Arial" w:eastAsia="Arial" w:hAnsi="Arial"/>
          <w:sz w:val="16"/>
          <w:szCs w:val="16"/>
          <w:i w:val="1"/>
          <w:iCs w:val="1"/>
          <w:color w:val="auto"/>
        </w:rPr>
        <w:t>Disclosures about Derivative Instruments and Hedging Activities—an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133 </w:t>
      </w:r>
      <w:r>
        <w:rPr>
          <w:rFonts w:ascii="Arial" w:cs="Arial" w:eastAsia="Arial" w:hAnsi="Arial"/>
          <w:sz w:val="16"/>
          <w:szCs w:val="16"/>
          <w:color w:val="auto"/>
        </w:rPr>
        <w:t>(SFAS 161), which requires enhanced qualitative disclosures about the Company's objectives and strategies for using derivatives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quantitative disclosures about the fair value amounts of gains and losses on derivative instruments.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Derivatives (Continued)</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Company uses derivative financial instruments, in particular, interest rate swaps, to reduce the Company's exposure to its variable rate debt. The primary objective of the interest rate swaps is to eliminate the variability of cash flows and interest rate risk for payments made on variable rate debt, the sole source of which is due to changes in the benchmark three month LIBOR interest rate. Changes in the cash flows of the interest rate swap are expected to exactly offset the changes in cash flows (i.e., changes in interest rate payments) attributable to fluctuations in the three month LIBOR on the variable-rate debt.</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records derivatives at their fair value. The classification of gains and losses resulting from changes in the fair values of derivatives is dependent on the Company's intended use of the derivative and its resulting designation. Adjustments to reflect changes in fair values of derivatives that the Company consider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 aggregate notional amount of outstanding interest rate swap contracts at March 29, 2009 was $65.0 million.</w:t>
      </w:r>
    </w:p>
    <w:p>
      <w:pPr>
        <w:spacing w:after="0" w:line="172" w:lineRule="exact"/>
        <w:rPr>
          <w:sz w:val="20"/>
          <w:szCs w:val="20"/>
          <w:color w:val="auto"/>
        </w:rPr>
      </w:pPr>
    </w:p>
    <w:p>
      <w:pPr>
        <w:ind w:right="180" w:firstLine="348"/>
        <w:spacing w:after="0" w:line="283" w:lineRule="auto"/>
        <w:rPr>
          <w:sz w:val="20"/>
          <w:szCs w:val="20"/>
          <w:color w:val="auto"/>
        </w:rPr>
      </w:pPr>
      <w:r>
        <w:rPr>
          <w:rFonts w:ascii="Arial" w:cs="Arial" w:eastAsia="Arial" w:hAnsi="Arial"/>
          <w:sz w:val="16"/>
          <w:szCs w:val="16"/>
          <w:color w:val="auto"/>
        </w:rPr>
        <w:t>The Company's derivative financial instruments, which are cash flow hedges, were considered ineffective as a result of the interest rate floor that occurred with the first amendment of the Company's credit facility in March 2008. The effect of marking the derivative instruments to market for the three months ended March 30, 2008 and March 29, 2009 was an expense of $0.7 million and $0.0 million, respectively, and is reflected in other expenses in the accompanying condensed consolidated statements of operations. The fair value of the Company's derivative liabilities as of March 28, 2008 and March 29, 2009 was</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$0.7 million and $1.7 million, respectively, and is carried in other long-term liabilities in the accompanying condensed consolidated balance sheets. See Note 9 for further discussion on the fair value measurements related to the Company's derivative instruments.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Significant Customers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our key customers for the periods presented and the percentage of net sales made to such customers (in millions):</w:t>
      </w:r>
    </w:p>
    <w:p>
      <w:pPr>
        <w:spacing w:after="0" w:line="231"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0"/>
              </w:rPr>
              <w:t>Three Months Ended</w:t>
            </w:r>
          </w:p>
        </w:tc>
        <w:tc>
          <w:tcPr>
            <w:tcW w:w="16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Three Months Ended</w:t>
            </w:r>
          </w:p>
        </w:tc>
      </w:tr>
      <w:tr>
        <w:trPr>
          <w:trHeight w:val="161"/>
        </w:trPr>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Key Customers</w:t>
            </w:r>
          </w:p>
        </w:tc>
        <w:tc>
          <w:tcPr>
            <w:tcW w:w="1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30, 2008</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29, 2009</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U.S. Navy</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25.9</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30.9% $</w:t>
            </w:r>
          </w:p>
        </w:tc>
        <w:tc>
          <w:tcPr>
            <w:tcW w:w="114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24.3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34.2%</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U.S. Army</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2"/>
              <w:spacing w:after="0"/>
              <w:rPr>
                <w:sz w:val="20"/>
                <w:szCs w:val="20"/>
                <w:color w:val="auto"/>
              </w:rPr>
            </w:pPr>
            <w:r>
              <w:rPr>
                <w:rFonts w:ascii="Arial" w:cs="Arial" w:eastAsia="Arial" w:hAnsi="Arial"/>
                <w:sz w:val="18"/>
                <w:szCs w:val="18"/>
                <w:color w:val="auto"/>
              </w:rPr>
              <w:t>18.4</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21.9% $</w:t>
            </w:r>
          </w:p>
        </w:tc>
        <w:tc>
          <w:tcPr>
            <w:tcW w:w="1140" w:type="dxa"/>
            <w:vAlign w:val="bottom"/>
          </w:tcPr>
          <w:p>
            <w:pPr>
              <w:jc w:val="right"/>
              <w:ind w:right="162"/>
              <w:spacing w:after="0"/>
              <w:rPr>
                <w:sz w:val="20"/>
                <w:szCs w:val="20"/>
                <w:color w:val="auto"/>
              </w:rPr>
            </w:pPr>
            <w:r>
              <w:rPr>
                <w:rFonts w:ascii="Arial" w:cs="Arial" w:eastAsia="Arial" w:hAnsi="Arial"/>
                <w:sz w:val="18"/>
                <w:szCs w:val="18"/>
                <w:color w:val="auto"/>
              </w:rPr>
              <w:t>18.3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25.7%</w:t>
            </w:r>
          </w:p>
        </w:tc>
      </w:tr>
    </w:tbl>
    <w:p>
      <w:pPr>
        <w:spacing w:after="0" w:line="20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customers are all part of the Kratos Government Services segment. The Company's top five customers accounted for approximately 65.0% and 73.8% of total revenue for the three months ended March 30, 2008 and March 29, 2009, respectively. Total revenue from the federal government for the quarter ended March 29, 2009 was $71.4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 operates in two principal business segments: Kratos Government Solutions (KGS) and Public Safety and Security (PSS). The Company organizes its business segments based on the nature of the services offered. In the following table, total operating income of the business segments is reconciled to the corresponding consolidated amount. The reconciling item "Unallocated Corporate income (expense), net" includes costs for certain stock-based compensation programs (including stock-based compensation costs for stock options and restricted stock units), the effects of items not considered part of management's evaluation of segment operating performance, corporate costs not allocated to the operating segments, and other miscellaneous corporate activities. Transactions between segments are generally negotiated and accounted for under terms and conditions similar to other government and commercial contracts; however, these intercompany transactions are eliminated in consolidation and for purposes of presentation of revenue in the related table that follows.</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Revenues and operating income generated by the Company's current reporting segments for the three months ended March 30, 2008 and March 29, 2009 are as follows (in millions):</w:t>
      </w:r>
    </w:p>
    <w:p>
      <w:pPr>
        <w:spacing w:after="0" w:line="169" w:lineRule="exact"/>
        <w:rPr>
          <w:sz w:val="20"/>
          <w:szCs w:val="20"/>
          <w:color w:val="auto"/>
        </w:rPr>
      </w:pPr>
    </w:p>
    <w:tbl>
      <w:tblPr>
        <w:tblLayout w:type="fixed"/>
        <w:tblInd w:w="7280" w:type="dxa"/>
        <w:tblCellMar>
          <w:top w:w="0" w:type="dxa"/>
          <w:left w:w="0" w:type="dxa"/>
          <w:bottom w:w="0" w:type="dxa"/>
          <w:right w:w="0" w:type="dxa"/>
        </w:tblCellMar>
      </w:tblPr>
      <w:tr>
        <w:trPr>
          <w:trHeight w:val="161"/>
        </w:trPr>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340" w:type="dxa"/>
            <w:vAlign w:val="bottom"/>
          </w:tcPr>
          <w:p>
            <w:pPr>
              <w:spacing w:after="0"/>
              <w:rPr>
                <w:sz w:val="12"/>
                <w:szCs w:val="12"/>
                <w:color w:val="auto"/>
              </w:rPr>
            </w:pPr>
          </w:p>
        </w:tc>
        <w:tc>
          <w:tcPr>
            <w:tcW w:w="74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March 30, 2008</w:t>
            </w:r>
          </w:p>
        </w:tc>
      </w:tr>
      <w:tr>
        <w:trPr>
          <w:trHeight w:val="149"/>
        </w:trPr>
        <w:tc>
          <w:tcPr>
            <w:tcW w:w="340" w:type="dxa"/>
            <w:vAlign w:val="bottom"/>
          </w:tcPr>
          <w:p>
            <w:pPr>
              <w:spacing w:after="0"/>
              <w:rPr>
                <w:sz w:val="12"/>
                <w:szCs w:val="12"/>
                <w:color w:val="auto"/>
              </w:rPr>
            </w:pPr>
          </w:p>
        </w:tc>
        <w:tc>
          <w:tcPr>
            <w:tcW w:w="74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61"/>
        </w:trPr>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March 29, 2009</w:t>
            </w:r>
          </w:p>
        </w:tc>
      </w:tr>
      <w:tr>
        <w:trPr>
          <w:trHeight w:val="142"/>
        </w:trPr>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7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r>
    </w:tbl>
    <w:p>
      <w:pPr>
        <w:spacing w:after="0" w:line="1" w:lineRule="exact"/>
        <w:rPr>
          <w:sz w:val="20"/>
          <w:szCs w:val="20"/>
          <w:color w:val="auto"/>
        </w:rPr>
      </w:pPr>
    </w:p>
    <w:tbl>
      <w:tblPr>
        <w:tblLayout w:type="fixed"/>
        <w:tblInd w:w="3000" w:type="dxa"/>
        <w:tblCellMar>
          <w:top w:w="0" w:type="dxa"/>
          <w:left w:w="0" w:type="dxa"/>
          <w:bottom w:w="0" w:type="dxa"/>
          <w:right w:w="0" w:type="dxa"/>
        </w:tblCellMar>
      </w:tblP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rPr>
                <w:sz w:val="20"/>
                <w:szCs w:val="20"/>
                <w:color w:val="auto"/>
              </w:rPr>
            </w:pPr>
            <w:r>
              <w:rPr>
                <w:rFonts w:ascii="Arial" w:cs="Arial" w:eastAsia="Arial" w:hAnsi="Arial"/>
                <w:sz w:val="18"/>
                <w:szCs w:val="18"/>
                <w:color w:val="auto"/>
              </w:rPr>
              <w:t>Government Solutions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54.9</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Safety &amp; Security</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80" w:type="dxa"/>
            <w:vAlign w:val="bottom"/>
            <w:vMerge w:val="restart"/>
          </w:tcPr>
          <w:p>
            <w:pPr>
              <w:ind w:left="280"/>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68.2</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rPr>
                <w:sz w:val="20"/>
                <w:szCs w:val="20"/>
                <w:color w:val="auto"/>
              </w:rPr>
            </w:pPr>
            <w:r>
              <w:rPr>
                <w:rFonts w:ascii="Arial" w:cs="Arial" w:eastAsia="Arial" w:hAnsi="Arial"/>
                <w:sz w:val="18"/>
                <w:szCs w:val="18"/>
                <w:color w:val="auto"/>
              </w:rPr>
              <w:t>Government Solutions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$(37.1)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Safety &amp; Security</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4280" w:type="dxa"/>
            <w:vAlign w:val="bottom"/>
          </w:tcPr>
          <w:p>
            <w:pPr>
              <w:ind w:left="140"/>
              <w:spacing w:after="0"/>
              <w:rPr>
                <w:sz w:val="20"/>
                <w:szCs w:val="20"/>
                <w:color w:val="auto"/>
              </w:rPr>
            </w:pPr>
            <w:r>
              <w:rPr>
                <w:rFonts w:ascii="Arial" w:cs="Arial" w:eastAsia="Arial" w:hAnsi="Arial"/>
                <w:sz w:val="18"/>
                <w:szCs w:val="18"/>
                <w:color w:val="auto"/>
              </w:rPr>
              <w:t>Unallocated Corporate income (expense), net</w:t>
            </w:r>
          </w:p>
        </w:tc>
        <w:tc>
          <w:tcPr>
            <w:tcW w:w="1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(0.2)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$(39.6)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three months ended March 29, 2009, the KGS segment includes a non-cash charge of $41.3 million related to goodwill impairment.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ind w:right="158"/>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28,</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March 29,</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ind w:right="158"/>
              <w:spacing w:after="0"/>
              <w:rPr>
                <w:sz w:val="20"/>
                <w:szCs w:val="20"/>
                <w:color w:val="auto"/>
              </w:rPr>
            </w:pPr>
            <w:r>
              <w:rPr>
                <w:rFonts w:ascii="Arial" w:cs="Arial" w:eastAsia="Arial" w:hAnsi="Arial"/>
                <w:sz w:val="14"/>
                <w:szCs w:val="14"/>
                <w:b w:val="1"/>
                <w:bCs w:val="1"/>
                <w:color w:val="auto"/>
                <w:w w:val="83"/>
              </w:rPr>
              <w:t>2008</w:t>
            </w:r>
          </w:p>
        </w:tc>
        <w:tc>
          <w:tcPr>
            <w:tcW w:w="880" w:type="dxa"/>
            <w:vAlign w:val="bottom"/>
            <w:gridSpan w:val="2"/>
          </w:tcPr>
          <w:p>
            <w:pPr>
              <w:jc w:val="center"/>
              <w:ind w:left="96"/>
              <w:spacing w:after="0"/>
              <w:rPr>
                <w:sz w:val="20"/>
                <w:szCs w:val="20"/>
                <w:color w:val="auto"/>
              </w:rPr>
            </w:pPr>
            <w:r>
              <w:rPr>
                <w:rFonts w:ascii="Arial" w:cs="Arial" w:eastAsia="Arial" w:hAnsi="Arial"/>
                <w:sz w:val="14"/>
                <w:szCs w:val="14"/>
                <w:b w:val="1"/>
                <w:bCs w:val="1"/>
                <w:color w:val="auto"/>
                <w:w w:val="83"/>
              </w:rPr>
              <w:t>2009</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Government Solutions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$ 227.4</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Public Safety &amp; Security</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26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activities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60" w:type="dxa"/>
            <w:vAlign w:val="bottom"/>
            <w:vMerge w:val="restart"/>
          </w:tcPr>
          <w:p>
            <w:pPr>
              <w:ind w:left="280"/>
              <w:spacing w:after="0"/>
              <w:rPr>
                <w:sz w:val="20"/>
                <w:szCs w:val="20"/>
                <w:color w:val="auto"/>
              </w:rPr>
            </w:pPr>
            <w:r>
              <w:rPr>
                <w:rFonts w:ascii="Arial" w:cs="Arial" w:eastAsia="Arial" w:hAnsi="Arial"/>
                <w:sz w:val="18"/>
                <w:szCs w:val="18"/>
                <w:color w:val="auto"/>
              </w:rPr>
              <w:t>Total assets</w:t>
            </w:r>
          </w:p>
        </w:tc>
        <w:tc>
          <w:tcPr>
            <w:tcW w:w="17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3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26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2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$ 256.6</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80" w:type="dxa"/>
            <w:vAlign w:val="bottom"/>
            <w:vMerge w:val="restart"/>
          </w:tcPr>
          <w:p>
            <w:pPr>
              <w:jc w:val="right"/>
              <w:ind w:right="852"/>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180" w:firstLine="351"/>
        <w:spacing w:after="0" w:line="252" w:lineRule="auto"/>
        <w:rPr>
          <w:sz w:val="20"/>
          <w:szCs w:val="20"/>
          <w:color w:val="auto"/>
        </w:rPr>
      </w:pPr>
      <w:r>
        <w:rPr>
          <w:rFonts w:ascii="Arial" w:cs="Arial" w:eastAsia="Arial" w:hAnsi="Arial"/>
          <w:sz w:val="18"/>
          <w:szCs w:val="18"/>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20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price and those who purchased outside the previously certified class period. Briefing on the class certification motion was completed in May 2008. That motion was withdrawn without prejudice on October 10, 2008. On February 25, 2009, liaison counsel for the plaintiffs informed the district court that a settlement had been agreed to in principle, subject to formal approval by the parties and preliminary and final approval by the court. On April 2, 2009, a stipulation and agreement of settlement among the plaintiffs, issuer defendants and underwriter defendants was submitted to the Court for preliminary approval. If the Court grants the motion for preliminary approval, notice will be given to all class members of the settlement, a "fairness" hearing will be held and if the Court determines that the settlement is fair to the class members, the settlement will be approved. There can be no assurance that this proposed settlement will be approved and implemented in its current form, or at all. Due to the inherent uncertainties of litigation and because the settlement approval process is at a preliminary stage, the ultimate outcome of the matter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Securities Litigation</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 to trade at artificially inflated levels. Based on these allegations, the lawsuits alleged that Defendants violated the Securities Exchange Act of 1934, and the plaintiffs sought unspecified damages. These actions were consolidated into a single action—In re Wireless Facilities, Inc. Securities Litigation, Master File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In June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January 13, 2009, following a motion by the parties, the Court granted final approval of the proposed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 issued its final judgment on the matter, and entered an order dismissing the case with prejudice.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total amount of $12 million. The Company's directors' and officers' liability insurers paid the settlement amount in accordance with the Company's insurance policies, less the applicable retention or co-insurance obligations that were paid directly by the Company. The Company's amount of payment toward the settlement was approximately $2.4 million. In the fourth quarter of 2008, the Company paid $3.0 million related to this matter, of which $1.0 million was from its restricted cash account. The Company received $0.6 million from the insurance carriers for this payment in the first quarter of 2009. Despite the settlement reached in this action, the Company believes that the allegations lacked merit.</w:t>
      </w:r>
    </w:p>
    <w:p>
      <w:pPr>
        <w:spacing w:after="0" w:line="17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Plaintiffs filed a notice of appeal of the personal jurisdictional order. Plaintiffs' opening appellate brief is due on June 10, 2009. The parties have conferred and discussed the Court's personal jurisdictional order, notice of appeal, and appellate briefing schedule and have stipulated to a</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May 26,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07-CV-0680 BTM(RBB) (the "Hameed Action"), against several of the Company's current and former officers and directors. The allegations in this derivative complaint mirrored the amended allegations in the 2004 federal derivative action. Pursuant to a Court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In August 2008, and before defendants had responded to the complaint, Plaintiff voluntarily dismissed the Hameed Action pursuant to Federal Rule of Civil Procedure 41(a). The Company believes that the allegations lacked merit and intended to vigorously defend all claims asserted.</w:t>
      </w:r>
    </w:p>
    <w:p>
      <w:pPr>
        <w:spacing w:after="0" w:line="17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April 2009, the parties notified the Court of the status of the federal action and the court continued the stay for an additional six months. The Court also ordered the parties to file an updated status report in October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$0.7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Securities Litigation</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public announcement that it was conducting a voluntary internal review of its stock option granting processes. These actions were consolidated into a single action, In re Wireless Facilities, Inc. Securities Litigation II, Master File 07-CV-0482-BTM-NLS. The consolidated class action complaint was filed on November 19, 2007. In March 2008, following a voluntary mediation of the matter, the parties reached a tentative agreement to settle the class action. In May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December 19, 2008, following a motion by the parties, the Court granted final approval of the proposed settlement terms, issued its final judgment on the matter, and entered an order dismissing the case with prejudice.</w:t>
      </w:r>
    </w:p>
    <w:p>
      <w:pPr>
        <w:spacing w:after="0" w:line="172"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amount of $4.5 million. The Company's directors' and officers' liability insurers paid the settlement amount, less the applicable retention or co-insurance obligations and contributions that were paid directly by the Company. In July 2008, the Company paid $1.8 million related to the settlement of this litigation. Despite the settlement reached in this action, the Company believes that the allegations lacked merit.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Investigations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$0.4 million for his back wages, vacation pay and certain other benefits. The Company filed an appeal on the matter on July 20, 2006 and is challenging the basis for the award on several theories. The Company has accrued approximately $0.4 million as of December 28, 2008, and March 29, 2009, respectively,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Superior Court of the State of California, Alameda County. The suit alleges various violations of the California Labor Code and seeks payments for allegedly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unpaid straight time and overtime, meal period pay and associated penalties. The Company and the plaintiffs agreed to venue for the suit in San Diego County.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Although the Company believes that the allegations lack merit, it has agreed with the plaintiffs to settle their claims for an aggregate amount in the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to $0.5 million, to include individual and incentive awards, attorneys' fees and administrative costs, subject to court approval. The court granted final</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Legal Matters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approval of the settlement on April 17, 2009. The Company will pay a total of $0.3 million, and has an accrual for a contingent liability at March 29, 2009 associated with this legal proceeding in that amount.</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May 3, 2007, Kratos announced that it had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Kratos promptly reported to the SEC the discovery of the theft. The SEC initiated an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investigation and that it did not intend to recommend any enforcement action by the SEC against the Company. Kratos has cooperated with, and continues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recovered $0.6 million from its insurance carrier related to the theft of options, and is in the process of liquidating the remaining assets which approximate $0.1 million in value. Kratos' directors' and officers' liability insurers agreed to reimburse it for $4.1 million in the third and fourth quarters of 2008 related to fees previously incurred on the ongoing investigation by the U.S. Attorney's Office as well as fees previously incurred on the SEC investigation.</w:t>
      </w:r>
    </w:p>
    <w:p>
      <w:pPr>
        <w:spacing w:after="0" w:line="17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obtain court approval of the proposed litigation settlement or to ultimately settle the litigation; failure to successfully consummate acquisitions or integrate acquired operations; and competition in the marketplace which could reduce revenues and profit margins.</w:t>
      </w:r>
    </w:p>
    <w:p>
      <w:pPr>
        <w:spacing w:after="0" w:line="17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stock-based compensation expense, amortization expense, certain legal fees and accrual for unused office space, may be considered non-GAAP financial measures. We believe this information is useful to investors because it provides a basis for measuring the operating performance of our business and our cash flow, excluding the effect of items that would normally be included in the most directly comparable measures calculated and presented in accordance with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in Item 1A "Risk Factors" and the audited consolidated financial statements and related notes included in our Annual Report filed on Form 10-K for the year ended December 28, 2008 and other reports and filings made with the Securities and Exchange Commission.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an innovative provider of mission critical engineering, information technology (IT) services and warfighter solutions. We work primarily for the U.S. government and federal government agencies, but we also perform work for state and local agencies and commercial customers. Our principal services are related to, but are not limited to, Command, Control, Communications, Computing, Intelligence, Surveillance and Reconnaissance (C4ISR); weapons systems lifecycle support and sustainment; military weapon range operations and technical services; missile, rocket and weapons system test and evaluation; missile and rocket mission launch services; public safety, security and surveillance systems; modeling and simulation; unmanned aerial vehicle (UAV) products and technology; advanced network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engineering and information technology services; and advanced information technology services. We offer our customers solutions and expertise to support their mission-critical needs by leveraging our skills across our core service areas.</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derive a substantial portion of our revenue from contracts performed for federal government agencies, including the U.S. Department of Defense (DOD), with the majority of our revenue currently generated from the delivery of mission-critical warfighter solutions, advanced engineering services, system integration and system sustainment services to defense and other non-DOD and civilian government agencies. We believe our diversified and stable client base, strong client relationships, broad array of contract vehicles, considerable employee base possessing government security clearances, extensive list of past performance qualifications, and significant management and operational capabilities position us for continued growth.</w:t>
      </w:r>
    </w:p>
    <w:p>
      <w:pPr>
        <w:spacing w:after="0" w:line="170"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Prior to 2008, we were also an independent provider of outsourced engineering and network deployment services, security systems engineering and integration services and other technical services for the wireless communications industry, the U.S. government and enterprise customers. In 2006 and 2007, we undertook a transformation strategy whereby we divested our commercial wireless-related businesses and chose to pursue business with the federal government, primarily the DOD, through strategic acquisitions. On September 12, 2007, we changed our name from Wireless Facilities, Inc. (WFI) to Kratos Defense &amp; Security Solutions, Inc. (Kratos). Our new name reflects our revised focus as a defense contractor and security systems integrator for the federal government and for state and local agencies. In connection with our name change, we changed our NASDAQ Global Market trading symbol to "KTOS".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Reporting Segments</w:t>
      </w:r>
    </w:p>
    <w:p>
      <w:pPr>
        <w:spacing w:after="0" w:line="225" w:lineRule="exact"/>
        <w:rPr>
          <w:sz w:val="20"/>
          <w:szCs w:val="20"/>
          <w:color w:val="auto"/>
        </w:rPr>
      </w:pPr>
    </w:p>
    <w:p>
      <w:pPr>
        <w:jc w:val="both"/>
        <w:ind w:right="380" w:firstLine="348"/>
        <w:spacing w:after="0" w:line="291" w:lineRule="auto"/>
        <w:rPr>
          <w:sz w:val="20"/>
          <w:szCs w:val="20"/>
          <w:color w:val="auto"/>
        </w:rPr>
      </w:pPr>
      <w:r>
        <w:rPr>
          <w:rFonts w:ascii="Arial" w:cs="Arial" w:eastAsia="Arial" w:hAnsi="Arial"/>
          <w:sz w:val="16"/>
          <w:szCs w:val="16"/>
          <w:color w:val="auto"/>
        </w:rPr>
        <w:t>We operate in two principal business segments: Kratos Government Solutions (KGS) and Public Safety and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financial statements in this Quarterly Report are presented in a manner consistent with operating structure. For additional information regarding our operating segments, see Note 12 of Notes to Condensed Consolidated Financial Statements. From a customer and solutions perspective, we view our business as an integrated whole, leveraging skills and assets wherever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Kratos Government Solutions (KGS) Segment</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Kratos Government Solutions segment provides engineering, information technology and weapons systems to federal, state, and local government agencies, but primarily the DOD. Our work includes weapon systems sustainment, lifecycle support and extension; command, control, communications, computing, intelligence, surveillance and reconnaissance (C4ISR) services; military range operations and technical services; missile, rocket, and weapons systems test and evaluation; mission launch services; modeling and simulation, unmanned aerial vehicle (UAV) products and technology, and advanced network engineering and information technology services; public safety, security and surveillance systems integration. Our KGS segment also provides public safety, security and surveillance systems products and services to the homeland security market with products and services aimed at supporting first responders.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Safety and Security (PSS) Segment</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Public Safety and Security segment provides system design, deployment, integration, monitoring and support services for public safety, security and surveillance networks for state and local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governments and commercial customers. Public safety and security networks have been traditionally segregated into systems such as voice, data, access control, video surveillance, temperature control and fire and life safety. We provide services that combine such systems and offer integrated solutions on an Ethernet-based platform. We also offer solutions that combine voice, data, electronic security and building automation systems with fixed or wireless connectivity solutions. Our target markets are retail, healthcare, education, sports and entertainment, municipal government, correctional facilities and other public facilities. Our commitments to these markets and our ability to provide feature-rich, cost-effective solutions have allowed us to become one of the larger independent integrators for these types of systems. We maintain regional office locations comprised of Kratos Mid Atlantic, Kratos Southeast, and Kratos Southwest.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Acquisitions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On June 28, 2008, we completed our acquisition of SYS, a San Diego-based company. The acquisition enhances our position as a premier mid-tier federal, state and local government contractor in the United States in the areas of C4ISR, IT services and public safety and homeland security solutions. The merger creates a broad, complementary set of business offerings, and positions the Company to deliver capabilities to a wider spectrum of customers.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issued 25.3 million shares to SYS shareholders in the acquisition, for a total purchase price of $55.9 million including direct transaction costs of</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$2.4 million. Each share of SYS common stock was converted into the right to receive 1.2582 shares of Kratos common stock. The value of the Kratos common stock issued in the acquisition was derived from the number of shares of Kratos common stock issued, or 25.3 million, at a price of $2.022 per share, the average closing price of Kratos shares of common stock for the two days prior to, including, and the two days subsequent to the public announcement of the acquisition on February 21, 2008. Following the closing of the acquisition, we implemented a plan to restructure and/or exit certain business activities of SYS. The plan included a comprehensive assessment of personnel, relocation of personnel, facility consolidation and exit strategies for certain lines of business. The plan provided for approximately $2.0 million of restructuring costs associated with personnel, and additional costs of $0.5 million for facilities consolidation. The restructuring costs are primarily associated with the businesses sold and are accounted for in discontinued operations in the accompanying condensed consolidated financial statements.</w:t>
      </w:r>
    </w:p>
    <w:p>
      <w:pPr>
        <w:spacing w:after="0" w:line="178"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we identified three business units of SYS that were not core to our business strategy and/or have been dilutive to profitability. We expect the divestiture of these businesses to slightly reduce revenues going forward, and increase profitability and cash flow. We recently completed the sale of these businesses in the first quarter of 2009 for an aggregate cash consideration of approximately $0.4 million. These businesses have been classified as discontinued operations in our condensed consolidated financial statements as of March 29, 2009.</w:t>
      </w:r>
    </w:p>
    <w:p>
      <w:pPr>
        <w:spacing w:after="0" w:line="167"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color w:val="auto"/>
        </w:rPr>
        <w:t>On December 24, 2008 we acquired Huntsville, Alabama based Digital Fusion, Inc. (DFI). DFI provides C4ISR and technical engineering services, UAV products and technology and has significant engineering, exotic sensor and modeling and simulation capabilities. The acquisition of DFI provides us with new customers and an expanded contract vehicle portfolio, in addition to expanding the range of service offerings to our existing customers. Principal customers of DFI include the Army Aviation and Missile Research, Development and Engineering Center (AMRDEC), Army Space and Missile Defense Command/Army Forces Strategic Command ARSTRAT), NASA Marshall Space Flight Center, and certain classified customers.</w:t>
      </w:r>
    </w:p>
    <w:p>
      <w:pPr>
        <w:spacing w:after="0" w:line="170"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total stock for stock transaction was valued at approximately $37.0 million, including Kratos transaction costs of $0.9 million. We issued 22.9 million shares to DFI shareholders and assumed outstanding DFI options, which resulted in the assumption of options to acquire approximately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10.0 million Kratos shares. The value of the purchase price related to the common stock issued was derived from the number of shares of Kratos common stock issued of 22.9 million, based on 12.8 million shares of DFI common stock outstanding and the exchange ratio of 1.7933 for each DFI share, at a price of $1.27 per share, the average closing price of Kratos shares of common stock for the two days prior to, including, and the two days subsequent to the public announcement of the merger on November 24, 2008. The fair value of the options assumed that were allocated to goodwill based upon the Black-Scholes pricing model was $7.0 million. The fair value of unvested options which are related to future service will be expensed as the service is performed.</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a complete description of our business and a discussion of our complete critical accounting matters, please refer to Item 7, "Management's Discussion and Analysis of Financial Condition and Results of Operations," in our 2008 Annual Report on Form 10-K filed with the Securities and Exchange Commission on March 10, 2009.`</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29, 2009, we consider the following factors to be important in understanding our financial statements.</w:t>
      </w:r>
    </w:p>
    <w:p>
      <w:pPr>
        <w:spacing w:after="0" w:line="225"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 xml:space="preserve">Kratos Government Solutions'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 Our Public Security and Safety contracts are primarily fixed-price contracts whereby revenue is recognized using the percentage-of-completion method of accounting under the provisions of Statement of Position (SOP) 81-1, </w:t>
      </w:r>
      <w:r>
        <w:rPr>
          <w:rFonts w:ascii="Arial" w:cs="Arial" w:eastAsia="Arial" w:hAnsi="Arial"/>
          <w:sz w:val="15"/>
          <w:szCs w:val="15"/>
          <w:i w:val="1"/>
          <w:iCs w:val="1"/>
          <w:color w:val="auto"/>
        </w:rPr>
        <w:t>Accounting for Performance of</w:t>
      </w:r>
      <w:r>
        <w:rPr>
          <w:rFonts w:ascii="Arial" w:cs="Arial" w:eastAsia="Arial" w:hAnsi="Arial"/>
          <w:sz w:val="15"/>
          <w:szCs w:val="15"/>
          <w:color w:val="auto"/>
        </w:rPr>
        <w:t xml:space="preserve"> </w:t>
      </w:r>
      <w:r>
        <w:rPr>
          <w:rFonts w:ascii="Arial" w:cs="Arial" w:eastAsia="Arial" w:hAnsi="Arial"/>
          <w:sz w:val="15"/>
          <w:szCs w:val="15"/>
          <w:i w:val="1"/>
          <w:iCs w:val="1"/>
          <w:color w:val="auto"/>
        </w:rPr>
        <w:t>Construction Type and Certain Production Type Contracts</w:t>
      </w:r>
      <w:r>
        <w:rPr>
          <w:rFonts w:ascii="Arial" w:cs="Arial" w:eastAsia="Arial" w:hAnsi="Arial"/>
          <w:sz w:val="15"/>
          <w:szCs w:val="15"/>
          <w:color w:val="auto"/>
        </w:rPr>
        <w:t>. For contracts offered on a time and material basis, we recognize revenues as services are performed.</w:t>
      </w:r>
    </w:p>
    <w:p>
      <w:pPr>
        <w:spacing w:after="0" w:line="15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review all retainages for collectibility and record allowances for doubtful accounts when deemed appropriate, based on our assessment of the associated risks.</w:t>
      </w:r>
    </w:p>
    <w:p>
      <w:pPr>
        <w:spacing w:after="0" w:line="248" w:lineRule="exact"/>
        <w:rPr>
          <w:sz w:val="20"/>
          <w:szCs w:val="20"/>
          <w:color w:val="auto"/>
        </w:rPr>
      </w:pPr>
    </w:p>
    <w:p>
      <w:pPr>
        <w:ind w:right="300" w:firstLine="348"/>
        <w:spacing w:after="0" w:line="254" w:lineRule="auto"/>
        <w:rPr>
          <w:sz w:val="20"/>
          <w:szCs w:val="20"/>
          <w:color w:val="auto"/>
        </w:rPr>
      </w:pPr>
      <w:r>
        <w:rPr>
          <w:rFonts w:ascii="Arial" w:cs="Arial" w:eastAsia="Arial" w:hAnsi="Arial"/>
          <w:sz w:val="18"/>
          <w:szCs w:val="18"/>
          <w:color w:val="auto"/>
        </w:rPr>
        <w:t>We believe that our Kratos Government Solutions segment will build and expand our customer relationships within the DOD, Department of Homeland Security and other non-DoD state and local agencies by taking advantage of the significant opportunities for companies with substantial expertise in advanced engineering and information technology. We believe we will experience continued growth in revenues and operating income from this operating segment. The acquisitions of Haverstick on December 31, 2007, SYS on June 28, 2008, and DFI on December 24, 2008 resulted in the addition of over 1,000 highly skilled technical professionals and engineers with expertise in the areas of military weapons and target range support as well as targets and missile operations and maintenance.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March 30, 2008 to the Three Months Ended March 29, 2009</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$15.7 million from $68.2 million for the three months ended March 30, 2008 to $83.9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29, 2009. This increase was primarily due to $29.8 million in revenues from SYS and DFI, which were acquired on June 28, 2008 and December 24, 2008, respectively, partially offset by reductions in our commercial and public safety &amp; security system integration business, which were negatively impacted by the current adverse economic environment, the completion of a sizable contract in our Southeast Division of PSS, and the planned reductions of acquired small business set aside contract work, pass through work and other contract work in our KGS business. Revenues by operating segment for the three months ended March 28, 2008 and March 29, 2009 are as follows (in millions):</w:t>
      </w:r>
    </w:p>
    <w:p>
      <w:pPr>
        <w:spacing w:after="0" w:line="157"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r>
      <w:tr>
        <w:trPr>
          <w:trHeight w:val="161"/>
        </w:trPr>
        <w:tc>
          <w:tcPr>
            <w:tcW w:w="31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Government Solutions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$ 54.9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$ 74.4</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$ 19.5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(3.8)</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r>
      <w:tr>
        <w:trPr>
          <w:trHeight w:val="21"/>
        </w:trPr>
        <w:tc>
          <w:tcPr>
            <w:tcW w:w="3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$ 68.2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$ 83.9</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$ 15.7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r>
      <w:tr>
        <w:trPr>
          <w:trHeight w:val="27"/>
        </w:trPr>
        <w:tc>
          <w:tcPr>
            <w:tcW w:w="3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0"/>
        </w:trPr>
        <w:tc>
          <w:tcPr>
            <w:tcW w:w="3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from $55.6 million for the three months ended March 30, 2008 to $66.8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29, 2009. The $11.2 million increase in cost of revenues was primarily a result of the increase in cost of revenues of $24.4 million from SYS and DFI, partially offset by reduced costs related to reductions in our commercial and public safety &amp; security system integration business, which were negatively impacted by the current adverse economic environment, the completion of a contract in our Southeast Division, and costs associated with the planned reductions of acquired small business set aside contract work, pass through work and other contract work in our government solutions business. Gross margin increased from 18.5% to 20.4% for the three months ended March 30, 2008 and March 29, 2009, respectively. The increase in gross margin primarily resulted from a reduction in pass through work which has a lower margin and improved operating performance in the KGS segment.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(SG&amp;A) increased from $11.9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30, 2008 to $15.0 million for the three months ended March 29, 2009. The increase was primarily a result of $2.8 million in increased costs as a result of the SYS and DFI acquisitions, $0.6 million related to an accrual of unused office space, and $0.3 million in expenses related to ongoing government inquiries by the Department of Justice related to our historical stock option granting practices and to certain of our subcontractors. These increases were partially offset by reduced expenses related to corporate activities. As a percentage of revenues, SG&amp;A increased from 17.4% to 17.9%. Excluding amortization of intangibles of $1.2 million for the three months ended March 30, 2008 and amortization of intangibles of $1.5 million for the three months ended March 29, 2009, the unused office space accrual of $0.6 million and the legal expenses of $0.3 million related to the ongoing government inquiries for the three months ended March 29, 2009, SG&amp;A decreased as a percentage of revenues from 15.7% to 15.0% for the three months ended March 28, 2008 and March 29, 2009, respectively, reflecting leverage on our increased revenues.</w:t>
      </w:r>
    </w:p>
    <w:p>
      <w:pPr>
        <w:spacing w:after="0" w:line="174"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(R&amp;D) increased from zero for the three months ended March 30, 2008 to</w:t>
      </w:r>
      <w:r>
        <w:rPr>
          <w:rFonts w:ascii="Arial" w:cs="Arial" w:eastAsia="Arial" w:hAnsi="Arial"/>
          <w:sz w:val="16"/>
          <w:szCs w:val="16"/>
          <w:i w:val="1"/>
          <w:iCs w:val="1"/>
          <w:color w:val="auto"/>
        </w:rPr>
        <w:t xml:space="preserve"> </w:t>
      </w:r>
      <w:r>
        <w:rPr>
          <w:rFonts w:ascii="Arial" w:cs="Arial" w:eastAsia="Arial" w:hAnsi="Arial"/>
          <w:sz w:val="16"/>
          <w:szCs w:val="16"/>
          <w:color w:val="auto"/>
        </w:rPr>
        <w:t>$0.4 million for the three months ended March 29, 2009 as a result of R&amp;D expenses incurred by SYS which was acquired on June 28, 2008.</w:t>
      </w:r>
    </w:p>
    <w:p>
      <w:pPr>
        <w:spacing w:after="0" w:line="139"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Impairment of Goodwill. </w:t>
      </w:r>
      <w:r>
        <w:rPr>
          <w:rFonts w:ascii="Arial" w:cs="Arial" w:eastAsia="Arial" w:hAnsi="Arial"/>
          <w:sz w:val="18"/>
          <w:szCs w:val="18"/>
          <w:color w:val="auto"/>
        </w:rPr>
        <w:t>Given the continued significant decline in the stock market in general and specifically our stock price in 2009, we performed an</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test for goodwill in accordance with SFAS 142 as of February 28, 2009. The test indicated that the book value for the KGS segment exceeded the fair values of the businesses and resulted in a charge totaling $41.3 million in our KGS segment for the impairment of goodwill. The impairment charge is primarily driven by adverse equity market conditions that caused a decrease in current market multiples and our average stock price as of February 28, 2009, compared with the test performed as of December 28, 2008.</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decreased from $2.7 million to $2.5 million for the three months ended March 30, 2008 and March 29, 2009,</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reduction in expense of $0.2 million is primarily related to a $0.7 million expense related to marking the derivative related to our credit facility to market partially offset by other income of $0.3 million as a result of the sale of assets for the three months ended March 28, 2008, and increases in interest expense of $0.2 million for the three months ended March 29, 2009 as compared to the three months ended March 28, 2008.</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decreased from a provision of $0.5 million, or a negative rate of 25%, on a $2.0 million loss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in the first quarter of 2008 to a provision of $0.3 million, or a negative 0.7% rate, on a loss before income taxes of $42.1 million. The tax provision for the first quarter of 2008 included an increase in deferred tax liabilities for temporary differences on indefinite life intangibles that were not offset by deferred tax assets due to the full valuation allowance we have recorded on these assets. Included in tax expense for the first quarter of both 2008 and 2009 was a provision for state taxes of approximately $0.3 million.</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Income from Discontinued Operations. </w:t>
      </w:r>
      <w:r>
        <w:rPr>
          <w:rFonts w:ascii="Arial" w:cs="Arial" w:eastAsia="Arial" w:hAnsi="Arial"/>
          <w:sz w:val="16"/>
          <w:szCs w:val="16"/>
          <w:color w:val="auto"/>
        </w:rPr>
        <w:t>Income from discontinued operations decreased from $0.6 million to $0.3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30, 2008 and March 29, 2009, respectively. The income for the quarter ended March 30, 2008 was primarily driven by a tax benefit of $1.1 million recognized related to the expiration of the statute of limitations for certain foreign tax contingencies. This benefit was offset partially by an impairment charge of $0.5 million related to retained assets and liabilities from the sale and discontinuance of these operations. In 2009, a tax benefit of $0.1 million related to the SYS commercial businesses which were sold during the quarter and a tax benefit of $0.4 million related to the statute of limitations for certain foreign tax contingencies was recorded. This benefit was offset partially by a loss from the operations of the SYS commercial businesses.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As of March 29, 2009, our backlog was approximately $690 million, of which $165 million was funded.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of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2"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(GWAC) contracts, or General Services Administration, or (GSA), schedules beyond awarded or funded task orders, but our unfunded backlog does include estimates of revenue beyond awarded or funded task orders for other types of indefinite delivery, indefinite quantity, or (ID/IQ),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of new contracts are awarded. Additionally, all United States government contracts included in backlog, whether or not funded, may be terminated at the convenience of the United States government.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As of March 29, 2009, we had consolidated cash and cash equivalents of $3.2 million, consolidated long-term and short-term debt of $80.5 million, and consolidated stockholders' equity of $105.1 million. Our principal sources of liquidity are cash flows from operations and borrowings under our credit facility.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operating cash flow is used to finance trade accounts receivable, fund capital expenditures, our ongoing operations, litigation and government inquiries,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97"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pacing w:after="0" w:line="169" w:lineRule="exact"/>
        <w:rPr>
          <w:sz w:val="20"/>
          <w:szCs w:val="20"/>
          <w:color w:val="auto"/>
        </w:rPr>
      </w:pPr>
    </w:p>
    <w:tbl>
      <w:tblPr>
        <w:tblLayout w:type="fixed"/>
        <w:tblInd w:w="22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Three months</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Three months</w:t>
            </w:r>
          </w:p>
        </w:tc>
      </w:tr>
      <w:tr>
        <w:trPr>
          <w:trHeight w:val="149"/>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March 30,</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29,</w:t>
            </w:r>
          </w:p>
        </w:tc>
      </w:tr>
      <w:tr>
        <w:trPr>
          <w:trHeight w:val="161"/>
        </w:trPr>
        <w:tc>
          <w:tcPr>
            <w:tcW w:w="5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6"/>
              </w:rPr>
              <w:t>Net cash provided by operating activities of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Cash provided by operating activities from continuing operations for the three months ended March 29, 2009 increased by $5.0 million from the three months ended March 30, 2008, primarily as a result of the reduction of our Days Sales Outstanding from 106 days to 99 days, for the three months ended March 30, 2008 and March 29, 2009, respectively, which generated cash of $9.1 million, partially offset by payments related to accrued liabilities.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cash used in investing activities from continuing operations are summarized as follows (in millions):</w:t>
      </w:r>
    </w:p>
    <w:p>
      <w:pPr>
        <w:spacing w:after="0" w:line="208"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Three months</w:t>
            </w: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March 30,</w:t>
            </w:r>
          </w:p>
        </w:tc>
        <w:tc>
          <w:tcPr>
            <w:tcW w:w="14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March 29,</w:t>
            </w:r>
          </w:p>
        </w:tc>
        <w:tc>
          <w:tcPr>
            <w:tcW w:w="0" w:type="dxa"/>
            <w:vAlign w:val="bottom"/>
          </w:tcPr>
          <w:p>
            <w:pPr>
              <w:spacing w:after="0"/>
              <w:rPr>
                <w:sz w:val="1"/>
                <w:szCs w:val="1"/>
                <w:color w:val="auto"/>
              </w:rPr>
            </w:pPr>
          </w:p>
        </w:tc>
      </w:tr>
      <w:tr>
        <w:trPr>
          <w:trHeight w:val="161"/>
        </w:trPr>
        <w:tc>
          <w:tcPr>
            <w:tcW w:w="5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Arial" w:cs="Arial" w:eastAsia="Arial" w:hAnsi="Arial"/>
                <w:sz w:val="18"/>
                <w:szCs w:val="18"/>
                <w:color w:val="auto"/>
              </w:rPr>
              <w:t>Cash paid for contingent acquisition consideration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acquisitions, net of cash acquired</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340" w:type="dxa"/>
            <w:vAlign w:val="bottom"/>
          </w:tcPr>
          <w:p>
            <w:pPr>
              <w:ind w:left="120"/>
              <w:spacing w:after="0"/>
              <w:rPr>
                <w:sz w:val="20"/>
                <w:szCs w:val="20"/>
                <w:color w:val="auto"/>
              </w:rPr>
            </w:pPr>
            <w:r>
              <w:rPr>
                <w:rFonts w:ascii="Arial" w:cs="Arial" w:eastAsia="Arial" w:hAnsi="Arial"/>
                <w:sz w:val="18"/>
                <w:szCs w:val="18"/>
                <w:color w:val="auto"/>
                <w:w w:val="95"/>
              </w:rPr>
              <w:t>Proceeds/(payments) from the disposition of discontinued operations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340" w:type="dxa"/>
            <w:vAlign w:val="bottom"/>
            <w:vMerge w:val="restart"/>
          </w:tcPr>
          <w:p>
            <w:pPr>
              <w:ind w:left="2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Cash paid for acquisitions and contingent acquisition consideration accounted for the most significant outlays for investing activities for the three months ended March 29, 2009 as a result of the implementation of our strategies to diversify our business while focusing on our core competencies. Cash paid for acquisitions for the three months ended March 30, 2008 relates to transaction costs paid for the Haverstick acquisition. Cash paid for contingent acquisition consideration for the three months ended March 29, 2009 relates to the final holdback payment of $2.4 million for the MRC acquisition and to the first holdback payment of $0.6 million related to the Haverstick acquisition. For the three months ended March 30, 2008 we received proceeds of $2.3 million from the settlement of the working capital amount owed by LCC on the sale of our domestic wireless engineering operations. For the three months ended March 28, 2009, we paid $1.5 million to Platinum Equity related to the working capital adjustment for the sale of our domestic wireless deployment business which was partially offset by proceeds of $0.4 million related to the sale of the discontinued SYS commercial businesses. Capital expenditures were $0.3 million for the three months ended March 30, 2008 and $0.1 million for the three months ended March 29, 2009.</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provided by (used in) financing activities from continuing operations are summarized as follows (in millions):</w:t>
      </w:r>
    </w:p>
    <w:p>
      <w:pPr>
        <w:spacing w:after="0" w:line="208"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Three months</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ended</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March 30,</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March 29,</w:t>
            </w: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40"/>
              <w:spacing w:after="0"/>
              <w:rPr>
                <w:sz w:val="20"/>
                <w:szCs w:val="20"/>
                <w:color w:val="auto"/>
              </w:rPr>
            </w:pPr>
            <w:r>
              <w:rPr>
                <w:rFonts w:ascii="Arial" w:cs="Arial" w:eastAsia="Arial" w:hAnsi="Arial"/>
                <w:sz w:val="18"/>
                <w:szCs w:val="18"/>
                <w:color w:val="auto"/>
              </w:rPr>
              <w:t>Payments of subordinated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credit facility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40"/>
              <w:spacing w:after="0"/>
              <w:rPr>
                <w:sz w:val="20"/>
                <w:szCs w:val="20"/>
                <w:color w:val="auto"/>
              </w:rPr>
            </w:pPr>
            <w:r>
              <w:rPr>
                <w:rFonts w:ascii="Arial" w:cs="Arial" w:eastAsia="Arial" w:hAnsi="Arial"/>
                <w:sz w:val="18"/>
                <w:szCs w:val="18"/>
                <w:color w:val="auto"/>
              </w:rPr>
              <w:t>Repayments under credit facility</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vMerge w:val="restart"/>
          </w:tcPr>
          <w:p>
            <w:pPr>
              <w:ind w:left="260"/>
              <w:spacing w:after="0"/>
              <w:rPr>
                <w:sz w:val="20"/>
                <w:szCs w:val="20"/>
                <w:color w:val="auto"/>
              </w:rPr>
            </w:pPr>
            <w:r>
              <w:rPr>
                <w:rFonts w:ascii="Arial" w:cs="Arial" w:eastAsia="Arial" w:hAnsi="Arial"/>
                <w:sz w:val="18"/>
                <w:szCs w:val="18"/>
                <w:color w:val="auto"/>
                <w:w w:val="95"/>
              </w:rPr>
              <w:t>Net cash provided by (used in) financing activities from continuing operations</w:t>
            </w: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1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decrease in cash in financing activities of $3.2 million from the three months ended March 30, 2008 to March 29, 2009 primarily relates to payments of $2.1 million on the subordinated debt we assumed in the SYS acquisition and term note payments of $1.3 million on our Credit Facility.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used in discontinued operations are summarized as follows (in millions):</w:t>
      </w:r>
    </w:p>
    <w:p>
      <w:pPr>
        <w:spacing w:after="0" w:line="20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Three months</w:t>
            </w: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Three months</w:t>
            </w: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ended</w:t>
            </w:r>
          </w:p>
        </w:tc>
        <w:tc>
          <w:tcPr>
            <w:tcW w:w="24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ended</w:t>
            </w:r>
          </w:p>
        </w:tc>
      </w:tr>
      <w:tr>
        <w:trPr>
          <w:trHeight w:val="149"/>
        </w:trPr>
        <w:tc>
          <w:tcPr>
            <w:tcW w:w="334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30,</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March 29,</w:t>
            </w:r>
          </w:p>
        </w:tc>
      </w:tr>
      <w:tr>
        <w:trPr>
          <w:trHeight w:val="161"/>
        </w:trPr>
        <w:tc>
          <w:tcPr>
            <w:tcW w:w="3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cash flows of discontinued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cash flow used by discontinued operations increased by $0.8 million primarily as a result of the use of cash by the SYS commercial businesses which were sold during the first quarter of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our historical business acquisitions, we have agreed to make additional future payments to sellers based on final purchase price adjustments and the expiration of certain indemnification obligations. Pursuant to the provisions of SFAS 141, such amounts are accrued, and therefore, recorded when the contingency is resolved beyond a reasonable doubt and, hence, the additional consideration becomes payable. As of March 29, 2009, we have approximately $0.6 million of cash holdback amounts that will be released in September 2009, subject to indemnity rights due to the Haverstick acquisition.</w:t>
      </w:r>
    </w:p>
    <w:p>
      <w:pPr>
        <w:spacing w:after="0" w:line="167" w:lineRule="exact"/>
        <w:rPr>
          <w:sz w:val="20"/>
          <w:szCs w:val="20"/>
          <w:color w:val="auto"/>
        </w:rPr>
      </w:pPr>
    </w:p>
    <w:p>
      <w:pPr>
        <w:ind w:right="80" w:firstLine="348"/>
        <w:spacing w:after="0" w:line="283" w:lineRule="auto"/>
        <w:rPr>
          <w:sz w:val="20"/>
          <w:szCs w:val="20"/>
          <w:color w:val="auto"/>
        </w:rPr>
      </w:pPr>
      <w:r>
        <w:rPr>
          <w:rFonts w:ascii="Arial" w:cs="Arial" w:eastAsia="Arial" w:hAnsi="Arial"/>
          <w:sz w:val="16"/>
          <w:szCs w:val="16"/>
          <w:color w:val="auto"/>
        </w:rPr>
        <w:t>We have a credit facility of $85.0 million with KeyBanc Capital Markets. This credit facility provides for two term loans consisting of a first lien term note of $50.0 million and a second lien term note of $10.0 million, as well as a first lien $25.0 million revolving line of credit. The $10.0 million term loan has a five and one half-year term with principal payments of $25,000 required quarterly beginning on March 31, 2008 through March 31, 2013 with the final balance of $9.5 million due on June 30, 2013. The $50.0 million term loan has a five year term with principal payments of $0.6 million required quarterly beginning on March 31, 2008, $1.3 million in 2009, $2.5 million in 2010, and $4.1 million in 2011 and 2012. The term loans have a provision which states that once the full amount of the note has been borrowed, the notes cannot be paid down and reborrowed again. The revolving line of credit has a four year term which expires on December 31, 2011. All loans under the credit facility have an interest rate equal to a base rate defined as a fluctuating rate per annum equal to the higher of</w:t>
      </w:r>
    </w:p>
    <w:p>
      <w:pPr>
        <w:ind w:right="100" w:firstLine="8"/>
        <w:spacing w:after="0" w:line="255" w:lineRule="auto"/>
        <w:tabs>
          <w:tab w:leader="none" w:pos="2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Funds Rate plus 0.5% and (b) the rate of interest in effect for such day as publicly announced from time to time by KeyBank as its "prime rate" plus a margin for the term loans of 6.5% to 7.5% and a margin of 1.0% to 3.25% on the revolving line of credit. All rates are subject to a LIBOR floor of 4.25% and a "prime rate" floor of 5.25%.</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March 29, 2009, our outstanding balance on the facility was $79.5 million and the weighted average interest rate on the debt as of March 29, 2009 was 10.56%. As of March 29, 2009, the unused line of credit under the revolving line of credit was approximately $0.1 million. The only restriction on the use of these funds is that we must be in compliance with covenants of the credit facility. We were in compliance with all covenants under the credit facility as of March 29, 2009.</w:t>
      </w:r>
    </w:p>
    <w:p>
      <w:pPr>
        <w:spacing w:after="0" w:line="197"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of December 28, 2008, the Company had outstanding convertible notes payable totaling $3.1 million which were acquired as a result of the SYS acquisition, of which $0.8 million was payable to related parties. The convertible notes payable are unsecured and subordinated to the Company's bank debt and bear interest at 10% per annum payable quarterly. Principal was due February 14, 2009 and the notes were convertible at any time into shares of common stock at a conversion rate of $2.86 per share. In February 2009, in the interest of preserving cash due to the current macroeconomic conditions, the Company provided each note holder with the option to:</w:t>
      </w:r>
    </w:p>
    <w:p>
      <w:pPr>
        <w:spacing w:after="0" w:line="21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paid cash in accordance with the original agreement;</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extend the note for an additional 18 months at the existing 10% rate and modify the conversion feature to the lower of the existing conversion price of $2.86 per share or the Kratos closing share value on February 13, 2009; or</w:t>
      </w:r>
    </w:p>
    <w:p>
      <w:pPr>
        <w:spacing w:after="0" w:line="199"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convert the principal balance of Kratos shares at the lower of the existing conversion price of $2.86 or the Kratos closing share value on February 13, 2009 less a 10% discount.</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March 29, 2009, $2.1 million of the notes had been paid and $1.0 million of the notes had been extended to August 14, 2010. The balance of the outstanding notes of $1.0 million, which is potentially convertible into common stock of Kratos at $1.02 per share or approximately 968,000 shares, is reflected in long-term debt in the accompanying condensed consolidated balance sheets.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the convertible notes was approximately $60,000 for the three month period ended March 29, 2009.</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July 16, 2008, we came to an agreement with Platinum Equity on a working capital adjustment of $5.0 million. In connection with that resolution, the earn-out arrangement was terminated. The adjustment was to be paid in installments with the first amount of $2.5 million due on July 31, 2008 and payments of $0.5 million monthly thereafter until paid in full in December 2008. We did not make the scheduled $2.5 million payment due as of July 31, 2008. Payments of $1.0 million were made in August and September of 2008, with an additional $0.5 million paid in December 2008. In March 2009, we paid $1.5 million of the working capital adjustment. As of March 29, 2009, the balance of $1.0 million plus accrued interest on the outstanding balance has been reflected in other current liabilities in the accompanying condensed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intend to fund our cash requirements with cash flows from operating activities, borrowings under our current credit facilities and potential future credit facilities. We believe these sources should be sufficient to meet our cash needs for at least the next 12 months. We expect that the acquired businesses of SYS and DFI, which were not included in our 2008 cash flows until the date of acquisition, will contribute additional working capital and cash flows.</w:t>
      </w:r>
    </w:p>
    <w:p>
      <w:pPr>
        <w:spacing w:after="0" w:line="16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2008, we paid approximately $4.8 million related to the 2004 and 2007 securities litigation settlements, as discussed in Note 13—Legal Matters to the unaudited consolidated financial statements included in Item 1 of Part I of this Quarterly Report. This amount was partially funded by $2.2 million from the restricted cash account we were required to fund as a result of the first amendment to our current credit facility. We also funded $5.5 million in 2008 for legal fees incurred on our internal stock option investigation which we completed in 2007. In addition, if we become subject to significant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judgments, settlements, or fines related to the matters discussed in Note 13—Legal Matters, or any other matters, or incur legal fees in excess of our current expectations, we could be required to make significant payments that could materially and adversely affect our financial condition, potentially impacting our ability to access the capital markets and our compliance with our debt covenants.</w:t>
      </w:r>
    </w:p>
    <w:p>
      <w:pPr>
        <w:spacing w:after="0" w:line="194"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As discussed in Part II, Item 1A, "Risk Factors" of this Quarterly Report on Form 10-Q,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or if there is a real likelihood of continuing resolutions in 2009 for civilian and DOD agencies,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 and we could be unable to make a scheduled debt payment. We currently carry a significant amount of debt and have experienced recurring losses and negative cash flows from continuing operations. Given the highly leveraged liquidity position, any down-turn in our operating earnings or cash flows could impair our ability to comply with the financial covenants of our existing credit facility. Our ability to execute on additional business opportunities may be limited due to existing borrowing capacity. If we believe a covenant violation is more than likely to occur in the near future, we would seek relief from our lenders. This relief, if available, would have some cost to us and such relief might not be on terms as favorable as those in the existing credit agreement. If we were to actually default due to our failure to meet the financial covenants of our credit agreement and inability to obtain a waiver from the lenders, our credit agreement could require us to immediately repay all amounts then outstanding under the credit agreement and/or require us to pay interest at default rates per the credit agreement.</w:t>
      </w:r>
    </w:p>
    <w:p>
      <w:pPr>
        <w:spacing w:after="0" w:line="17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the event we were required to repay the amount outstanding under the existing credit facility, we would need to obtain alternative sources of financing to continue our operating activities at existing levels. There can be no assurance that alternative financing would be available on acceptable terms or at all.</w:t>
      </w:r>
    </w:p>
    <w:p>
      <w:pPr>
        <w:spacing w:after="0" w:line="139"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credit agreements contain covenants which impose certain restrictions on our ability to, among other things, incur additional debt, pay dividends, make investments or sell assets. Additionally, certain non-recurring cash inflows such as proceeds from asset sales, insurance recoveries, and equity offerings may have to be used to pay down indebtedness and may not be reborrowed. In addition, the credit agreements contain certain financial covenants which are defined by the terms of the agreements. As of March 28, 2009, we were in compliance with all financial covenants under the credit agreements.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right="700" w:firstLine="348"/>
        <w:spacing w:after="0" w:line="332" w:lineRule="auto"/>
        <w:rPr>
          <w:sz w:val="20"/>
          <w:szCs w:val="20"/>
          <w:color w:val="auto"/>
        </w:rPr>
      </w:pPr>
      <w:r>
        <w:rPr>
          <w:rFonts w:ascii="Arial" w:cs="Arial" w:eastAsia="Arial" w:hAnsi="Arial"/>
          <w:sz w:val="16"/>
          <w:szCs w:val="16"/>
          <w:color w:val="auto"/>
        </w:rPr>
        <w:t>There have been no significant changes to our Critical Accounting Policies or Estimates during 2009. Refer to our Critical Accounting Policies and Estimates in Form 10-K for the year ended December 28, 2008, as filed with the Securities and Exchange Commission on March 10, 2009.</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is effective for fiscal years beginning after November 15, 2007 and for interim periods within those years. This statement defines fair value, establishes a framework for measuring fair value and expands the related disclosure requirements. This statement applies under other accounting pronouncements that require or permit fair value measurements. The statement indicates, among other things, that a fair value measurement assumes that the transaction to sell an asset or transfer a liability occurs in the principal market for the asset or liability or, in the absence of a principal market, the most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advantageous market for the asset or liability. SFAS 157 defines fair value based upon an exit price model. Relative to SFAS 157, the FASB issued FASB Staff Positions (FSP) 157-1, 157-2, and 157-3. FSP 157-1 amends SFAS 157 to exclude SFAS 13 and its related interpretive accounting pronouncements that address leasing transactions, while FSP 157-2 delays the effective date of SFAS 157 for all nonfinancial assets and nonfinancial liabilities, except those that are recognized or disclosed at fair value in the financial statements on a recurring basis. FSP 157-3 clarifies the principles in SFAS 157 on the fair value measurement of assets when the market for that asset is not active. The Company adopted SFAS 157 as of January 1, 2008. Refer to Note 9 to the Condensed Consolidated Financial Statements for additional discussion on fair value measurements.</w:t>
      </w:r>
    </w:p>
    <w:p>
      <w:pPr>
        <w:spacing w:after="0" w:line="174"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 xml:space="preserve">In December 2007, the FASB issued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or (SFAS 141R).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financial statements to evaluate the nature and financial effects of the business combination. SFAS 141R is effective for financial statements issued for fiscal years beginning after December 15, 2008. Accordingly, any business combinations we engaged in were previously recorded and disclosed according to SFAS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until December 28, 2008. The Company has adopted SFAS 141R as of December 29, 2008 and we expect SFAS 141R will have an impact on our consolidated financial statements, but the nature and magnitude of the effects will depend upon the nature, terms and size of the acquisitions we consummate after the effective date of December 29, 2008.</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 xml:space="preserve">In December 2007, the FASB issued SFAS 160, </w:t>
      </w:r>
      <w:r>
        <w:rPr>
          <w:rFonts w:ascii="Arial" w:cs="Arial" w:eastAsia="Arial" w:hAnsi="Arial"/>
          <w:sz w:val="18"/>
          <w:szCs w:val="18"/>
          <w:i w:val="1"/>
          <w:iCs w:val="1"/>
          <w:color w:val="auto"/>
        </w:rPr>
        <w:t>"Noncontrolling Interests in Consolidated Financial Statements—an amendment of Accounting Research</w:t>
      </w:r>
      <w:r>
        <w:rPr>
          <w:rFonts w:ascii="Arial" w:cs="Arial" w:eastAsia="Arial" w:hAnsi="Arial"/>
          <w:sz w:val="18"/>
          <w:szCs w:val="18"/>
          <w:color w:val="auto"/>
        </w:rPr>
        <w:t xml:space="preserve"> </w:t>
      </w:r>
      <w:r>
        <w:rPr>
          <w:rFonts w:ascii="Arial" w:cs="Arial" w:eastAsia="Arial" w:hAnsi="Arial"/>
          <w:sz w:val="18"/>
          <w:szCs w:val="18"/>
          <w:i w:val="1"/>
          <w:iCs w:val="1"/>
          <w:color w:val="auto"/>
        </w:rPr>
        <w:t>Bulletin. 51</w:t>
      </w:r>
      <w:r>
        <w:rPr>
          <w:rFonts w:ascii="Arial" w:cs="Arial" w:eastAsia="Arial" w:hAnsi="Arial"/>
          <w:sz w:val="18"/>
          <w:szCs w:val="18"/>
          <w:color w:val="auto"/>
        </w:rPr>
        <w:t>," or (SFAS 160). SFAS 160 addresses the accounting and reporting standards for ownership interests in subsidiaries held by parties other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the amount of consolidated net income attributable to the parent and to the noncontrolling interest, changes in a parent's ownership interest, and the valuation of retained noncontrolling equity investments when a subsidiary is deconsolidated. SFAS 160 also establishes disclosure requirements that clearly identify and distinguish between the interests of the parent and the interests of the noncontrolling owners. SFAS 160 is effective for fiscal years beginning after December 15, 2008. The Company has adopted SFAS 160 as of December 29, 2008 and the adoption did not have a material impact on our consolidated financial statements.</w:t>
      </w:r>
    </w:p>
    <w:p>
      <w:pPr>
        <w:spacing w:after="0" w:line="20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 xml:space="preserve">In March 2008, the FASB issued SFAS 161, </w:t>
      </w:r>
      <w:r>
        <w:rPr>
          <w:rFonts w:ascii="Arial" w:cs="Arial" w:eastAsia="Arial" w:hAnsi="Arial"/>
          <w:sz w:val="16"/>
          <w:szCs w:val="16"/>
          <w:i w:val="1"/>
          <w:iCs w:val="1"/>
          <w:color w:val="auto"/>
        </w:rPr>
        <w:t>"Disclosures about Derivative Instruments and Hedging Activities, an amendment of FASB Statement. 133"</w:t>
      </w:r>
      <w:r>
        <w:rPr>
          <w:rFonts w:ascii="Arial" w:cs="Arial" w:eastAsia="Arial" w:hAnsi="Arial"/>
          <w:sz w:val="16"/>
          <w:szCs w:val="16"/>
          <w:color w:val="auto"/>
        </w:rPr>
        <w:t xml:space="preserve"> SFAS 161. This statement is intended to improve transparency in financial reporting by requiring enhanced disclosures of an entity's derivative instruments and hedging activities and their effects on the entity's financial position, financial performance, and cash flows. SFAS 161 applies to all derivative instruments within the scope of SFAS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133 as well as related hedged items, bifurcated derivatives, and nonderivative instruments that are designated and qualify as hedging instruments. Entities with instruments subject to SFAS 161 must provide more robust qualitative disclosures and expanded quantitative disclosures. SFAS 161 is effective prospectively for financial statements issued for fiscal years and interim periods beginning after November 15, 2008, with early application permitted. The Company has adopted SFAS 161 as of December 29, 2008 and the statement did not have a significant impact on the Company's consolidated financial statements (Refer to Note 10).</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are exposed to market risk in connection with changes in interest rates, primarily in connection with outstanding balances under our credit facility with KeyBank Capital Markets. Based on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average outstanding balances during the three months ended March 29, 2009 a 1% change in the LIBOR rate would not impact our financial position and results of operations as a result of the 4.25% LIBOR floor rate on our credit facility.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are contracted with investment grade counterparties to reduce exposure to nonperformance on such instruments.</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Cash and cash equivalents as of March 29, 2009 were $3.2 million and are primarily invested in money market interest bearing accounts. A hypothetical 10% adverse change in the average interest rate on our money market cash investments and short-term investments would have had no material effect on net income for the three month period ended March 29, 2009.</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and Exchange Act of 1934, as amended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2"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March 29, 2009.</w:t>
      </w:r>
    </w:p>
    <w:p>
      <w:pPr>
        <w:spacing w:after="0" w:line="167"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29, 2009 that has materially affected, or is reasonably likely to materially affect, our internal control over financial reporting.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Securities Litigation</w:t>
      </w:r>
    </w:p>
    <w:p>
      <w:pPr>
        <w:spacing w:after="0" w:line="231" w:lineRule="exact"/>
        <w:rPr>
          <w:sz w:val="20"/>
          <w:szCs w:val="20"/>
          <w:color w:val="auto"/>
        </w:rPr>
      </w:pPr>
    </w:p>
    <w:p>
      <w:pPr>
        <w:ind w:right="180" w:firstLine="351"/>
        <w:spacing w:after="0" w:line="252" w:lineRule="auto"/>
        <w:rPr>
          <w:sz w:val="20"/>
          <w:szCs w:val="20"/>
          <w:color w:val="auto"/>
        </w:rPr>
      </w:pPr>
      <w:r>
        <w:rPr>
          <w:rFonts w:ascii="Arial" w:cs="Arial" w:eastAsia="Arial" w:hAnsi="Arial"/>
          <w:sz w:val="18"/>
          <w:szCs w:val="18"/>
          <w:color w:val="auto"/>
        </w:rPr>
        <w:t>Beginning in June 2001, the Company and certain of its officers and directors were named as defendants in several parallel class action shareholder complaints filed in the United States District Court for the Southern District of New York, now consolidated under the caption, In re Wireless Facilities, Inc. Initial Public Offering Securities Litigation, Case 01-CV-4779. In the amended complaint, the plaintiffs allege that the Company, certain of its officers and directors, and the underwriters of the Company's initial public offering ("IPO") violated section 11 of the Securities Act of 1933 and section 10(b) of the Securities Exchange Act of 1934 based on allegations that the Company's registration statement and prospectus failed to disclose material facts regarding the compensation to be received by, and the stock allocation practices of, the IPO underwriters. The plaintiffs seek unspecified monetary damages and other relief. Similar complaints were filed in the same court against hundreds of other public companies ("Issuers") that conducted IPOs of their common stock in the late 1990s and 2000. These complaints have been consolidated into an action captioned In re Initial Public Offering Securities Litigation, 21 MC 92 (the "IPO Cases").</w:t>
      </w:r>
    </w:p>
    <w:p>
      <w:pPr>
        <w:spacing w:after="0" w:line="20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June 2004, the Issuers (including the Company) executed a partial settlement agreement with the plaintiffs that would have, among other things, resulted in the dismissal with prejudice of all claims against the Issuers and their officers and directors and the assignment of certain potential Issuer claims to the plaintiffs. On February 15, 2005, the district court issued a decision certifying a class action for settlement purposes and granting preliminary approval of the settlement subject to modification of certain bar orders contemplated by the settlement. On August 31, 2005, the court reaffirmed class certification of the settlement class and preliminary approval of the modified settlement in a comprehensive Order. On February 24, 2006, the court dismissed litigation filed against certain underwriters in connection with certain claims to be assigned under the settlement. On April 24, 2006, the district court held a Final Fairness Hearing to determine whether to grant final approval of the settlement, and the court reserved decision at that time. While the partial settlement was pending approval, the plaintiffs continued to litigate against the underwriter defendants. The district court directed that the litigation proceed within a number of "focus cases" rather than all of the 310 cases that had been consolidated. The Company's case is not one of these focus cases. On October 13, 2004, the district court certified the focus cases as class actions. The underwriter defendants appealed that ruling and on December 5, 2006, the Second Circuit Court of Appeals reversed the district court's class certification decision. On April 6, 2007, the Second Circuit denied plaintiffs' rehearing petition, but clarified that the plaintiffs could seek to certify a more limited class in the district court. In light of the Second Circuit opinion, liaison counsel for all issuer defendants, including the Company, informed the district court that the settlement could not be approved because the defined settlement class, like the litigation class, could not be certified. On June 24, 2007, the district court entered an order terminating the proposed settlement.</w:t>
      </w:r>
    </w:p>
    <w:p>
      <w:pPr>
        <w:spacing w:after="0" w:line="18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Plaintiffs filed second consolidated amended complaints in the six focus cases on August 14, 2007, and, on September 27, 2007, again moved for class certification. On November 12, 2007, certain of the defendants in the focus cases moved to dismiss the second consolidated amended class action complaints. On March 26, 2008, the district court denied the motions to dismiss except as to section 11 claims raised by those plaintiffs who sold their securities for a price in excess of the initial offering price and those who purchased outside the previously certified class period. Briefing on the class certification motion was completed in May 2008. That motion was withdrawn without prejudice on October 10, 2008. On February 25, 2009, liaison counsel for the plaintiffs informed the district court that a settlement had been agreed to in principle, subject to formal approval by the parties and</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preliminary and final approval by the court. On April 2, 2009, a stipulation and agreement of settlement among the plaintiffs, issuer defendants and underwriter defendants was submitted to the Court for preliminary approval. If the Court grants the motion for preliminary approval, notice will be given to all class members of the settlement, a "fairness" hearing will be held and if the Court determines that the settlement is fair to the class members, the settlement will be approved. There can be no assurance that this proposed settlement will be approved and implemented in its current form, or at all. Due to the inherent uncertainties of litigation and because the settlement approval process is at a preliminary stage, the ultimate outcome of the matter is uncertain.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Securities Litigation</w:t>
      </w:r>
    </w:p>
    <w:p>
      <w:pPr>
        <w:spacing w:after="0" w:line="231"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August 2004, following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alleged that, during that time period, Defendants made false and misleading statements to the investing public about the Company's business and financial results, causing its stock to trade at artificially inflated levels. Based on these allegations, the lawsuits alleged that Defendants violated the Securities Exchange Act of 1934, and the plaintiffs sought unspecified damages. These actions were consolidated into a single action—In re Wireless Facilities, Inc. Securities Litigation, Master File 04CV1589-JAH. Plaintiffs filed a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On May 7, 2007, the Court denied the Defendants' motion to dismiss. Defendants' filed their answer to the plaintiffs' complaint on July 13, 2007. In February 2008, following a voluntary mediation of the matter, the parties reached a tentative agreement to settle the class action. In June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January 13, 2009, following a motion by the parties, the Court granted final approval of the proposed settlement terms, issued its final judgment on the matter, and entered an order dismissing the case with prejudice.</w:t>
      </w:r>
    </w:p>
    <w:p>
      <w:pPr>
        <w:spacing w:after="0" w:line="18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total amount of $12 million. The Company's directors' and officers' liability insurers paid the settlement amount in accordance with the Company's insurance policies, less the applicable retention or co-insurance obligations that were paid directly by the Company. The Company's amount of payment toward the settlement was approximately $2.4 million. In the fourth quarter of 2008, the Company paid $3.0 million related to this matter, of which $1.0 million was from its restricted cash account. The Company received $0.6 million from the insurance carriers for this payment in the first quarter of 2009. Despite the settlement reached in this action, the Company believes that the allegations lacked merit.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2004, two derivative lawsuits were filed in the United States District Court for the Southern District of California against certain of the Company's current and former officers and directors: Pedicini v. Wireless Facilities, Inc., Case 04CV1663; and Roth v. Wireless Facilities, Inc., Case 04CV1810. These actions were consolidated into a single action in In re Wireless Facilities, Inc. Derivative Litigation, Lead Case No 04CV1663-JAH. These lawsuits contain factual allegations that are substantially similar to those made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were withdrawn without prejudice pending a decision on defendants' motion to dismiss the complaint against the non-California resident defendants. On March 20, 2007, the Court ruled that it lacked personal jurisdiction over five of the six non-California defendants and dismissed them from the federal derivative complaint. On March 27, 2007, plaintiffs filed an amended derivative complaint setting forth all of the same allegations from the original complaint and adding allegations regarding the Company's stock option granting practices. Basically, plaintiffs allege that the Company "backdated" or "springloaded" employee stock option grants so that the options were granted at less than fair market value. The amended complaint names all of the original defendants (including those dismissed for lack of jurisdiction) as well as nine new defendants. On July 2, 2007, the non-California resident defendants moved to dismiss the complaint for lack of personal jurisdiction. On October 17, 2007, the Court took the motion under submission without oral argument. On February 26, 2008, the Court again ruled that it lacked personal jurisdiction over five of the six non-California defendants and dismissed them from the amended federal derivative complaint. Plaintiffs subsequently moved the Court for certification and entry of final judgment of the Court's order dismissing the non-residents for lack of personal jurisdiction so that the plaintiffs may seek immediate appellate review of the matter. On July 10, 2008, the court granted plaintiffs' motion for certification, which was not opposed by defendants. On August 12, 2008, Plaintiffs filed a notice of appeal of the personal jurisdictional order. Plaintiffs' opening appellate brief is due on June 10, 2009. The parties have conferred and discussed the Court's personal jurisdictional order, notice of appeal, and appellate briefing schedule and have stipulated to a briefing schedule for any remaining motions to dismiss that the Company, along with the individual defendants subject to the court's jurisdiction, may bring in an effort to dismiss the complaint as to them. Pursuant to the parties' stipulation, such motions must be brought on or before May 26,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April 2007, another derivative complaint was filed in the United States District Court for the Southern District of California, Hameed v. Tayebi, Case 07-CV-0680 BTM(RBB) (the "Hameed Action"), against several of the Company's current and former officers and directors. The allegations in this derivative complaint mirrored the amended allegations in the 2004 federal derivative action. Pursuant to a Court order and agreement of the parties, the defendants' responses to the complaint in the Hameed Action were stayed until the Court ruled on the motion to dismiss for lack of personal jurisdiction in the 2004 derivative litigation. As noted above, on February 26, 2008, the Court ruled that it lacked personal jurisdiction over five of the non-California defendants named in the 2004 derivative action, including three that were also named in the Hameed Action. In August 2008, and before defendants had responded to the complaint, Plaintiff voluntarily dismissed the Hameed Action pursuant to Federal Rule of Civil Procedure 41(a). The Company believes that the allegations lacked merit and intended to vigorously defend all claims asserted.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action—In re Wireless Facilities, Inc. Derivative Litigation, California Superior Court, San Diego County, Lead Case GIC 834253. The plaintiffs filed a Consolidated Shareholder Derivative Complaint on October 14, 2004. This action has been stayed pending a decision in federal court on a motion to dismiss the federal derivative lawsuit. In October 2008, the parties notified the Court of the status of the federal action and the court continued the stay for an additional six months. The Court also ordered the parties to file an updated status report in April 2009. The Company believes that the allegations lack merit and intends to vigorously defend all claims asserted. It is impossible at this time to assess whether or not the outcome of these proceedings will have a material adverse effect on the Company.</w:t>
      </w:r>
    </w:p>
    <w:p>
      <w:pPr>
        <w:spacing w:after="0" w:line="17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has recorded an accrual for a contingent liability associated with the legal proceedings related to the derivative actions of $0.7 million based on the Company's estimate of the potential amount it would have to pay in relation to these lawsuits.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Securities Litigation</w:t>
      </w:r>
    </w:p>
    <w:p>
      <w:pPr>
        <w:spacing w:after="0" w:line="231"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In March and April 2007, there were three federal class actions filed in the United States District Court for the Southern District of California against the Company and several of its current and former officers and directors. These class action lawsuits followed the Company's March 12, 2007 public announcement that it was conducting a voluntary internal review of its stock option granting processes. These actions were consolidated into a single action, In re Wireless Facilities, Inc. Securities Litigation II, Master File 07-CV-0482-BTM-NLS. The consolidated class action complaint was filed on November 19, 2007. In March 2008, following a voluntary mediation of the matter, the parties reached a tentative agreement to settle the class action. In May 2008, the parties executed a Memorandum of Understanding documenting the essential terms of the proposed settlement and on August 8, 2008, the parties filed their joint motions for preliminary approval of the proposed settlement with the Court. The Court granted preliminary approval of the proposed settlement on September 3, 2008. On December 19, 2008, following a motion by the parties, the Court granted final approval of the proposed settlement terms, issued its final judgment on the matter, and entered an order dismissing the case with prejudice.</w:t>
      </w:r>
    </w:p>
    <w:p>
      <w:pPr>
        <w:spacing w:after="0" w:line="174"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Pursuant to the settlement agreement and final order of the Court, plaintiffs and the class dismissed all claims, with prejudice, in exchange for a cash payment in the amount of $4.5 million. The Company's directors' and officers' liability insurers paid the settlement amount, less the applicable retention or co-insurance obligations and contributions that were paid directly by the Company. In July 2008, the Company paid $1.8 million related to the settlement of this litigation. Despite the settlement reached in this action, the Company believes that the allegations lacked merit.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 and Government Investigations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January 2005, a former independent contractor of the Company filed a lawsuit in Brazil against the Company's subsidiary, WFI de Brazil, to which he had been assigned for a period of time. He sought to be designated an employee of WFI de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$0.4 million for his back wages, vacation pay and certain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other benefits. The Company filed an appeal in the matter on July 20, 2006 and is challenging the basis for the award on several theories. The Company has accrued approximately $0.4 million as of December 28, 2008 related to this matter. On August 22, 2007, the appeals court partially upheld the Company's appeal, although it upheld the individual's designation as an employee. The court is reviewing possible damage calculations before publishing a final decision. The Company's counsel is preparing a motion for clarification of the judgment due to omissions in the decision.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28, 2007, three plaintiffs, on behalf of a purported class of similarly situated employees and contractors, filed a lawsuit against the Company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Superior Court of the State of California, Alameda County. The suit alleges various violations of the California Labor Code and seeks payments for allegedly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unpaid straight time and overtime, meal period pay and associated penalties. The Company and the plaintiffs agreed to venue for the suit in San Diego County.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Although the Company believes that the allegations lack merit, it has agreed with the plaintiffs to settle their claims for an aggregate amount in the range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to $0.5 million, to include individual and incentive awards, attorneys' fees and administrative costs, subject to court approval. The court granted final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settlement on April 17, 2009. The Company will pay a total of $0.3 million, and has an accrual at March 29, 2009, for a contingent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this legal proceeding in that amount.</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May 3, 2007, Kratos announced that it had a filed a lawsuit against a former employee who previously served as its stock option administrator and left Kratos in mid-2004, and his spouse. The lawsuit sought to recover damages resulting from the theft by a former employee of Kratos stock options and common stock valued in excess of $6.3 million. The thefts, which appear to have taken place during 2002 and 2003, were discovered through the Kratos review of its past practices related to the granting and pricing of employee stock options with the assistance of its outside counsel and forensic computer consultants. The complaint also alleged that the former employee attempted to cover up the scheme by, among other things, deleting entries from the records of Kratos.</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Kratos promptly reported to the SEC the discovery of the theft. The SEC initiated an inquiry and commenced an enforcement action against the former employee. The U.S. Attorney's Office also forwarded a grand jury subpoena to Kratos seeking records related to the former employee and Kratos' historical option granting practices. The SEC filed a federal lawsuit and obtained a temporary restraining order and asset freeze against the former employee and his spouse. The U.S. Attorney's Office indicted him for the theft and he pled guilty to federal criminal charges and has been sentenced to 46 months in prison and currently is incarcerated. On April 1, 2008, the SEC notified Kratos that it had completed its investigation and that it did not intend to recommend any enforcement action by the SEC against the Company. Kratos has cooperated with, and continues to cooperate with the U.S. Attorney's Office on this matter and otherwise. The former employee and his wife entered into a settlement agreement with Kratos on October 5, 2007, turning over substantially all of their assets to Kratos in settlement of the damages incurred in the theft. On February 15, 2008, the SEC approved the settlement. On February 19, 2008, the court entered a final judgment approving the settlement. Kratos has obtained the assets, which aggregate approximately $3.4 million and recovered $0.6 million from its insurance carrier related to the theft of options, and is in the process of liquidating the remaining assets which approximate $0.1 million in value. Kratos' directors' and officers' liability insurers agreed to reimburse it for $4.1 million in the third and fourth quarters of 2008 related to fees previously incurred on the ongoing investigation by the U.S. Attorney's Office as well as fees previously incurred on the SEC investigation.</w:t>
      </w:r>
    </w:p>
    <w:p>
      <w:pPr>
        <w:spacing w:after="0" w:line="17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to the foregoing matters, 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affect on our business, financial condition, operating results or cash flows.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You should carefully consider the following risk factors and all other information contained herein as well as the information included in this Quarterly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condensed consolidated financial statements and related notes.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by changes in the contracting or fiscal policies of the federal government and governmental entities.</w:t>
      </w:r>
    </w:p>
    <w:p>
      <w:pPr>
        <w:spacing w:after="0" w:line="248"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derive a significant portion of our revenue from contracts with the U.S. federal government and government agencies and subcontracts under federal government prime contracts, and the success of our business and growth of our business will continue to depend on our successful procurement of government contracts either directly or through prime contractors. Accordingly, changes in government contracting policies or government budgetary constraints could directly affect our financial performance. Among the factors that could adversely affect our business are:</w:t>
      </w:r>
    </w:p>
    <w:p>
      <w:pPr>
        <w:spacing w:after="0" w:line="180" w:lineRule="exact"/>
        <w:rPr>
          <w:sz w:val="20"/>
          <w:szCs w:val="20"/>
          <w:color w:val="auto"/>
        </w:rPr>
      </w:pPr>
    </w:p>
    <w:p>
      <w:pPr>
        <w:ind w:left="1080" w:right="2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fiscal policies or decreases in available government funding, including budgetary constraints affecting federal government spending generally, or specific departments or agencies in particular;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adoption of new laws or regulations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political or social attitudes with respect to security and defense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federal government programs or requirements, including the increased use of small business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or delays related to government restrictions on the export of defense articles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delays or changes in the government appropriations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These and other factors could cause governments and government agencies, or prime contractors that use us as a subcontractor, to reduce their purchases under existing contracts, to exercise their rights to terminate contracts at-will or to abstain from exercising options to renew contracts, any of which could have an adverse effect on our business, financial condition and results of operations. Many of our government customers are subject to stringent budgetary constraints. The award of additional contracts from government agencies could be adversely affected by spending reductions or budget cutbacks at these agencies.</w:t>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Recent deterioration in the credit markets and the financial services industry may negatively impact our business, results of operations, financial condition or liquidity.</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Recently the credit markets and the financial services industry have been experiencing a period of unprecedented turmoil and upheaval characterized by the bankruptcy, failure, collapse or sale of various financial institutions and an unprecedented level of intervention from the United States federal government. While the outcome of these events cannot be predicted, they may have an adverse effect on our liquidity, financial condition and results of operations if it became necessary for us to acquire additional debt financing. Given our highly leveraged liquidity position, any down-turn in our operating earnings or cash flows could impair our ability to comply with the financial covenants of our existing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If additional debt financing were required, it may be at interest rates far greater than our current outstanding debt or may not be available at all.</w:t>
      </w:r>
    </w:p>
    <w:p>
      <w:pPr>
        <w:spacing w:after="0" w:line="248"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Although we maintain allowances for doubtful accounts for estimated losses from the inability of our customers to make required payments and such losses have historically been within our expectations and the allowances we have established, we cannot guarantee that we will continue to experience the same loss rates we have in the past, especially given the recent deterioration of the credit markets. A significant change in the liquidity or financial condition of our customers could cause unfavorable trends in our revenue and receivable collections and additional allowances may be required. These additional allowances could materially affect our financial results.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ability to make payments on our debt will be contingent on our future operating performance, which will depend on a number of factors that are outside our control.</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Our debt service obligations are estimated to be approximately $11.0 million to $13.0 million in 2009, including approximately $5.9 million of principal repayments. This debt service may have an adverse impact on our earnings and cash flow, which could in turn negatively impact our stock price.</w:t>
      </w:r>
    </w:p>
    <w:p>
      <w:pPr>
        <w:spacing w:after="0" w:line="139" w:lineRule="exact"/>
        <w:rPr>
          <w:sz w:val="20"/>
          <w:szCs w:val="20"/>
          <w:color w:val="auto"/>
        </w:rPr>
      </w:pPr>
    </w:p>
    <w:p>
      <w:pPr>
        <w:jc w:val="both"/>
        <w:ind w:right="560" w:firstLine="351"/>
        <w:spacing w:after="0" w:line="259" w:lineRule="auto"/>
        <w:rPr>
          <w:sz w:val="20"/>
          <w:szCs w:val="20"/>
          <w:color w:val="auto"/>
        </w:rPr>
      </w:pPr>
      <w:r>
        <w:rPr>
          <w:rFonts w:ascii="Arial" w:cs="Arial" w:eastAsia="Arial" w:hAnsi="Arial"/>
          <w:sz w:val="18"/>
          <w:szCs w:val="18"/>
          <w:color w:val="auto"/>
        </w:rPr>
        <w:t>Our ability to make principal and interest payments on our debt is contingent on our future operating performance, which will depend on a number of factors, many of which are outside of our control. The degree to which we are leveraged could have other important negative consequences, including the following:</w:t>
      </w:r>
    </w:p>
    <w:p>
      <w:pPr>
        <w:spacing w:after="0" w:line="208" w:lineRule="exact"/>
        <w:rPr>
          <w:sz w:val="20"/>
          <w:szCs w:val="20"/>
          <w:color w:val="auto"/>
        </w:rPr>
      </w:pPr>
    </w:p>
    <w:p>
      <w:pPr>
        <w:ind w:left="1080" w:right="40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must dedicate a substantial portion of our cash flows from operations to the payment of our indebtedness, reducing the funds available for future working capital requirements, capital expenditures, acquisitions or other general corporate requirements;</w:t>
      </w:r>
    </w:p>
    <w:p>
      <w:pPr>
        <w:spacing w:after="0" w:line="166"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significant portion of our borrowings are, and will continue to be, at variable rates of interest, which may result in higher interest expense in the event of increases in interest rates;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more vulnerable to a downturn in the industries in which we operate or a downturn in the economy;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limited in our flexibility to plan for, or react to, changes in our business and the industries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determine it to be necessary to dispose of certain assets or one or more of our businesses to reduce our debt;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borrow additional funds in excess of our current financing may be limited.</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in amounts sufficient to enable us to pay our indebtedness or fund our other liquidity needs. Moreover, we may need to refinance all or a portion of our indebtedness on or before maturity. In such a case, we may not be able to refinance any of our indebtedness on commercially reasonable terms or at all. If we are unable to make scheduled debt payments or comply with the other provisions of our debt instruments, our lenders may be permitted under certain circumstances to accelerate the maturity of the indebtedness owed to them and exercise other remedies provided for in those instruments and under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may continue to incur goodwill impairment charges in our reporting entities which could harm our profitability.</w:t>
      </w:r>
    </w:p>
    <w:p>
      <w:pPr>
        <w:spacing w:after="0" w:line="225"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 xml:space="preserve">A significant portion of our net assets come from goodwill and other intangible assets. In accordance with Statement of Financial Accounting Standards, or SFAS 142, </w:t>
      </w:r>
      <w:r>
        <w:rPr>
          <w:rFonts w:ascii="Arial" w:cs="Arial" w:eastAsia="Arial" w:hAnsi="Arial"/>
          <w:sz w:val="18"/>
          <w:szCs w:val="18"/>
          <w:i w:val="1"/>
          <w:iCs w:val="1"/>
          <w:color w:val="auto"/>
        </w:rPr>
        <w:t>"Goodwill and Other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(SFAS 142) we periodically review the carrying values of our goodwill to determine whether such carrying values exceed the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Our acquired companies are subject to annual review for goodwill impairment. If impairment testing indicates that the carrying value of a reporting unit exceeds its fair value, the goodwill of the reporting unit is deemed impaired. Accordingly, an impairment charge would be recognized for that reporting unit in the period identified. In 2008, as a result of our annual review, we recorded a goodwill impairment charge of $105.8 million related to our KGS segment, to reflect the declining market and economic conditions through December 28, 2008.</w:t>
      </w:r>
    </w:p>
    <w:p>
      <w:pPr>
        <w:spacing w:after="0" w:line="170"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Given the continued significant decline in the stock market in general and specifically the impact on our stock price in 2009, we performed an impairment test for goodwill in accordance with SFAS 142 as of February 28, 2009. The test indicated that the book value for the KGS segment exceeded the fair values of the businesses and resulted in our recording a charge totaling $41.3 million in our KGS segment for the impairment of goodwill. The impairment charge is primarily driven by adverse equity market conditions that caused a decrease in current market multiples and our average stock price as of February 28, 2009, compared with the test performed as of December 28, 2008.</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derive a substantial amount of our revenues from the sale of our solutions either directly or indirectly to U.S. government entities pursuant to government contracts, which differ materially from standard commercial contracts, involve competitive bidding and may be subject to cancellation or delay without penalty, any of which may produce volatility in our revenues and earnings.</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federal government rights and remedies not typically found in commercial contracts, including provisions permitting the federal government to:</w:t>
      </w:r>
    </w:p>
    <w:p>
      <w:pPr>
        <w:spacing w:after="0" w:line="15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federal government or with any specific government agency;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suspend work under existing multiple year contracts and related task orders if the necessary funds are not appropriated by Congress;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public agency. Competitive procurements impose substantial costs and managerial time and effort in order to prepare bids and proposals for contracts that may not be awarded to us. In many cases, unsuccessful bidders for government agency contracts are provided the opportunity to formally protest certain contract awards through various agency, administrative and judicial channels.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6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and which makes backlog an uncertain indicator of future operating results.</w:t>
      </w:r>
    </w:p>
    <w:p>
      <w:pPr>
        <w:spacing w:after="0" w:line="186"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As of March 29, 2009, our backlog was approximately $690 million, of which $165 million was funded. Funded backlog is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Although funded backlog represents only business which is considered to be firm, cancellations or scope adjustments may still occur. The remaining $525 million is unfunded backlog, which reflects our estimate of future revenue under awarded government contracts and task orders for which either funding has not yet been appropriated or expenditure has not yet been authorized. Unfunded backlog does not include estimates of revenue from GWAC contracts or GSA schedules beyond awarded or funded task orders, but does include estimates of revenue beyond awarded or funded task orders for other types of IDIQ contracts. The amount of unfunded backlog is not exact or guaranteed and is based upon, among other things, management's experience under such contracts and similar contracts, the particular clients, the type of work and budgetary expectations. Our management may not accurately assess these factors or estimate the revenue we will realize from these contracts, and our unfunded and total backlog may not reflect the actual revenue ultimately received from these contracts.</w:t>
      </w:r>
    </w:p>
    <w:p>
      <w:pPr>
        <w:spacing w:after="0" w:line="177"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United States government contracts included in backlog, whether or not funded, may be terminated at the convenience of the United States government. The failure to realize all amounts in our backlog could adversely affect our revenues and gross margins. As a result, our funded and total backlog as of any particular date may not be an accurate indicator of our future earnings.</w:t>
      </w:r>
    </w:p>
    <w:p>
      <w:pPr>
        <w:spacing w:after="0" w:line="15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86"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operate in highly competitive markets and generally encounter intense competition to win contracts from many other firms, including mid-tier federal contractors with specialized capabilities and large defense and IT services providers. Competition in our markets may increase as a result of a number of factors, such as the entrance of new or larger competitors, including those formed through alliances or consolidation. These competitors may have greater financial, technical, marketing and public relations resources, larger client bases and greater brand or name recognition than we do. These competitors could, among other things:</w:t>
      </w:r>
    </w:p>
    <w:p>
      <w:pPr>
        <w:spacing w:after="0" w:line="210" w:lineRule="exact"/>
        <w:rPr>
          <w:sz w:val="20"/>
          <w:szCs w:val="20"/>
          <w:color w:val="auto"/>
        </w:rPr>
      </w:pPr>
    </w:p>
    <w:p>
      <w:pPr>
        <w:ind w:left="1080" w:right="4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in which we are the incumbent.</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lose business to our competitors or are forced to lower our prices, our revenue and our operating profits could decline. In addition, we may face competition from our subcontractors who, from time-to-time, seek to obtain prime contractor status on contracts for which they currently serve as a subcontractor to us. If one or more of our current subcontractors are awarded prime contractor status on such contracts in the future, it could divert sales from us or could force us to charge lower prices, which could cause our margins to suffer.</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acquisitions and potential future acquisitions could prove difficult to integrate, disrupt our business, dilute stockholder value and strain our resources.</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completed several acquisitions of complementary businesses in recent years, including our December 2007 acquisition of Haverstick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Consulting, Inc., our June 2008 acquisition of SYS, and our December 2008 acquisition of DFI. The success of the acquisitions will depend in part on the success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integrating the operations, technologies and personnel of SYS and DFI. The failure to successfully integrate the operations of the two companies or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realize any of the anticipated benefits of the acquisitions could seriously harm our results of operations.</w:t>
      </w:r>
    </w:p>
    <w:p>
      <w:pPr>
        <w:spacing w:after="0" w:line="219"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continually evaluate opportunities to acquire new businesses as part of our ongoing strategy and we may in the future acquire additional companies that we believe could complement or expand our business or increase our customer base. Acquisitions involve numerous risks, including:</w:t>
      </w:r>
    </w:p>
    <w:p>
      <w:pPr>
        <w:spacing w:after="0" w:line="16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accounting and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acquired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or delays in transitioning federal government contracts pursuant to federal acquisition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federal acquisition regulations may require us to enter into government novation agreements, a potentially time-consuming process;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Acquired companies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federal government or other clients,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impairments in the future that could harm our financial results. In addition, if we finance acquisitions by issuing convertible debt or equity securities, our existing stockholders may be diluted, which could affect the market price of our stock. As a result, if we fail to properly evaluate acquisitions or investments, we may not achieve the anticipated benefits of any such acquisitions, and we may incur costs in excess of what we anticipate.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expire, are terminated or are not renewed.</w:t>
      </w:r>
    </w:p>
    <w:p>
      <w:pPr>
        <w:spacing w:after="0" w:line="194"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addition, payments due to us from federal government agencies may be delayed due to billing cycles or as a result of failures of government budgets to gain congressional and administration approval in a timely manner. The federal government's fiscal year ends September 30. If a federal budget for the next federal fiscal year has not been approved by that date in each year, our clients may have to suspend engagements that we are working on until a budget has been approved. Any such suspensions may reduce our revenue in the fourth quarter of that year or the first quarter of the subsequent year. The federal government's fiscal year end can also trigger increased purchase requests from clients for equipment and materials. Any increased purchase requests we receive as a result of the federal government's fiscal year end would serve to increase our third or fourth quarter revenue, but will generally decrease profit margins for that quarter, as these activities generally are not as profitable as our typical offerings.</w:t>
      </w:r>
    </w:p>
    <w:p>
      <w:pPr>
        <w:spacing w:after="0" w:line="172"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Additional factors that may cause our financial results to fluctuate from quarter to quarter include those addressed elsewhere in these Risk Factors and the following, among others:</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variable purchasing patterns under GSA Schedule 70 contracts, government wide acquisition contracts (GWACs), blanket purchase agreements and other indefinite delivery/indefinite quantity contracts;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related to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Significant fluctuations in our operating results for a particular quarter could cause us to fall out of compliance with the financial covenants contained in our credit facility, which if not waived by the lender, could restrict our access to capital and cause us to take extreme measures to pay down our debt under the credit facility. In addition, fluctuations in our financial results could cause our stock price to decline.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entities and agencies and other government contractors, our ability to bid successfully for new business may be adversely affected.</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To develop new business opportunities, we primarily rely on establishing and maintaining relationships with various government entities and agencies. We may be unable to successfully maintain our relationships with government entities and agencies, and any failure to do so could materially adversely affect our ability to compete successfully for new business. In addition, we often act as a subcontractor or in "teaming" arrangements in which we and other contractors bid together on particular contracts or programs for the federal government or government agencies. As a subcontractor or team member, we often lack control over fulfillment of a contract, and poor performance on the contract could tarnish our reputation, even when we perform as required. We expect to continue to depend on relationships with other contractors for a portion of our revenue in the foreseeable future. Moreover, our revenue and operating results could be materially adversely affected if any prime contractor or teammate chooses to offer a client services of the type that we provide or if any prime contractor or teammate teams with other companies to independently provide those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significant portion of our revenues from a limited number of customers.</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We have derived, and believe that we will continue to derive, a significant portion of our revenues from a limited number of customers. To the extent that any significant customer uses less of our services or terminates its relationship with us, our revenues could decline significantly. As a result, the loss of any significant client could seriously harm our business. For the three months ended March 29, 2009, two customers comprised approximately 62% and 52% of our federal business revenues and total revenues, respectively, and our five largest customers accounted for approximately 74% and 63% of our total federal business revenues and total revenues, respectively. None of our customers are obligated to purchase additional services from us. As a result, the volume of work that we perform for a specific customer is likely to vary from period to period, and a significant client in one period may not use our services in a subsequent period.</w:t>
      </w:r>
    </w:p>
    <w:p>
      <w:pPr>
        <w:spacing w:after="0" w:line="15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fixed-price contracts in our total contract mix.</w:t>
      </w:r>
    </w:p>
    <w:p>
      <w:pPr>
        <w:spacing w:after="0" w:line="186" w:lineRule="exact"/>
        <w:rPr>
          <w:sz w:val="20"/>
          <w:szCs w:val="20"/>
          <w:color w:val="auto"/>
        </w:rPr>
      </w:pPr>
    </w:p>
    <w:p>
      <w:pPr>
        <w:ind w:right="180" w:firstLine="341"/>
        <w:spacing w:after="0" w:line="291"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In contrast, cost-plus-fee contracts are subject to statutory limits on profit margins, and generally are the least profitable of our contract types. Our federal government customers typically determine what type of contract we enter into. Cost-plus-fee and fixed-price contracts in our federal business accounted for approximately 34% and 33%, respectively, of our federal business revenues for the three months ended March 29, 2009. To the extent that we enter into more cost-plus-fee or less fixed-price contracts in proportion to our total contract mix in the future, our margins and operating results may suffer.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provide various professional services and sometimes procure equipment and materials on behalf of our federal government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 contractor other than us or if the equipment or materials become obsolete or require modification before we are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would impair our ability to attract new business.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prime contractor under several GSA contracts and GWAC schedule contracts.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client's discretion to extend the contract for one or more years. We cannot be assured that our government clients will continue to exercise the options remaining on our current contracts, nor can we be assured that our future clients will exercise options on any contracts we may receive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 services to our clients.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7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federal government clients and disrupt the management of our business.</w:t>
      </w:r>
    </w:p>
    <w:p>
      <w:pPr>
        <w:spacing w:after="0" w:line="186"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federal government personnel contribute to our ability to maintain strong client relationships and to identify new business opportunities. We do not have any employment agreements providing for a specific term of employment with any member of our senior management. The loss of any member of our senior management could impair our ability to identify and secure new contracts, to maintain good client relations and to otherwise manage our business.</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security clearances, we might not be able to perform under our contracts or win new business.</w:t>
      </w:r>
    </w:p>
    <w:p>
      <w:pPr>
        <w:spacing w:after="0" w:line="186"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growth of our business and revenue depends in large part upon our ability to attract and retain sufficient numbers of highly qualified individuals who have advanced information technology and/or engineering skills. These employees are in great demand and are likely to remain a limited resource in the foreseeable future. Certain federal government contracts require us, and some of our employees, to maintain security clearances. Obtaining and maintaining security clearances for employees involves a lengthy process, and it is difficult to identify, recruit and retain employees who</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already hold security clearances. In addition, some of our contracts contain provisions requiring us to staff an engagement with personnel that the client considers key to our successful performance under the contract. In the event we are unable to provide these key personnel or acceptable substitutions, the client may terminate the contract and we may lose revenue.</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we are unable to recruit and retain a sufficient number of qualified employees, our ability to maintain and grow our business could be limited.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our subcontractors fail to perform their contractual obligations, our performance and reputation as a prime contractor and our ability to obtain future business could suffer.</w:t>
      </w:r>
    </w:p>
    <w:p>
      <w:pPr>
        <w:spacing w:after="0" w:line="186"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prime contractor, we often rely upon other companies to perform work we are obligated to perform for our clients as subcontractors. As we secure more work under our GWAC vehicles, we expect to require an increasing level of support from subcontractors that provide complementary and supplementary services to our offerings. Depending on labor market conditions, we may not be able to identify, hire and retain sufficient numbers of qualified employees to perform the task orders we expect to win. In such cases, we will need to rely on subcontracts with unrelated companies. Moreover, even in favorable labor market conditions, we anticipate entering into more subcontracts in the future as we expand our work under our GWACs. We are responsible for the work performed by our subcontractors, even though in some cases we have limited involvement in that work.</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one or more of our subcontractors fail to satisfactorily perform the agreed-upon services on a timely basis or violate federal government contracting policies, laws or regulations, our ability to perform our obligations as a prime contractor or meet our clients' expectations may be compromised. In extreme cases, performance or other deficiencies on the part of our subcontractors could result in a client terminating our contract for default. A termination for default could expose us to liability, including liability for the agency's costs of reprocurement, could damage our reputation and could hurt our ability to compete for future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must comply with laws and regulations relating to the formation, administration and performance of federal government contracts, which affect how we do business with our clients and may impose added costs on us. In addition, the federal government, including the Defense Contract Audit Agency (DCAA), audits and reviews our performance on contracts, pricing practices, cost structure and compliance with applicable laws, regulations and standards. The DCAA reviews a contractor's internal control systems and policies, including the contractor's purchasing, property, estimating, compensation and management information systems, and the contractor's compliance with such policies. Any costs found to be improperly allocated to a specific contract will not be reimbursed, while such costs already reimbursed must be refunded. Adverse findings in a DCAA audit could materially affect our competitive position and result in a substantial adjustment to our revenue and profit.</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a federal government audit uncovers improper or illegal activities, we may be subject to civil and criminal penalties and administrative sanctions, including termination of contracts, forfeiture of profits, suspension of payments, fines and suspension or debarment from doing business with federal government agencies. In addition, we could suffer serious harm to our reputation and competitive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commercial business arena in which we operate has relatively low barriers to entry and increased competition could result in margin erosion, which would make profitability even more difficult to sustain.</w:t>
      </w:r>
    </w:p>
    <w:p>
      <w:pPr>
        <w:spacing w:after="0" w:line="186"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Other than the technical skills required in our commercial business, the barriers to entry in this area are relatively low. We do not have any intellectual property rights in this segment of our business to protect our methods, and business start-up costs do not pose a significant barrier to entry. The success of our commercial business is dependent on our employees, customer relations and the successful performance of our services. If we face increased competition as a result of new entrants in our markets, we could experience reduced operating margins and loss of market share and brand recognition.</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our commercial customers do not invest in security systems and other new in-building technologies such as wireless local area networks and/or IP-based networks, our business will suffer.</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intend to devote significant resources to developing our enterprise-based wireless local area networks (WLAN),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experience systems or service failure, our reputation could be harmed and our clients could assert claims against us for damages or refunds.</w:t>
      </w:r>
    </w:p>
    <w:p>
      <w:pPr>
        <w:spacing w:after="0" w:line="248"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create, implement and maintain IT solutions that are often critical to our clients' operations. We have experienced, and may in the future experience, some systems and service failures, schedule or delivery delays and other problems in connection with our work. If we experience these problems, we may:</w:t>
      </w:r>
    </w:p>
    <w:p>
      <w:pPr>
        <w:spacing w:after="0" w:line="130"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25"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In addition to any costs resulting from product or service warranties, contract performance or required corrective action, these failures may result in increased costs or loss of revenue if clients postpone subsequently scheduled work or cancel, or fail to renew, contracts.</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While many of our contracts limit our liability for consequential damages that may arise from negligence in rendering services to our clients, we cannot assure you that these contractual provisions will be legally sufficient to protect us if we are sued. 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reputation.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breaches in sensitive federal government systems could result in the loss of clients and negative publicity.</w:t>
      </w:r>
    </w:p>
    <w:p>
      <w:pPr>
        <w:spacing w:after="0" w:line="225" w:lineRule="exact"/>
        <w:rPr>
          <w:sz w:val="20"/>
          <w:szCs w:val="20"/>
          <w:color w:val="auto"/>
        </w:rPr>
      </w:pPr>
    </w:p>
    <w:p>
      <w:pPr>
        <w:ind w:right="160" w:firstLine="351"/>
        <w:spacing w:after="0" w:line="318" w:lineRule="auto"/>
        <w:rPr>
          <w:sz w:val="20"/>
          <w:szCs w:val="20"/>
          <w:color w:val="auto"/>
        </w:rPr>
      </w:pPr>
      <w:r>
        <w:rPr>
          <w:rFonts w:ascii="Arial" w:cs="Arial" w:eastAsia="Arial" w:hAnsi="Arial"/>
          <w:sz w:val="15"/>
          <w:szCs w:val="15"/>
          <w:color w:val="auto"/>
        </w:rPr>
        <w:t>Many of the systems we develop, install and maintain involve managing and protecting information involved in intelligence, national security and other sensitive or classified federal government functions. A security breach in one of these systems could cause serious harm to our business, damage our reputation and prevent us from being eligible for further work on sensitive or classified systems for federal government clients. We could incur losses from such a security breach that could exceed the policy limits under our errors and omissions and product liability insurance. Damage to our reputation or limitations on our eligibility for additional work resulting from a security breach in one of the systems we develop, install and maintain could materially reduce our revenue.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may engage in misconduct or other improper activities, which could cause us to lose contracts.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are exposed to the risk that employee fraud or other misconduct could occur. Misconduct by employees could include intentional failures to comply with federal government procurement regulations, engaging in unauthorized activities or falsifying time records. Employee misconduct could also involve the improper use of our clients' sensitive or classified information, which could result in regulatory sanctions against us and serious harm to our reputation and could result in a loss of contracts and a reduction in revenues. It is not always possible to deter employee misconduct, and the precautions we take to prevent and detect this activity may not be effective in controlling unknown or unmanaged risks or losses, which could cause us to lose contracts or cause a reduction in revenues. In addition, alleged or actual employee misconduct could result in investigations or prosecutions of employees engaged in the subject activities, which could result in unanticipated consequences or expenses and management distraction for us regardless of whether we are alleged to have any responsibility.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 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may be harmed by intellectual property infringement claims and our failure to protect our intellectual property could enable competitors to market products and services with similar features.</w:t>
      </w:r>
    </w:p>
    <w:p>
      <w:pPr>
        <w:spacing w:after="0" w:line="186"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We may become subject to claims from our employees or third parties who assert that software and other forms of intellectual property that we use in delivering services and solutions to our clients infringe upon intellectual property rights of such employees or third parties. Our employees develop some of the software and other forms of intellectual property that we use to provide our services and solutions to our clients, but we also license technology from other vendors. If our employees, vendors, or other third parties assert claims that we or our clients are infringing on their intellectual property rights, we could incur substantial costs to defend those claims. If any of these infringement claims are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7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The matters relating to our internal review of our stock option granting practices and the restatement of our financial statements have exposed us to civil litigation claims, regulatory proceedings and government proceedings, which could have a material adverse effect on us.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summer of 2006, our current executive management team, which has been in place since 2004, initiated an investigation of our past stock option granting practices (the "Equity Award Review") in reaction to media reports regarding stock option granting practices of public companies. The Equity Award Review was conducted with oversight from the Board and assistance from our outside counsel. In February 2007, the Board appointed a Special Committee of the Board to review the adequacy of the Equity Award Review and the recommendations of management regarding historical option granting practices, and to make recommendations and findings regarding those practices and individual conduct. The Special Committee was not charged with making, and did not make, any evaluation of the accounting determinations or tax adjustments. The Special Committee was comprised of a non-employee director who had not served on our Compensation Committee before 2005.</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Equity Award Review encompassed all grants of options to purchase shares of our common stock and other equity awards made since two months prior to our IPO in November 1999 through December 2006. We also reviewed all option grants that were entered into our stock option database (Equity Edge) after our IPO with a grant date before November 1999, as well as other substantial grants issued prior to our IPO, consisting of more than 14,000 grants. We further reviewed all option grants with a grant date that preceded an employee's date of hire. As part of the review, interviews of 18 current and former officers, directors, employees and attorneys were conducted, and more than 40 million pages of electronic and hard copy documents were searched for relevant information. The Special Committee also conducted its own separate review of the option granting practices during the tenure of current executive management team through additional interviews and document collection and review with the assistance of its own separate counsel and FTI Consulting.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Equity Award Review established the absence of contemporaneous evidence supporting a substantial number of the previously-recorded option grants, substantially all of which were made in the period from 1998 through late 2003. During this period of time, in some instances, documents, data and interviews suggest that option grants were prepared or finalized days or, in some cases, weeks or months after the option grant date recorded in our books. The affected grants include options issued to certain newly-hired employees but dated prior to their employment start dates and options issued to non-employees, including advisors to the Board erroneously designated as employees. The Special Committee also concluded that certain former employees and former officers participated in making improper option grants, including the selection of grant dates with the benefit of hindsight and in the deferral of the recording of otherwise approved option grants.</w:t>
      </w:r>
    </w:p>
    <w:p>
      <w:pPr>
        <w:spacing w:after="0" w:line="20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light of the Equity Award Review, the Audit Committee of our Board concluded that our prior financial statements for periods from 1998 through our filing of interim financial statements for the period ended September 30, 2006, could no longer be relied upon and must be restated. Our management determined that, from fiscal year 1998 through fiscal year 2005, we had unrecorded non-cash equity-based compensation charges associated with our equity incentive plans. These charges are material to our financial statements for the years ended December 31, 1998 through 2005, the periods to which such charges would have related. Previously filed annual reports on Form 10-K and quarterly reports on Form 10-Q affected by the restatements have not been and will not be amended and should not be relied upon. Our Annual Report on Form 10-K filed on September 11, 2007 superseded and replaced in their entirety all of our previously issued financial statements and related reports filed with the Securities and Exchange Commission.</w:t>
      </w:r>
    </w:p>
    <w:p>
      <w:pPr>
        <w:spacing w:after="0" w:line="17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Our past stock option granting practices and the restatement of our prior financial statements have exposed and may continue to expose us to greater risks associated with litigation, regulatory proceedings and government inquiries and enforcement actions. As described in Part I, Item 3, "Legal Proceedings," several derivative complaints have been filed in state and federal courts against our current directors, some of our former directors and some of our current and former executive officers pertaining to allegations relating to stock option grants. The SEC initiated an inquiry into our historical stock option granting practices, and we received a subpoena from the United States Attorney's Office for the Southern District of California for the production of documents relating to our historical stock option granting practices.</w:t>
      </w:r>
    </w:p>
    <w:p>
      <w:pPr>
        <w:spacing w:after="0" w:line="19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April 2008, the SEC notified us that it had completed its investigation and that it did not intend to recommend any enforcement action by the SEC against us. We have cooperated and expect to continue to cooperate with the U.S. Attorney's Office.</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period of time necessary to resolve the U.S. Attorney's Office inquiry is uncertain, and we cannot predict the outcome of this inquiry or whether we will face additional government inquiries, investigations or other actions related to our historical stock option grant practices. Subject to certain limitations, we are obligated to indemnify our current and former directors, officers and employees in connection with the investigation of our historical stock option practices, the completed SEC and pending U.S. Attorney's Office inquiries and any future government inquiries, investigations or actions. These inquiries could require us to expend significant management time and incur significant legal and other expenses, and could result in civil and criminal actions seeking, among other things, injunctions against us and the payment of significant fines and penalties by us, which could have a material adverse effect on our financial condition, business, results of operations and cash flow.</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 federal government investigation uncovers improper or illegal activities, including any potential improper or illegal activities related to our stock option review or related matters, we may be subject to civil and criminal penalties and administrative sanctions, including termination of contracts, forfeiture of profits, suspension of payments, fines and suspension or debarment from doing business with federal government agencies. The aggregate and ongoing legal fees associated with the investigation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defense of the matters related to the Equity Award Review are significant, but the impact has been partially mitigated by funds available under insurance policies purchased in prior years. We cannot assure you that the insurers will continue to reimburse us for ongoing fees. Moreover, the insurance policies contain a number of provisions that the insurers could assert either to discontinue payments or even to seek the return of previously made payments. For instance, if it were determined by final adjudication in the underlying action or in a separate action or proceeding that former officers or directors committed deliberate fraudulent or criminal acts, then insurers could assert that coverage under our directors and officer's liability insurance policies for those periods could be rescinded. In the event of such a determination and an assertion by an insurer, the insurance carriers could pursue a claim against the former officers and directors and/or us for amounts previously advanced under the underlying policies. If insurance coverage is withheld or rescinded by our insurance carriers, we could be exposed to potentially significant financial burdens arising from continuing to fund ongoing costs and costs associated with potential claims for return of prior payments, which could cause us significant harm. In addition, we could suffer serious harm to our reputation and competitive position if allegations of impropriety were made against us, whether or not true. If our reputation or relationship with federal government agencies were impaired, or if the federal government otherwise ceased doing business with us or significantly decreased the amount of business it does with us, our revenue and operating profit would decline.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controls, we may not be able to accurately report our financial results or prevent fraud.</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28, 2008. However, there can be no assurance that our controls over financial processes and reporting will be effective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 In addition, from time to time we acquire businesses which could have limited infrastructure and systems of internal controls.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28, 2008, we completed the acquisition of SYS Technologies (SYS) and on December 24, 2008, we completed the acquisition of Digital</w:t>
      </w:r>
    </w:p>
    <w:p>
      <w:pPr>
        <w:spacing w:after="0" w:line="38"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Fusion, Inc. (DFI) and, as permitted by SEC guidance, we excluded from our assessment of the effectiveness of our internal control over financial reporting as of December 28, 2008, the internal control over financial reporting of these two entities. These operations will be included in our assessment of internal controls over financial reporting for the year ending December 27, 2009. Performing assessments of internal controls, implementing necessary changes, and maintaining an effective internal controls process is costly and requires considerable management attention, particularly in the case of newly acquired entities.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in the future to fund the growth of our business, and financing may not be available.</w:t>
      </w:r>
    </w:p>
    <w:p>
      <w:pPr>
        <w:spacing w:after="0" w:line="225"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We currently anticipate that our available capital resources, including our credit facility and operating cash flows, will be sufficient to meet our expected working capital and capital expenditure requirements for at least the next 12 months. However, such resources may not be sufficient to fund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long-term growth of our business or the expenses associated with the ongoing litigation, litigation settlements and government inquiries. In particular, we may experience a negative operating cash flow due to billing milestones and project timelines in certain of our contracts.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raise additional funds through public or private debt or equity financings if such financings become available on favorable terms or we may expand our credit facility to fund future acquisitions and for general corporate purposes. However, due to the current challenges in the lending markets, we can provide no assurance that the lender would agree to extend additional or continuing credit under that facility. We could fall out of compliance with financial and other covenants contained in our credit facility which, if not waived, would restrict our access to capital and could require us to pay down our existing debt under the credit facility. Any new financing or offerings would likely dilute our stockholders' equity ownership. In addition, additional financing may not be available on terms favorable to us, or at all. If adequate funds are not available or are not available on acceptable terms, we may not be able to take advantage of available opportunities, develop new products or otherwise respond to competitive pressures. In any such case, our business, operating results or financial condition could be materially adversely affected.</w:t>
      </w:r>
    </w:p>
    <w:p>
      <w:pPr>
        <w:spacing w:after="0" w:line="17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b w:val="1"/>
          <w:bCs w:val="1"/>
          <w:i w:val="1"/>
          <w:iCs w:val="1"/>
          <w:color w:val="auto"/>
        </w:rPr>
        <w:t>We are subject to restrictive debt covenants pursuant to our indebtedness. These covenants may restrict our ability to finance our business and, if we do not comply with the covenants or otherwise default under them, we may not have the funds necessary to pay all amounts that could become due and the lenders could foreclose on substantially all of our assets.</w:t>
      </w:r>
    </w:p>
    <w:p>
      <w:pPr>
        <w:spacing w:after="0" w:line="194" w:lineRule="exact"/>
        <w:rPr>
          <w:sz w:val="20"/>
          <w:szCs w:val="20"/>
          <w:color w:val="auto"/>
        </w:rPr>
      </w:pPr>
    </w:p>
    <w:p>
      <w:pPr>
        <w:jc w:val="both"/>
        <w:ind w:right="180" w:firstLine="351"/>
        <w:spacing w:after="0" w:line="268" w:lineRule="auto"/>
        <w:rPr>
          <w:sz w:val="20"/>
          <w:szCs w:val="20"/>
          <w:color w:val="auto"/>
        </w:rPr>
      </w:pPr>
      <w:r>
        <w:rPr>
          <w:rFonts w:ascii="Arial" w:cs="Arial" w:eastAsia="Arial" w:hAnsi="Arial"/>
          <w:sz w:val="18"/>
          <w:szCs w:val="18"/>
          <w:color w:val="auto"/>
        </w:rPr>
        <w:t>Our indebtedness contains covenants that, among other things, significantly restricts and, in some cases, effectively eliminates our ability and the ability of our subsidiaries to:</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bid on or perform work due to limits on the amount of performance bonds that may be secured by letters of credit;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or make other equity distributions to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or become liable on a guarantee;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or acquire new subsidiaries;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 a merger or consolidation of, or sell all or substantially all of our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raise capital using our equity.</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addition, we must comply with certain financial covenants. In the event we were to fail to meet any of such covenants and were unable to cure such breach or otherwise renegotiate such covenants, our lenders would have significant rights to deny future access to liquidity and/or seize control of substantially all of our assets. The material financial covenants with which we must comply include a maximum first lien leverage ratio, a maximum total leverage ratio, a minimum liquidity ratio, a minimum fixed charge coverage ratio, and a minimum consolidated EBITDA.</w:t>
      </w:r>
    </w:p>
    <w:p>
      <w:pPr>
        <w:spacing w:after="0" w:line="167" w:lineRule="exact"/>
        <w:rPr>
          <w:sz w:val="20"/>
          <w:szCs w:val="20"/>
          <w:color w:val="auto"/>
        </w:rPr>
      </w:pPr>
    </w:p>
    <w:p>
      <w:pPr>
        <w:jc w:val="both"/>
        <w:ind w:right="180" w:firstLine="348"/>
        <w:spacing w:after="0" w:line="256" w:lineRule="auto"/>
        <w:rPr>
          <w:sz w:val="20"/>
          <w:szCs w:val="20"/>
          <w:color w:val="auto"/>
        </w:rPr>
      </w:pPr>
      <w:r>
        <w:rPr>
          <w:rFonts w:ascii="Arial" w:cs="Arial" w:eastAsia="Arial" w:hAnsi="Arial"/>
          <w:sz w:val="18"/>
          <w:szCs w:val="18"/>
          <w:color w:val="auto"/>
        </w:rPr>
        <w:t>The covenants contained in our indebtedness and any credit agreement governing future debt may significantly restrict our future operations. Furthermore, upon the occurrence of any event of default, our lenders could elect to declare all amounts outstanding under such agreements, together with accrued interest, to be immediately due and payable. If those lenders were to accelerate the payment of those amounts, we may not have sufficient assets to repay those amounts in full.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are also subject to interest rate risk due to our indebtedness at variable interest rates, based on a base rate or LIBOR floor rate plus an applicable margin.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Shifts in interest rates could have a material adverse effect on us.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prepay our indebtedness prior to its stated maturity, which may limit our ability to pursue business opportunities.</w:t>
      </w:r>
    </w:p>
    <w:p>
      <w:pPr>
        <w:spacing w:after="0" w:line="248"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Pursuant to the terms of certain of our indebtedness, in certain instances we are required to prepay outstanding indebtedness prior to its stated maturity date. Specifically, certain non-recurring cash inflows such as proceeds from asset sales, insurance recoveries, and equity offerings may have to be used to pay down indebtedness and may not be reborrowed. These prepayment provisions may limit our ability to utilize this cash flow to pursue business opportunities.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which may result in lawsuits against us and our officers and directors.</w:t>
      </w:r>
    </w:p>
    <w:p>
      <w:pPr>
        <w:spacing w:after="0" w:line="225"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stock market in general and the stock prices of government services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174"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impact of litigation and ongoing government inquiries;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Companies that have experienced volatility in the market price of their stock have frequently been the subject of securities class action litigation. We and certain of our current and former officers and directors have been named defendants in class action and derivative lawsuits. These matters and any other securities class action litigation and derivative lawsuits in which we may be involved could result in substantial costs to us and a diversion of our management's attention and resources, which could materially harm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may deter potential acquirers and may depress our stock price.</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number of our executives have agreements with us that entitle them to payments in certain circumstances following a change in control.</w:t>
      </w:r>
    </w:p>
    <w:p>
      <w:pPr>
        <w:spacing w:after="0" w:line="248"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have a stockholder rights plan which may discourage certain types of transactions involving an actual or potential change in control and may limit our stockholders' ability to approve transactions that they deem to be in their best interests. As a result, these provisions may depress our stock price.</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1"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On March 31, 2009, we issued 1.4 million shares to the former shareholders of Haverstick Consulting, Inc. in payment of the stock portion of the holdback consideration pursuant to the Agreement and Plan of Merger, dated November 2, 2007. These shares were issued without registration under the Securities Act of 1933, as amended (the "Securities Act"), in reliance upon the exemption provided by Section 4(2) under the Securities Act and Regulation D thereunder.</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Item 6.</w:t>
            </w:r>
          </w:p>
        </w:tc>
        <w:tc>
          <w:tcPr>
            <w:tcW w:w="844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Incorporated by</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72"/>
              <w:spacing w:after="0"/>
              <w:rPr>
                <w:sz w:val="20"/>
                <w:szCs w:val="20"/>
                <w:color w:val="auto"/>
              </w:rPr>
            </w:pPr>
            <w:r>
              <w:rPr>
                <w:rFonts w:ascii="Arial" w:cs="Arial" w:eastAsia="Arial" w:hAnsi="Arial"/>
                <w:sz w:val="14"/>
                <w:szCs w:val="14"/>
                <w:b w:val="1"/>
                <w:bCs w:val="1"/>
                <w:color w:val="auto"/>
                <w:w w:val="85"/>
              </w:rPr>
              <w:t>Reference</w:t>
            </w:r>
          </w:p>
        </w:tc>
        <w:tc>
          <w:tcPr>
            <w:tcW w:w="180" w:type="dxa"/>
            <w:vAlign w:val="bottom"/>
          </w:tcPr>
          <w:p>
            <w:pPr>
              <w:spacing w:after="0"/>
              <w:rPr>
                <w:sz w:val="14"/>
                <w:szCs w:val="14"/>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Exhibit</w:t>
            </w:r>
          </w:p>
        </w:tc>
        <w:tc>
          <w:tcPr>
            <w:tcW w:w="23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Filing Date/</w:t>
            </w:r>
          </w:p>
        </w:tc>
        <w:tc>
          <w:tcPr>
            <w:tcW w:w="1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2"/>
              </w:rPr>
              <w:t>Furnished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940" w:type="dxa"/>
            <w:vAlign w:val="bottom"/>
          </w:tcPr>
          <w:p>
            <w:pPr>
              <w:ind w:left="1240"/>
              <w:spacing w:after="0"/>
              <w:rPr>
                <w:sz w:val="20"/>
                <w:szCs w:val="20"/>
                <w:color w:val="auto"/>
              </w:rPr>
            </w:pPr>
            <w:r>
              <w:rPr>
                <w:rFonts w:ascii="Arial" w:cs="Arial" w:eastAsia="Arial" w:hAnsi="Arial"/>
                <w:sz w:val="14"/>
                <w:szCs w:val="14"/>
                <w:b w:val="1"/>
                <w:bCs w:val="1"/>
                <w:color w:val="auto"/>
              </w:rPr>
              <w:t>Exhibit Description</w:t>
            </w:r>
          </w:p>
        </w:tc>
        <w:tc>
          <w:tcPr>
            <w:tcW w:w="16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Form   Period End Date</w:t>
            </w:r>
          </w:p>
        </w:tc>
        <w:tc>
          <w:tcPr>
            <w:tcW w:w="1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w w:val="97"/>
              </w:rPr>
              <w:t>10.1#</w:t>
            </w:r>
          </w:p>
        </w:tc>
        <w:tc>
          <w:tcPr>
            <w:tcW w:w="8280" w:type="dxa"/>
            <w:vAlign w:val="bottom"/>
            <w:gridSpan w:val="2"/>
          </w:tcPr>
          <w:p>
            <w:pPr>
              <w:spacing w:after="0"/>
              <w:rPr>
                <w:sz w:val="20"/>
                <w:szCs w:val="20"/>
                <w:color w:val="auto"/>
              </w:rPr>
            </w:pPr>
            <w:r>
              <w:rPr>
                <w:rFonts w:ascii="Arial" w:cs="Arial" w:eastAsia="Arial" w:hAnsi="Arial"/>
                <w:sz w:val="18"/>
                <w:szCs w:val="18"/>
                <w:color w:val="auto"/>
              </w:rPr>
              <w:t>Employment Agreement dated as of December 31, 2007 between the Company and Howard W. Bates</w:t>
            </w:r>
          </w:p>
        </w:tc>
        <w:tc>
          <w:tcPr>
            <w:tcW w:w="1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660" w:type="dxa"/>
            <w:vAlign w:val="bottom"/>
            <w:gridSpan w:val="3"/>
          </w:tcPr>
          <w:p>
            <w:pPr>
              <w:ind w:left="200"/>
              <w:spacing w:after="0"/>
              <w:rPr>
                <w:sz w:val="20"/>
                <w:szCs w:val="20"/>
                <w:color w:val="auto"/>
              </w:rPr>
            </w:pPr>
            <w:r>
              <w:rPr>
                <w:rFonts w:ascii="Arial" w:cs="Arial" w:eastAsia="Arial" w:hAnsi="Arial"/>
                <w:sz w:val="18"/>
                <w:szCs w:val="18"/>
                <w:color w:val="auto"/>
              </w:rPr>
              <w:t>31.1</w:t>
            </w:r>
          </w:p>
        </w:tc>
        <w:tc>
          <w:tcPr>
            <w:tcW w:w="8440" w:type="dxa"/>
            <w:vAlign w:val="bottom"/>
            <w:gridSpan w:val="3"/>
          </w:tcPr>
          <w:p>
            <w:pPr>
              <w:spacing w:after="0"/>
              <w:rPr>
                <w:sz w:val="20"/>
                <w:szCs w:val="20"/>
                <w:color w:val="auto"/>
              </w:rPr>
            </w:pPr>
            <w:r>
              <w:rPr>
                <w:rFonts w:ascii="Arial" w:cs="Arial" w:eastAsia="Arial" w:hAnsi="Arial"/>
                <w:sz w:val="18"/>
                <w:szCs w:val="18"/>
                <w:color w:val="auto"/>
              </w:rPr>
              <w:t>Certification of Chief Executive Officer pursuant to Section 302 of the Sarbanes Oxley Act of 2002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660" w:type="dxa"/>
            <w:vAlign w:val="bottom"/>
            <w:gridSpan w:val="3"/>
          </w:tcPr>
          <w:p>
            <w:pPr>
              <w:ind w:left="200"/>
              <w:spacing w:after="0"/>
              <w:rPr>
                <w:sz w:val="20"/>
                <w:szCs w:val="20"/>
                <w:color w:val="auto"/>
              </w:rPr>
            </w:pPr>
            <w:r>
              <w:rPr>
                <w:rFonts w:ascii="Arial" w:cs="Arial" w:eastAsia="Arial" w:hAnsi="Arial"/>
                <w:sz w:val="18"/>
                <w:szCs w:val="18"/>
                <w:color w:val="auto"/>
              </w:rPr>
              <w:t>31.2</w:t>
            </w:r>
          </w:p>
        </w:tc>
        <w:tc>
          <w:tcPr>
            <w:tcW w:w="8440" w:type="dxa"/>
            <w:vAlign w:val="bottom"/>
            <w:gridSpan w:val="3"/>
          </w:tcPr>
          <w:p>
            <w:pPr>
              <w:spacing w:after="0"/>
              <w:rPr>
                <w:sz w:val="20"/>
                <w:szCs w:val="20"/>
                <w:color w:val="auto"/>
              </w:rPr>
            </w:pPr>
            <w:r>
              <w:rPr>
                <w:rFonts w:ascii="Arial" w:cs="Arial" w:eastAsia="Arial" w:hAnsi="Arial"/>
                <w:sz w:val="18"/>
                <w:szCs w:val="18"/>
                <w:color w:val="auto"/>
              </w:rPr>
              <w:t>Certification of Chief Financial Officer pursuant to Section 302 of the Sarbanes Oxley Act of 2002</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3"/>
        </w:trPr>
        <w:tc>
          <w:tcPr>
            <w:tcW w:w="660" w:type="dxa"/>
            <w:vAlign w:val="bottom"/>
            <w:gridSpan w:val="3"/>
          </w:tcPr>
          <w:p>
            <w:pPr>
              <w:ind w:left="200"/>
              <w:spacing w:after="0"/>
              <w:rPr>
                <w:sz w:val="20"/>
                <w:szCs w:val="20"/>
                <w:color w:val="auto"/>
              </w:rPr>
            </w:pPr>
            <w:r>
              <w:rPr>
                <w:rFonts w:ascii="Arial" w:cs="Arial" w:eastAsia="Arial" w:hAnsi="Arial"/>
                <w:sz w:val="18"/>
                <w:szCs w:val="18"/>
                <w:color w:val="auto"/>
              </w:rPr>
              <w:t>32.1</w:t>
            </w:r>
          </w:p>
        </w:tc>
        <w:tc>
          <w:tcPr>
            <w:tcW w:w="8440" w:type="dxa"/>
            <w:vAlign w:val="bottom"/>
            <w:gridSpan w:val="3"/>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2002</w:t>
            </w:r>
          </w:p>
        </w:tc>
        <w:tc>
          <w:tcPr>
            <w:tcW w:w="5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60" w:type="dxa"/>
            <w:vAlign w:val="bottom"/>
            <w:gridSpan w:val="3"/>
          </w:tcPr>
          <w:p>
            <w:pPr>
              <w:ind w:left="200"/>
              <w:spacing w:after="0"/>
              <w:rPr>
                <w:sz w:val="20"/>
                <w:szCs w:val="20"/>
                <w:color w:val="auto"/>
              </w:rPr>
            </w:pPr>
            <w:r>
              <w:rPr>
                <w:rFonts w:ascii="Arial" w:cs="Arial" w:eastAsia="Arial" w:hAnsi="Arial"/>
                <w:sz w:val="18"/>
                <w:szCs w:val="18"/>
                <w:color w:val="auto"/>
              </w:rPr>
              <w:t>32.2</w:t>
            </w:r>
          </w:p>
        </w:tc>
        <w:tc>
          <w:tcPr>
            <w:tcW w:w="8440" w:type="dxa"/>
            <w:vAlign w:val="bottom"/>
            <w:gridSpan w:val="3"/>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2002</w:t>
            </w:r>
          </w:p>
        </w:tc>
        <w:tc>
          <w:tcPr>
            <w:tcW w:w="5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5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 required to be filed as an exhibit to this form.</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Filed-Furnished Herewith</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ind w:left="5700"/>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 ERIC M. DEMARCO</w:t>
            </w:r>
          </w:p>
        </w:tc>
      </w:tr>
      <w:tr>
        <w:trPr>
          <w:trHeight w:val="97"/>
        </w:trPr>
        <w:tc>
          <w:tcPr>
            <w:tcW w:w="6280" w:type="dxa"/>
            <w:vAlign w:val="bottom"/>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82"/>
        </w:trPr>
        <w:tc>
          <w:tcPr>
            <w:tcW w:w="6280" w:type="dxa"/>
            <w:vAlign w:val="bottom"/>
          </w:tcPr>
          <w:p>
            <w:pPr>
              <w:spacing w:after="0"/>
              <w:rPr>
                <w:sz w:val="24"/>
                <w:szCs w:val="24"/>
                <w:color w:val="auto"/>
              </w:rPr>
            </w:pPr>
          </w:p>
        </w:tc>
        <w:tc>
          <w:tcPr>
            <w:tcW w:w="5160" w:type="dxa"/>
            <w:vAlign w:val="bottom"/>
            <w:gridSpan w:val="2"/>
          </w:tcPr>
          <w:p>
            <w:pPr>
              <w:jc w:val="center"/>
              <w:spacing w:after="0"/>
              <w:rPr>
                <w:sz w:val="20"/>
                <w:szCs w:val="20"/>
                <w:color w:val="auto"/>
              </w:rPr>
            </w:pPr>
            <w:r>
              <w:rPr>
                <w:rFonts w:ascii="Arial" w:cs="Arial" w:eastAsia="Arial" w:hAnsi="Arial"/>
                <w:sz w:val="18"/>
                <w:szCs w:val="18"/>
                <w:color w:val="auto"/>
                <w:w w:val="92"/>
              </w:rPr>
              <w:t>Eric M. DeMarco</w:t>
            </w:r>
          </w:p>
        </w:tc>
      </w:tr>
      <w:tr>
        <w:trPr>
          <w:trHeight w:val="222"/>
        </w:trPr>
        <w:tc>
          <w:tcPr>
            <w:tcW w:w="6280" w:type="dxa"/>
            <w:vAlign w:val="bottom"/>
          </w:tcPr>
          <w:p>
            <w:pPr>
              <w:spacing w:after="0"/>
              <w:rPr>
                <w:sz w:val="19"/>
                <w:szCs w:val="19"/>
                <w:color w:val="auto"/>
              </w:rPr>
            </w:pPr>
          </w:p>
        </w:tc>
        <w:tc>
          <w:tcPr>
            <w:tcW w:w="516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88"/>
              </w:rPr>
              <w:t>Chief Executive Officer, President</w:t>
            </w:r>
          </w:p>
        </w:tc>
      </w:tr>
      <w:tr>
        <w:trPr>
          <w:trHeight w:val="459"/>
        </w:trPr>
        <w:tc>
          <w:tcPr>
            <w:tcW w:w="6280" w:type="dxa"/>
            <w:vAlign w:val="bottom"/>
          </w:tcPr>
          <w:p>
            <w:pPr>
              <w:ind w:left="5700"/>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 DEANNA H. LUND, CPA</w:t>
            </w:r>
          </w:p>
        </w:tc>
      </w:tr>
      <w:tr>
        <w:trPr>
          <w:trHeight w:val="97"/>
        </w:trPr>
        <w:tc>
          <w:tcPr>
            <w:tcW w:w="6280" w:type="dxa"/>
            <w:vAlign w:val="bottom"/>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82"/>
        </w:trPr>
        <w:tc>
          <w:tcPr>
            <w:tcW w:w="6280" w:type="dxa"/>
            <w:vAlign w:val="bottom"/>
          </w:tcPr>
          <w:p>
            <w:pPr>
              <w:spacing w:after="0"/>
              <w:rPr>
                <w:sz w:val="24"/>
                <w:szCs w:val="24"/>
                <w:color w:val="auto"/>
              </w:rPr>
            </w:pPr>
          </w:p>
        </w:tc>
        <w:tc>
          <w:tcPr>
            <w:tcW w:w="5160" w:type="dxa"/>
            <w:vAlign w:val="bottom"/>
            <w:gridSpan w:val="2"/>
          </w:tcPr>
          <w:p>
            <w:pPr>
              <w:jc w:val="center"/>
              <w:spacing w:after="0"/>
              <w:rPr>
                <w:sz w:val="20"/>
                <w:szCs w:val="20"/>
                <w:color w:val="auto"/>
              </w:rPr>
            </w:pPr>
            <w:r>
              <w:rPr>
                <w:rFonts w:ascii="Arial" w:cs="Arial" w:eastAsia="Arial" w:hAnsi="Arial"/>
                <w:sz w:val="18"/>
                <w:szCs w:val="18"/>
                <w:color w:val="auto"/>
                <w:w w:val="88"/>
              </w:rPr>
              <w:t>Deanna H. Lund</w:t>
            </w:r>
          </w:p>
        </w:tc>
      </w:tr>
      <w:tr>
        <w:trPr>
          <w:trHeight w:val="222"/>
        </w:trPr>
        <w:tc>
          <w:tcPr>
            <w:tcW w:w="6280" w:type="dxa"/>
            <w:vAlign w:val="bottom"/>
          </w:tcPr>
          <w:p>
            <w:pPr>
              <w:spacing w:after="0"/>
              <w:rPr>
                <w:sz w:val="19"/>
                <w:szCs w:val="19"/>
                <w:color w:val="auto"/>
              </w:rPr>
            </w:pPr>
          </w:p>
        </w:tc>
        <w:tc>
          <w:tcPr>
            <w:tcW w:w="516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89"/>
              </w:rPr>
              <w:t>Executive Vice President, Chief Financial Officer</w:t>
            </w:r>
          </w:p>
        </w:tc>
      </w:tr>
      <w:tr>
        <w:trPr>
          <w:trHeight w:val="459"/>
        </w:trPr>
        <w:tc>
          <w:tcPr>
            <w:tcW w:w="6280" w:type="dxa"/>
            <w:vAlign w:val="bottom"/>
          </w:tcPr>
          <w:p>
            <w:pPr>
              <w:ind w:left="5700"/>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jc w:val="center"/>
              <w:spacing w:after="0"/>
              <w:rPr>
                <w:sz w:val="20"/>
                <w:szCs w:val="20"/>
                <w:color w:val="auto"/>
              </w:rPr>
            </w:pPr>
            <w:r>
              <w:rPr>
                <w:rFonts w:ascii="Arial" w:cs="Arial" w:eastAsia="Arial" w:hAnsi="Arial"/>
                <w:sz w:val="18"/>
                <w:szCs w:val="18"/>
                <w:color w:val="auto"/>
                <w:w w:val="96"/>
              </w:rPr>
              <w:t>/s/ LAURA L. SIEGAL</w:t>
            </w:r>
          </w:p>
        </w:tc>
      </w:tr>
      <w:tr>
        <w:trPr>
          <w:trHeight w:val="97"/>
        </w:trPr>
        <w:tc>
          <w:tcPr>
            <w:tcW w:w="6280" w:type="dxa"/>
            <w:vAlign w:val="bottom"/>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82"/>
        </w:trPr>
        <w:tc>
          <w:tcPr>
            <w:tcW w:w="6280" w:type="dxa"/>
            <w:vAlign w:val="bottom"/>
          </w:tcPr>
          <w:p>
            <w:pPr>
              <w:spacing w:after="0"/>
              <w:rPr>
                <w:sz w:val="24"/>
                <w:szCs w:val="24"/>
                <w:color w:val="auto"/>
              </w:rPr>
            </w:pPr>
          </w:p>
        </w:tc>
        <w:tc>
          <w:tcPr>
            <w:tcW w:w="5160" w:type="dxa"/>
            <w:vAlign w:val="bottom"/>
            <w:gridSpan w:val="2"/>
          </w:tcPr>
          <w:p>
            <w:pPr>
              <w:jc w:val="center"/>
              <w:spacing w:after="0"/>
              <w:rPr>
                <w:sz w:val="20"/>
                <w:szCs w:val="20"/>
                <w:color w:val="auto"/>
              </w:rPr>
            </w:pPr>
            <w:r>
              <w:rPr>
                <w:rFonts w:ascii="Arial" w:cs="Arial" w:eastAsia="Arial" w:hAnsi="Arial"/>
                <w:sz w:val="18"/>
                <w:szCs w:val="18"/>
                <w:color w:val="auto"/>
                <w:w w:val="89"/>
              </w:rPr>
              <w:t>Laura L. Siegal</w:t>
            </w:r>
          </w:p>
        </w:tc>
      </w:tr>
      <w:tr>
        <w:trPr>
          <w:trHeight w:val="216"/>
        </w:trPr>
        <w:tc>
          <w:tcPr>
            <w:tcW w:w="6280" w:type="dxa"/>
            <w:vAlign w:val="bottom"/>
          </w:tcPr>
          <w:p>
            <w:pPr>
              <w:spacing w:after="0"/>
              <w:rPr>
                <w:sz w:val="18"/>
                <w:szCs w:val="18"/>
                <w:color w:val="auto"/>
              </w:rPr>
            </w:pPr>
          </w:p>
        </w:tc>
        <w:tc>
          <w:tcPr>
            <w:tcW w:w="5160" w:type="dxa"/>
            <w:vAlign w:val="bottom"/>
            <w:gridSpan w:val="2"/>
          </w:tcPr>
          <w:p>
            <w:pPr>
              <w:jc w:val="center"/>
              <w:spacing w:after="0"/>
              <w:rPr>
                <w:sz w:val="20"/>
                <w:szCs w:val="20"/>
                <w:color w:val="auto"/>
              </w:rPr>
            </w:pPr>
            <w:r>
              <w:rPr>
                <w:rFonts w:ascii="Arial" w:cs="Arial" w:eastAsia="Arial" w:hAnsi="Arial"/>
                <w:sz w:val="18"/>
                <w:szCs w:val="18"/>
                <w:i w:val="1"/>
                <w:iCs w:val="1"/>
                <w:color w:val="auto"/>
                <w:w w:val="90"/>
              </w:rPr>
              <w:t>Vice President, Corporate Controller and</w:t>
            </w:r>
          </w:p>
        </w:tc>
      </w:tr>
      <w:tr>
        <w:trPr>
          <w:trHeight w:val="222"/>
        </w:trPr>
        <w:tc>
          <w:tcPr>
            <w:tcW w:w="6280" w:type="dxa"/>
            <w:vAlign w:val="bottom"/>
          </w:tcPr>
          <w:p>
            <w:pPr>
              <w:spacing w:after="0"/>
              <w:rPr>
                <w:sz w:val="19"/>
                <w:szCs w:val="19"/>
                <w:color w:val="auto"/>
              </w:rPr>
            </w:pPr>
          </w:p>
        </w:tc>
        <w:tc>
          <w:tcPr>
            <w:tcW w:w="516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Principal Accounting Officer</w:t>
            </w: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Date: May 12, 2009</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280" w:type="dxa"/>
            <w:vAlign w:val="bottom"/>
          </w:tcPr>
          <w:p>
            <w:pPr>
              <w:ind w:left="5620"/>
              <w:spacing w:after="0"/>
              <w:rPr>
                <w:sz w:val="20"/>
                <w:szCs w:val="20"/>
                <w:color w:val="auto"/>
              </w:rPr>
            </w:pPr>
            <w:r>
              <w:rPr>
                <w:rFonts w:ascii="Arial" w:cs="Arial" w:eastAsia="Arial" w:hAnsi="Arial"/>
                <w:sz w:val="18"/>
                <w:szCs w:val="18"/>
                <w:color w:val="auto"/>
              </w:rPr>
              <w:t>66</w:t>
            </w: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628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66" w:name="page67"/>
    <w:bookmarkEnd w:id="6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spacing w:after="0"/>
        <w:rPr>
          <w:rFonts w:ascii="Arial" w:cs="Arial" w:eastAsia="Arial" w:hAnsi="Arial"/>
          <w:sz w:val="22"/>
          <w:szCs w:val="22"/>
          <w:color w:val="0000EE"/>
        </w:rPr>
      </w:pPr>
      <w:hyperlink w:anchor="page7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EMPLOYMENT AGREEMENT</w:t>
      </w:r>
    </w:p>
    <w:p>
      <w:pPr>
        <w:spacing w:after="0" w:line="232" w:lineRule="exact"/>
        <w:rPr>
          <w:sz w:val="20"/>
          <w:szCs w:val="20"/>
          <w:color w:val="auto"/>
        </w:rPr>
      </w:pPr>
    </w:p>
    <w:p>
      <w:pPr>
        <w:ind w:firstLine="348"/>
        <w:spacing w:after="0" w:line="212"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this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December, 2007, by and between, </w:t>
      </w:r>
      <w:r>
        <w:rPr>
          <w:rFonts w:ascii="Arial" w:cs="Arial" w:eastAsia="Arial" w:hAnsi="Arial"/>
          <w:sz w:val="18"/>
          <w:szCs w:val="18"/>
          <w:b w:val="1"/>
          <w:bCs w:val="1"/>
          <w:color w:val="auto"/>
        </w:rPr>
        <w:t>Haverstick Consulting, Inc</w:t>
      </w:r>
      <w:r>
        <w:rPr>
          <w:rFonts w:ascii="Arial" w:cs="Arial" w:eastAsia="Arial" w:hAnsi="Arial"/>
          <w:sz w:val="18"/>
          <w:szCs w:val="18"/>
          <w:color w:val="auto"/>
        </w:rPr>
        <w:t>., an Indiana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Howard W. Bates</w:t>
      </w:r>
      <w:r>
        <w:rPr>
          <w:rFonts w:ascii="Arial" w:cs="Arial" w:eastAsia="Arial" w:hAnsi="Arial"/>
          <w:sz w:val="18"/>
          <w:szCs w:val="18"/>
          <w:color w:val="auto"/>
        </w:rPr>
        <w:t>, an Indiana resident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04" w:lineRule="exact"/>
        <w:rPr>
          <w:sz w:val="20"/>
          <w:szCs w:val="20"/>
          <w:color w:val="auto"/>
        </w:rPr>
      </w:pPr>
    </w:p>
    <w:p>
      <w:pPr>
        <w:jc w:val="both"/>
        <w:ind w:right="320" w:firstLine="348"/>
        <w:spacing w:after="0" w:line="310" w:lineRule="auto"/>
        <w:rPr>
          <w:sz w:val="20"/>
          <w:szCs w:val="20"/>
          <w:color w:val="auto"/>
        </w:rPr>
      </w:pPr>
      <w:r>
        <w:rPr>
          <w:rFonts w:ascii="Arial" w:cs="Arial" w:eastAsia="Arial" w:hAnsi="Arial"/>
          <w:sz w:val="16"/>
          <w:szCs w:val="16"/>
          <w:color w:val="auto"/>
        </w:rPr>
        <w:t>WHEREAS, the Company and Kratos Defense &amp; Security Solutions, Inc., a Delaware corporation ("</w:t>
      </w:r>
      <w:r>
        <w:rPr>
          <w:rFonts w:ascii="Arial" w:cs="Arial" w:eastAsia="Arial" w:hAnsi="Arial"/>
          <w:sz w:val="16"/>
          <w:szCs w:val="16"/>
          <w:b w:val="1"/>
          <w:bCs w:val="1"/>
          <w:color w:val="auto"/>
        </w:rPr>
        <w:t>Kratos</w:t>
      </w:r>
      <w:r>
        <w:rPr>
          <w:rFonts w:ascii="Arial" w:cs="Arial" w:eastAsia="Arial" w:hAnsi="Arial"/>
          <w:sz w:val="16"/>
          <w:szCs w:val="16"/>
          <w:color w:val="auto"/>
        </w:rPr>
        <w:t>"), and Kratos Government Solutions, Inc., a wholly owned subsidiary of Kratos ("</w:t>
      </w:r>
      <w:r>
        <w:rPr>
          <w:rFonts w:ascii="Arial" w:cs="Arial" w:eastAsia="Arial" w:hAnsi="Arial"/>
          <w:sz w:val="16"/>
          <w:szCs w:val="16"/>
          <w:b w:val="1"/>
          <w:bCs w:val="1"/>
          <w:color w:val="auto"/>
        </w:rPr>
        <w:t>KGS</w:t>
      </w:r>
      <w:r>
        <w:rPr>
          <w:rFonts w:ascii="Arial" w:cs="Arial" w:eastAsia="Arial" w:hAnsi="Arial"/>
          <w:sz w:val="16"/>
          <w:szCs w:val="16"/>
          <w:color w:val="auto"/>
        </w:rPr>
        <w:t>"), have entered into a Merger Agreement dated November 2, 2007 (the "</w:t>
      </w:r>
      <w:r>
        <w:rPr>
          <w:rFonts w:ascii="Arial" w:cs="Arial" w:eastAsia="Arial" w:hAnsi="Arial"/>
          <w:sz w:val="16"/>
          <w:szCs w:val="16"/>
          <w:b w:val="1"/>
          <w:bCs w:val="1"/>
          <w:color w:val="auto"/>
        </w:rPr>
        <w:t>Merger Agreement</w:t>
      </w:r>
      <w:r>
        <w:rPr>
          <w:rFonts w:ascii="Arial" w:cs="Arial" w:eastAsia="Arial" w:hAnsi="Arial"/>
          <w:sz w:val="16"/>
          <w:szCs w:val="16"/>
          <w:color w:val="auto"/>
        </w:rPr>
        <w:t>") whereby a wholly-owned newly-formed merger subsidiary of KGS is being merged with and into the Company, with the Company being the surviving corporation;</w:t>
      </w:r>
    </w:p>
    <w:p>
      <w:pPr>
        <w:spacing w:after="0" w:line="157"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WHEREAS, Executive has been a shareholder and key employee of the Company for many years and is intimately familiar with the Company and its business; and</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WHEREAS, the Company desires that Executive continue to provide services for the benefit of the Company and Executive desires to accept such continued employment with the Company; and</w:t>
      </w:r>
    </w:p>
    <w:p>
      <w:pPr>
        <w:spacing w:after="0" w:line="186"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WHEREAS, the execution and delivery of this Agreement is a condition precedent to Kratos', KGS' and the Company's obligations under the Merger Agreement;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upon consummation of the transactions contemplated by the Merger Agreement the Company will be a wholly-owned subsidiary of KGS.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in consideration of the recitals, the employment of Executive by the Company, and the promises and covenants stated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agree as follows:</w:t>
      </w:r>
    </w:p>
    <w:p>
      <w:pPr>
        <w:spacing w:after="0" w:line="219" w:lineRule="exact"/>
        <w:rPr>
          <w:sz w:val="20"/>
          <w:szCs w:val="20"/>
          <w:color w:val="auto"/>
        </w:rPr>
      </w:pPr>
    </w:p>
    <w:p>
      <w:pPr>
        <w:ind w:right="320" w:firstLine="359"/>
        <w:spacing w:after="0" w:line="332" w:lineRule="auto"/>
        <w:tabs>
          <w:tab w:leader="none" w:pos="702"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Employment. </w:t>
      </w:r>
      <w:r>
        <w:rPr>
          <w:rFonts w:ascii="Arial" w:cs="Arial" w:eastAsia="Arial" w:hAnsi="Arial"/>
          <w:sz w:val="16"/>
          <w:szCs w:val="16"/>
          <w:color w:val="auto"/>
        </w:rPr>
        <w:t>The Company shall employ Executive as President of the Company, such position being the president of a subsidiary of Kratos,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hereby accepts such employment by the Company subject to the terms and conditions of this Agreement.</w:t>
      </w:r>
    </w:p>
    <w:p>
      <w:pPr>
        <w:spacing w:after="0" w:line="133" w:lineRule="exact"/>
        <w:rPr>
          <w:rFonts w:ascii="Arial" w:cs="Arial" w:eastAsia="Arial" w:hAnsi="Arial"/>
          <w:sz w:val="16"/>
          <w:szCs w:val="16"/>
          <w:color w:val="auto"/>
        </w:rPr>
      </w:pPr>
    </w:p>
    <w:p>
      <w:pPr>
        <w:ind w:left="720" w:hanging="361"/>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Duties</w:t>
      </w:r>
      <w:r>
        <w:rPr>
          <w:rFonts w:ascii="Arial" w:cs="Arial" w:eastAsia="Arial" w:hAnsi="Arial"/>
          <w:sz w:val="18"/>
          <w:szCs w:val="18"/>
          <w:b w:val="1"/>
          <w:bCs w:val="1"/>
          <w:color w:val="auto"/>
        </w:rPr>
        <w:t>.</w:t>
      </w:r>
    </w:p>
    <w:p>
      <w:pPr>
        <w:spacing w:after="0" w:line="231" w:lineRule="exact"/>
        <w:rPr>
          <w:rFonts w:ascii="Arial" w:cs="Arial" w:eastAsia="Arial" w:hAnsi="Arial"/>
          <w:sz w:val="18"/>
          <w:szCs w:val="18"/>
          <w:color w:val="auto"/>
        </w:rPr>
      </w:pPr>
    </w:p>
    <w:p>
      <w:pPr>
        <w:ind w:left="540" w:right="80" w:firstLine="359"/>
        <w:spacing w:after="0" w:line="286" w:lineRule="auto"/>
        <w:tabs>
          <w:tab w:leader="none" w:pos="12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Executive shall report to, and shall have the powers, authority and duties assigned by, the President and CEO of Kratos and CEO of the Company (the "</w:t>
      </w:r>
      <w:r>
        <w:rPr>
          <w:rFonts w:ascii="Arial" w:cs="Arial" w:eastAsia="Arial" w:hAnsi="Arial"/>
          <w:sz w:val="16"/>
          <w:szCs w:val="16"/>
          <w:b w:val="1"/>
          <w:bCs w:val="1"/>
          <w:color w:val="auto"/>
        </w:rPr>
        <w:t>CEO</w:t>
      </w:r>
      <w:r>
        <w:rPr>
          <w:rFonts w:ascii="Arial" w:cs="Arial" w:eastAsia="Arial" w:hAnsi="Arial"/>
          <w:sz w:val="16"/>
          <w:szCs w:val="16"/>
          <w:color w:val="auto"/>
        </w:rPr>
        <w:t>"). It is understood by Executive and agreed by the Company, that such powers, authority and duties of the Executive as President of the Company shall always be consistent with those which are customary for, commensurate with, or necessary to the position of President of a subsidiary of a public company, or as that position is modified per Section 2(c) below. Throughout the Term (as defined in Section 3), Executive shall: (i) devote the Executive's business effort, time, energy and skill to the duties of Executive's employment hereunder; (ii) faithfully, loyally, and industriously perform such duties; and (iii) diligently follow and implement the lawful management policies and decisions of the Board or the CEO that are communicated to Executive. During the Term, Executive shall not be engaged during normal business hours in any other business or professional activity, whether or not such activity is pursued for gain, profit or other pecuniary advantage; provided, however, that Executive may (i) serve on religious, industry, civic or charitable boards or committees, (ii) deliver lectures, fulfill speaking engagements and teach at educational institutions, (iii) devote time to his personal and family matters (including without limitation his and their investments and business affairs), or (iv) serve, with the approval of the CEO, which approval shall not be unreasonably withheld, on the boards of directors of non-competitive businesses, so long as such activities do not interfere with the performance of Executive's responsibilities as an employee of the Company in accordance with this Agreement.</w:t>
      </w:r>
    </w:p>
    <w:p>
      <w:pPr>
        <w:spacing w:after="0" w:line="178" w:lineRule="exact"/>
        <w:rPr>
          <w:rFonts w:ascii="Arial" w:cs="Arial" w:eastAsia="Arial" w:hAnsi="Arial"/>
          <w:sz w:val="16"/>
          <w:szCs w:val="16"/>
          <w:color w:val="auto"/>
        </w:rPr>
      </w:pPr>
    </w:p>
    <w:p>
      <w:pPr>
        <w:ind w:left="540" w:right="80" w:firstLine="359"/>
        <w:spacing w:after="0" w:line="259" w:lineRule="auto"/>
        <w:tabs>
          <w:tab w:leader="none" w:pos="122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Executive shall maintain his office at the Company's corporate offices located in Indianapolis, Indiana, from which his services to the Company shall be rendered. Executive may be required to relocate from such office but shall not be required to relocate to a site outside of the area represented by Marion County, Indiana, and the counties contiguous to Marion 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8" w:name="page69"/>
    <w:bookmarkEnd w:id="68"/>
    <w:p>
      <w:pPr>
        <w:ind w:left="520" w:right="20"/>
        <w:spacing w:after="0" w:line="259" w:lineRule="auto"/>
        <w:rPr>
          <w:sz w:val="20"/>
          <w:szCs w:val="20"/>
          <w:color w:val="auto"/>
        </w:rPr>
      </w:pPr>
      <w:r>
        <w:rPr>
          <w:rFonts w:ascii="Arial" w:cs="Arial" w:eastAsia="Arial" w:hAnsi="Arial"/>
          <w:sz w:val="18"/>
          <w:szCs w:val="18"/>
          <w:color w:val="auto"/>
        </w:rPr>
        <w:t>Indiana, without (i) the prior written consent of Executive and (ii) a comprehensive relocation package. Notwithstanding the foregoing, Executive shall be required to travel from time to time in accordance with the past practices of Executive as shall be reasonably required for the fulfillment of his duties hereunder.</w:t>
      </w:r>
    </w:p>
    <w:p>
      <w:pPr>
        <w:spacing w:after="0" w:line="194" w:lineRule="exact"/>
        <w:rPr>
          <w:sz w:val="20"/>
          <w:szCs w:val="20"/>
          <w:color w:val="auto"/>
        </w:rPr>
      </w:pPr>
    </w:p>
    <w:p>
      <w:pPr>
        <w:ind w:left="520" w:right="260" w:firstLine="359"/>
        <w:spacing w:after="0" w:line="254" w:lineRule="auto"/>
        <w:tabs>
          <w:tab w:leader="none" w:pos="11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It is understood by Executive that it may be in the best interests of Kratos to reorganize its various business units from time to time. Provided that in any such reorganization the position of the Executive is maintained reasonably equivalent to his position as a president of the Company as subsidiary, there shall be no breach of this Section 2. For example, Kratos may combine all business units into one corporate entity and dissolve the subsidiary corporations, in which case the presidents of the subsidiaries will then be named as presidents of divisions or sectors. The term "reasonably equivalent" shall include the title, powers, authority, duties, responsibilities, bonus potential, base salary, business unit size and other appropriate measures.</w:t>
      </w:r>
    </w:p>
    <w:p>
      <w:pPr>
        <w:spacing w:after="0" w:line="198" w:lineRule="exact"/>
        <w:rPr>
          <w:rFonts w:ascii="Arial" w:cs="Arial" w:eastAsia="Arial" w:hAnsi="Arial"/>
          <w:sz w:val="18"/>
          <w:szCs w:val="18"/>
          <w:color w:val="auto"/>
        </w:rPr>
      </w:pPr>
    </w:p>
    <w:p>
      <w:pPr>
        <w:ind w:left="-20" w:right="200" w:firstLine="359"/>
        <w:spacing w:after="0" w:line="256" w:lineRule="auto"/>
        <w:tabs>
          <w:tab w:leader="none" w:pos="682"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w:t>
      </w:r>
      <w:r>
        <w:rPr>
          <w:rFonts w:ascii="Arial" w:cs="Arial" w:eastAsia="Arial" w:hAnsi="Arial"/>
          <w:sz w:val="18"/>
          <w:szCs w:val="18"/>
          <w:color w:val="auto"/>
        </w:rPr>
        <w:t>Subject to early termination pursuant to Section 5 hereof, the term of Executive's employment with the Company under this Agreement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commence as of the close of business on December 31, 2007 (the "</w:t>
      </w:r>
      <w:r>
        <w:rPr>
          <w:rFonts w:ascii="Arial" w:cs="Arial" w:eastAsia="Arial" w:hAnsi="Arial"/>
          <w:sz w:val="18"/>
          <w:szCs w:val="18"/>
          <w:b w:val="1"/>
          <w:bCs w:val="1"/>
          <w:color w:val="auto"/>
        </w:rPr>
        <w:t>Commencement Date</w:t>
      </w:r>
      <w:r>
        <w:rPr>
          <w:rFonts w:ascii="Arial" w:cs="Arial" w:eastAsia="Arial" w:hAnsi="Arial"/>
          <w:sz w:val="18"/>
          <w:szCs w:val="18"/>
          <w:color w:val="auto"/>
        </w:rPr>
        <w:t>") and shall end on December 31, 2010 (the "</w:t>
      </w:r>
      <w:r>
        <w:rPr>
          <w:rFonts w:ascii="Arial" w:cs="Arial" w:eastAsia="Arial" w:hAnsi="Arial"/>
          <w:sz w:val="18"/>
          <w:szCs w:val="18"/>
          <w:b w:val="1"/>
          <w:bCs w:val="1"/>
          <w:color w:val="auto"/>
        </w:rPr>
        <w:t>Term</w:t>
      </w:r>
      <w:r>
        <w:rPr>
          <w:rFonts w:ascii="Arial" w:cs="Arial" w:eastAsia="Arial" w:hAnsi="Arial"/>
          <w:sz w:val="18"/>
          <w:szCs w:val="18"/>
          <w:color w:val="auto"/>
        </w:rPr>
        <w:t>"). The Company and the Executive agree that they shall have the option to renew this Agreement for subsequent terms. The CEO and Executive shall discuss the renewal of this Agreement on or about January 15, 2010.</w:t>
      </w:r>
    </w:p>
    <w:p>
      <w:pPr>
        <w:spacing w:after="0" w:line="197" w:lineRule="exact"/>
        <w:rPr>
          <w:rFonts w:ascii="Arial" w:cs="Arial" w:eastAsia="Arial" w:hAnsi="Arial"/>
          <w:sz w:val="18"/>
          <w:szCs w:val="18"/>
          <w:color w:val="auto"/>
        </w:rPr>
      </w:pPr>
    </w:p>
    <w:p>
      <w:pPr>
        <w:ind w:left="-20" w:right="120" w:firstLine="359"/>
        <w:spacing w:after="0" w:line="256" w:lineRule="auto"/>
        <w:tabs>
          <w:tab w:leader="none" w:pos="682"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w:t>
      </w:r>
      <w:r>
        <w:rPr>
          <w:rFonts w:ascii="Arial" w:cs="Arial" w:eastAsia="Arial" w:hAnsi="Arial"/>
          <w:sz w:val="18"/>
          <w:szCs w:val="18"/>
          <w:color w:val="auto"/>
        </w:rPr>
        <w:t>During the Term, Executive shall be entitled to the compensation and benefits set forth in this Section. The payment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hereunder shall be subject to applicable withholding and payroll taxes, and such other deductions as may be required under the employee benefit plans of the Company and/or its affiliates, and shall be paid in accordance with the normal payroll and incentive administration practices of the Company and/or its affiliates as they may exist from time to time, but not less frequently than monthly.</w:t>
      </w:r>
    </w:p>
    <w:p>
      <w:pPr>
        <w:spacing w:after="0" w:line="191" w:lineRule="exact"/>
        <w:rPr>
          <w:rFonts w:ascii="Arial" w:cs="Arial" w:eastAsia="Arial" w:hAnsi="Arial"/>
          <w:sz w:val="18"/>
          <w:szCs w:val="18"/>
          <w:color w:val="auto"/>
        </w:rPr>
      </w:pPr>
    </w:p>
    <w:p>
      <w:pPr>
        <w:ind w:left="520" w:right="80" w:firstLine="359"/>
        <w:spacing w:after="0" w:line="262" w:lineRule="auto"/>
        <w:tabs>
          <w:tab w:leader="none" w:pos="1198"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Salary</w:t>
      </w:r>
      <w:r>
        <w:rPr>
          <w:rFonts w:ascii="Arial" w:cs="Arial" w:eastAsia="Arial" w:hAnsi="Arial"/>
          <w:sz w:val="18"/>
          <w:szCs w:val="18"/>
          <w:color w:val="auto"/>
        </w:rPr>
        <w:t>. The Company shall pay Executive an annual salary of not less than $250,000 (the "</w:t>
      </w:r>
      <w:r>
        <w:rPr>
          <w:rFonts w:ascii="Arial" w:cs="Arial" w:eastAsia="Arial" w:hAnsi="Arial"/>
          <w:sz w:val="18"/>
          <w:szCs w:val="18"/>
          <w:b w:val="1"/>
          <w:bCs w:val="1"/>
          <w:color w:val="auto"/>
        </w:rPr>
        <w:t>Salary</w:t>
      </w:r>
      <w:r>
        <w:rPr>
          <w:rFonts w:ascii="Arial" w:cs="Arial" w:eastAsia="Arial" w:hAnsi="Arial"/>
          <w:sz w:val="18"/>
          <w:szCs w:val="18"/>
          <w:color w:val="auto"/>
        </w:rPr>
        <w:t>"). Commencing in the first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2009, Executive shall receive an annual performance and salary review, with any corresponding increase in the Salary to be determined by the Compensation Committee of the Board of Directors of Kratos, in its sole discretion.</w:t>
      </w:r>
    </w:p>
    <w:p>
      <w:pPr>
        <w:spacing w:after="0" w:line="192" w:lineRule="exact"/>
        <w:rPr>
          <w:rFonts w:ascii="Arial" w:cs="Arial" w:eastAsia="Arial" w:hAnsi="Arial"/>
          <w:sz w:val="18"/>
          <w:szCs w:val="18"/>
          <w:color w:val="auto"/>
        </w:rPr>
      </w:pPr>
    </w:p>
    <w:p>
      <w:pPr>
        <w:ind w:left="520" w:firstLine="359"/>
        <w:spacing w:after="0" w:line="286" w:lineRule="auto"/>
        <w:tabs>
          <w:tab w:leader="none" w:pos="1208"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Annual Bonus</w:t>
      </w:r>
      <w:r>
        <w:rPr>
          <w:rFonts w:ascii="Arial" w:cs="Arial" w:eastAsia="Arial" w:hAnsi="Arial"/>
          <w:sz w:val="16"/>
          <w:szCs w:val="16"/>
          <w:color w:val="auto"/>
        </w:rPr>
        <w:t>. For each of the three fiscal years of the Company commencing January 1, 2008, January 1, 2009, January 1, 2010,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shall be eligible to earn an annual bonus (the "</w:t>
      </w:r>
      <w:r>
        <w:rPr>
          <w:rFonts w:ascii="Arial" w:cs="Arial" w:eastAsia="Arial" w:hAnsi="Arial"/>
          <w:sz w:val="16"/>
          <w:szCs w:val="16"/>
          <w:b w:val="1"/>
          <w:bCs w:val="1"/>
          <w:color w:val="auto"/>
        </w:rPr>
        <w:t>Bonus</w:t>
      </w:r>
      <w:r>
        <w:rPr>
          <w:rFonts w:ascii="Arial" w:cs="Arial" w:eastAsia="Arial" w:hAnsi="Arial"/>
          <w:sz w:val="16"/>
          <w:szCs w:val="16"/>
          <w:color w:val="auto"/>
        </w:rPr>
        <w:t>") up to an amount equal to the Salary. As a president of a subsidiary, he will be eligible to earn up to fifty percent (50%) of his salary for making the revenue and profit numbers in his annual operating plan ("AOP"). If the Company exceeds revenue and profit numbers in the AOP by specific targets, Executive shall be eligible to earn up to an aggregate amount equal to his Salary. At or about the beginning of each fiscal year, the CEO shall present the Executive with his bonus target criteria ("Bonus Letter"), which shall be tied to the Company's AOP and other factors used by Kratos with all operating units. Except as otherwise provided in Section 6(b), in the event that the Executive is employed by the Company only a portion of a fiscal year, the Bonus shall be calculated to reflect the portion of such fiscal year for which the Executive was employed by the Company under this Agreement, and tied to the above described performance criteria through the portion of the fiscal year completed. Within one hundred twenty (120) days after the end of each fiscal year for which a Bonus may be payable hereunder, the Company shall determine from its financial records and/or financial statements whether or not a Bonus has been earned and the amount of any Bonus payable. Any Bonus shall be paid to Executive at the same time as bonuses are paid generally to other officers of Kratos.</w:t>
      </w:r>
    </w:p>
    <w:p>
      <w:pPr>
        <w:spacing w:after="0" w:line="181" w:lineRule="exact"/>
        <w:rPr>
          <w:rFonts w:ascii="Arial" w:cs="Arial" w:eastAsia="Arial" w:hAnsi="Arial"/>
          <w:sz w:val="16"/>
          <w:szCs w:val="16"/>
          <w:color w:val="auto"/>
        </w:rPr>
      </w:pPr>
    </w:p>
    <w:p>
      <w:pPr>
        <w:ind w:left="520" w:right="160" w:firstLine="359"/>
        <w:spacing w:after="0" w:line="332" w:lineRule="auto"/>
        <w:tabs>
          <w:tab w:leader="none" w:pos="1198"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Expense Reimbursement</w:t>
      </w:r>
      <w:r>
        <w:rPr>
          <w:rFonts w:ascii="Arial" w:cs="Arial" w:eastAsia="Arial" w:hAnsi="Arial"/>
          <w:sz w:val="16"/>
          <w:szCs w:val="16"/>
          <w:color w:val="auto"/>
        </w:rPr>
        <w:t>. Executive will be entitled to prompt reimbursement for all necessary and reasonable business expenses incurred by</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in connection with the business of the Company, subject to Executive's compliance with expense reimbursement policies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90" w:right="25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established by the Company and/or its affiliates from time to time and in sufficient detail to comply with Internal Revenue Service regulations.</w:t>
      </w:r>
    </w:p>
    <w:p>
      <w:pPr>
        <w:spacing w:after="0" w:line="248" w:lineRule="exact"/>
        <w:rPr>
          <w:sz w:val="20"/>
          <w:szCs w:val="20"/>
          <w:color w:val="auto"/>
        </w:rPr>
      </w:pPr>
    </w:p>
    <w:p>
      <w:pPr>
        <w:ind w:right="200" w:firstLine="359"/>
        <w:spacing w:after="0" w:line="259" w:lineRule="auto"/>
        <w:tabs>
          <w:tab w:leader="none" w:pos="68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Retirement Plans</w:t>
      </w:r>
      <w:r>
        <w:rPr>
          <w:rFonts w:ascii="Arial" w:cs="Arial" w:eastAsia="Arial" w:hAnsi="Arial"/>
          <w:sz w:val="18"/>
          <w:szCs w:val="18"/>
          <w:color w:val="auto"/>
        </w:rPr>
        <w:t>. Executive shall be eligible to participate in all present and future pension benefit and retirement plans, practices,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programs established or maintained by the Company and/or its affiliates from time to time to the extent applicable generally to executive officers of the Company and/or its affiliates with the same years of service.</w:t>
      </w:r>
    </w:p>
    <w:p>
      <w:pPr>
        <w:spacing w:after="0" w:line="194" w:lineRule="exact"/>
        <w:rPr>
          <w:rFonts w:ascii="Arial" w:cs="Arial" w:eastAsia="Arial" w:hAnsi="Arial"/>
          <w:sz w:val="18"/>
          <w:szCs w:val="18"/>
          <w:color w:val="auto"/>
        </w:rPr>
      </w:pPr>
    </w:p>
    <w:p>
      <w:pPr>
        <w:ind w:right="120" w:firstLine="359"/>
        <w:spacing w:after="0" w:line="287" w:lineRule="auto"/>
        <w:tabs>
          <w:tab w:leader="none" w:pos="678"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Welfare Benefit Plans. </w:t>
      </w:r>
      <w:r>
        <w:rPr>
          <w:rFonts w:ascii="Arial" w:cs="Arial" w:eastAsia="Arial" w:hAnsi="Arial"/>
          <w:sz w:val="16"/>
          <w:szCs w:val="16"/>
          <w:color w:val="auto"/>
        </w:rPr>
        <w:t>Executive and/or Executive's family, as the case may be, shall be eligible to participate in any present and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welfare, fringe, and other similar benefit plans, including, without limitation, participation in any hospitalization, major medical, disability and group life insurance plans, if any, practices, policies and programs established or maintained by the Company and/or its affiliates from time to time to the extent applicable generally to executive officers of the Company and/or its affiliates with the same years of service. Notwithstanding, and in addition to, the foregoing, the Executive shall be entitled to the following: (i) payment by the Company of 100 percent of the premiums at Commencement Date for disability insurance coverage not less than the coverage as of the Commencement Date, (ii) payment by the Company of 100 percent of the premiums at Commencement Date for family coverage for medical insurance, dental insurance and other ancillary insurance and plan benefits with coverage not less than the coverage as of the Commencement Date, and (iii) payment by the Company of all charges, costs, expenses and premiums at Commencement Date related to Priority Access medical service. Any premium increases in these above listed benefits from the premiums paid at Commencement Date, shall be borne by Executive, unless approved by the Compensation Committee of the Board of Directors of Kratos.</w:t>
      </w:r>
    </w:p>
    <w:p>
      <w:pPr>
        <w:spacing w:after="0" w:line="176" w:lineRule="exact"/>
        <w:rPr>
          <w:rFonts w:ascii="Arial" w:cs="Arial" w:eastAsia="Arial" w:hAnsi="Arial"/>
          <w:sz w:val="16"/>
          <w:szCs w:val="16"/>
          <w:color w:val="auto"/>
        </w:rPr>
      </w:pPr>
    </w:p>
    <w:p>
      <w:pPr>
        <w:ind w:right="100" w:firstLine="359"/>
        <w:spacing w:after="0" w:line="370" w:lineRule="auto"/>
        <w:tabs>
          <w:tab w:leader="none" w:pos="702"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Equity Plans</w:t>
      </w:r>
      <w:r>
        <w:rPr>
          <w:rFonts w:ascii="Arial" w:cs="Arial" w:eastAsia="Arial" w:hAnsi="Arial"/>
          <w:sz w:val="15"/>
          <w:szCs w:val="15"/>
          <w:color w:val="auto"/>
        </w:rPr>
        <w:t>. Commencing with the fiscal year beginning January 1, 2008, Executive shall be eligible to participate in all present and future</w:t>
      </w:r>
      <w:r>
        <w:rPr>
          <w:rFonts w:ascii="Arial" w:cs="Arial" w:eastAsia="Arial" w:hAnsi="Arial"/>
          <w:sz w:val="15"/>
          <w:szCs w:val="15"/>
          <w:i w:val="1"/>
          <w:iCs w:val="1"/>
          <w:color w:val="auto"/>
        </w:rPr>
        <w:t xml:space="preserve"> </w:t>
      </w:r>
      <w:r>
        <w:rPr>
          <w:rFonts w:ascii="Arial" w:cs="Arial" w:eastAsia="Arial" w:hAnsi="Arial"/>
          <w:sz w:val="15"/>
          <w:szCs w:val="15"/>
          <w:color w:val="auto"/>
        </w:rPr>
        <w:t>equity incentive plans established by the Kratos to the same extent applicable generally to executive officers of the Kratos with the same years of service.</w:t>
      </w:r>
    </w:p>
    <w:p>
      <w:pPr>
        <w:spacing w:after="0" w:line="116" w:lineRule="exact"/>
        <w:rPr>
          <w:rFonts w:ascii="Arial" w:cs="Arial" w:eastAsia="Arial" w:hAnsi="Arial"/>
          <w:sz w:val="15"/>
          <w:szCs w:val="15"/>
          <w:color w:val="auto"/>
        </w:rPr>
      </w:pPr>
    </w:p>
    <w:p>
      <w:pPr>
        <w:ind w:right="80" w:firstLine="359"/>
        <w:spacing w:after="0" w:line="294" w:lineRule="auto"/>
        <w:tabs>
          <w:tab w:leader="none" w:pos="688"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Paid Time Off</w:t>
      </w:r>
      <w:r>
        <w:rPr>
          <w:rFonts w:ascii="Arial" w:cs="Arial" w:eastAsia="Arial" w:hAnsi="Arial"/>
          <w:sz w:val="16"/>
          <w:szCs w:val="16"/>
          <w:color w:val="auto"/>
        </w:rPr>
        <w:t>. Executive shall be eligible for no less than that amount of paid time off during the Term established by the Company and/or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from time to time as is provided to employees who are executive officers of the Company and/or its affiliates with the same years of service; provided, however, that Executive shall be entitled to at least six weeks of paid time off with pay each year and Executive shall be entitled to carry over such unused paid time off as is consistent with the policies of Kratos. Upon expiration of the Term or earlier termination of the Executive's employment with the Company, the Executive shall be paid for all unused paid time off.</w:t>
      </w:r>
    </w:p>
    <w:p>
      <w:pPr>
        <w:spacing w:after="0" w:line="169" w:lineRule="exact"/>
        <w:rPr>
          <w:rFonts w:ascii="Arial" w:cs="Arial" w:eastAsia="Arial" w:hAnsi="Arial"/>
          <w:sz w:val="16"/>
          <w:szCs w:val="16"/>
          <w:color w:val="auto"/>
        </w:rPr>
      </w:pPr>
    </w:p>
    <w:p>
      <w:pPr>
        <w:ind w:firstLine="359"/>
        <w:spacing w:after="0" w:line="254" w:lineRule="auto"/>
        <w:tabs>
          <w:tab w:leader="none" w:pos="68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Effective on December 28, 2007, Executive shall be awarded 75,000 Restricted Stock Units ("RSUs) related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Kratos pursuant to the terms of the Restricted Stock Unit Agreement attached hereto as Exhibit A (the "</w:t>
      </w:r>
      <w:r>
        <w:rPr>
          <w:rFonts w:ascii="Arial" w:cs="Arial" w:eastAsia="Arial" w:hAnsi="Arial"/>
          <w:sz w:val="18"/>
          <w:szCs w:val="18"/>
          <w:b w:val="1"/>
          <w:bCs w:val="1"/>
          <w:color w:val="auto"/>
        </w:rPr>
        <w:t>Restricted Stock Unit Agreement</w:t>
      </w:r>
      <w:r>
        <w:rPr>
          <w:rFonts w:ascii="Arial" w:cs="Arial" w:eastAsia="Arial" w:hAnsi="Arial"/>
          <w:sz w:val="18"/>
          <w:szCs w:val="18"/>
          <w:color w:val="auto"/>
        </w:rPr>
        <w:t>"). The restrictions on such RSUs shall lapse at the rate of 25 percent per year over four years with the first such vesting occurring on the first anniversary of the date of this Agreement; provided, however, that (i) in the event of the termination of Executive's employment pursuant to Section 5(b), or (ii) in the event of a "Change of Control" (as such term is defined in the Restricted Stock Agreement), or (iii) in the event of the expiration of the Term on December 31, 2010, such restrictions shall lapse immediately.</w:t>
      </w:r>
    </w:p>
    <w:p>
      <w:pPr>
        <w:spacing w:after="0" w:line="198" w:lineRule="exact"/>
        <w:rPr>
          <w:rFonts w:ascii="Arial" w:cs="Arial" w:eastAsia="Arial" w:hAnsi="Arial"/>
          <w:sz w:val="18"/>
          <w:szCs w:val="18"/>
          <w:color w:val="auto"/>
        </w:rPr>
      </w:pPr>
    </w:p>
    <w:p>
      <w:pPr>
        <w:ind w:right="620" w:firstLine="359"/>
        <w:spacing w:after="0" w:line="332" w:lineRule="auto"/>
        <w:tabs>
          <w:tab w:leader="none" w:pos="692"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Years of Service</w:t>
      </w:r>
      <w:r>
        <w:rPr>
          <w:rFonts w:ascii="Arial" w:cs="Arial" w:eastAsia="Arial" w:hAnsi="Arial"/>
          <w:sz w:val="16"/>
          <w:szCs w:val="16"/>
          <w:color w:val="auto"/>
        </w:rPr>
        <w:t>. For purposes of Executive's participation in the plans of the Kratos contemplated by Section 4(d), 4(e), 4(f) and 4(g),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years of service shall include that time prior to the date hereof during which Executive had been employed by the Company.</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70" w:name="page71"/>
    <w:bookmarkEnd w:id="70"/>
    <w:p>
      <w:pPr>
        <w:ind w:left="1220" w:hanging="341"/>
        <w:spacing w:after="0"/>
        <w:tabs>
          <w:tab w:leader="none" w:pos="122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Vehicle Allowance</w:t>
      </w:r>
      <w:r>
        <w:rPr>
          <w:rFonts w:ascii="Arial" w:cs="Arial" w:eastAsia="Arial" w:hAnsi="Arial"/>
          <w:sz w:val="18"/>
          <w:szCs w:val="18"/>
          <w:color w:val="auto"/>
        </w:rPr>
        <w:t>.  Executive shall be entitled to a vehicle allowance of $250 per pay period.</w:t>
      </w:r>
    </w:p>
    <w:p>
      <w:pPr>
        <w:spacing w:after="0" w:line="225" w:lineRule="exact"/>
        <w:rPr>
          <w:rFonts w:ascii="Arial" w:cs="Arial" w:eastAsia="Arial" w:hAnsi="Arial"/>
          <w:sz w:val="18"/>
          <w:szCs w:val="18"/>
          <w:color w:val="auto"/>
        </w:rPr>
      </w:pPr>
    </w:p>
    <w:p>
      <w:pPr>
        <w:ind w:left="520" w:firstLine="359"/>
        <w:spacing w:after="0" w:line="291" w:lineRule="auto"/>
        <w:tabs>
          <w:tab w:leader="none" w:pos="1208"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Disability</w:t>
      </w:r>
      <w:r>
        <w:rPr>
          <w:rFonts w:ascii="Arial" w:cs="Arial" w:eastAsia="Arial" w:hAnsi="Arial"/>
          <w:sz w:val="16"/>
          <w:szCs w:val="16"/>
          <w:color w:val="auto"/>
        </w:rPr>
        <w:t>. If Executive shall become disabled during the Term, and such Disability shall continue for a period in excess of one month, the</w:t>
      </w:r>
      <w:r>
        <w:rPr>
          <w:rFonts w:ascii="Arial" w:cs="Arial" w:eastAsia="Arial" w:hAnsi="Arial"/>
          <w:sz w:val="16"/>
          <w:szCs w:val="16"/>
          <w:i w:val="1"/>
          <w:iCs w:val="1"/>
          <w:color w:val="auto"/>
        </w:rPr>
        <w:t xml:space="preserve"> </w:t>
      </w:r>
      <w:r>
        <w:rPr>
          <w:rFonts w:ascii="Arial" w:cs="Arial" w:eastAsia="Arial" w:hAnsi="Arial"/>
          <w:sz w:val="16"/>
          <w:szCs w:val="16"/>
          <w:color w:val="auto"/>
        </w:rPr>
        <w:t>Salary shall be paid to the Executive during the period of such Disability until the earlier of six (6) calendar months or the date Executive begins receiving long term disability payments under a long term disability policy provided by the Company. Any Salary paid to the Executive under this Section shall be reduced by insurance benefits that the Executive may receive from any disability insurance purchased on Executive's behalf by the Company. For purposes of this Agreement, the terms "Disabled" and "Disability" shall be defined as Executive's inability, because of physical or mental illness or injury or incapacity, to perform Executive's essential duties, with reasonable accommodation.</w:t>
      </w:r>
    </w:p>
    <w:p>
      <w:pPr>
        <w:spacing w:after="0" w:line="174" w:lineRule="exact"/>
        <w:rPr>
          <w:rFonts w:ascii="Arial" w:cs="Arial" w:eastAsia="Arial" w:hAnsi="Arial"/>
          <w:sz w:val="16"/>
          <w:szCs w:val="16"/>
          <w:color w:val="auto"/>
        </w:rPr>
      </w:pPr>
    </w:p>
    <w:p>
      <w:pPr>
        <w:ind w:left="520" w:right="200" w:firstLine="359"/>
        <w:spacing w:after="0" w:line="291" w:lineRule="auto"/>
        <w:tabs>
          <w:tab w:leader="none" w:pos="1212"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Bonus Upon Change of Control. </w:t>
      </w:r>
      <w:r>
        <w:rPr>
          <w:rFonts w:ascii="Arial" w:cs="Arial" w:eastAsia="Arial" w:hAnsi="Arial"/>
          <w:sz w:val="16"/>
          <w:szCs w:val="16"/>
          <w:color w:val="auto"/>
        </w:rPr>
        <w:t>Upon the occurrence of a "Change of Control" of the Company (as such term is defined in the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 Agreement) at any time during the Term following the Commencement Date, the Executive shall be paid immediately in cash, a bonus in an amount equal to the amount of the Executive's then current Salary in addition to other amounts required to be paid to Executive pursuant to Section 6 hereof, if his position as President of the Company (or as changed per Section 2 (c) above) or if his powers, authority, duties or responsibilities are materially diminished during the remaining period of the Term following the Change of Control. For purposes of clarification, this Section 4 (l) only applies to a Change of Control of the Company and not Kratos or KGS.</w:t>
      </w:r>
    </w:p>
    <w:p>
      <w:pPr>
        <w:spacing w:after="0" w:line="168" w:lineRule="exact"/>
        <w:rPr>
          <w:rFonts w:ascii="Arial" w:cs="Arial" w:eastAsia="Arial" w:hAnsi="Arial"/>
          <w:sz w:val="16"/>
          <w:szCs w:val="16"/>
          <w:color w:val="auto"/>
        </w:rPr>
      </w:pPr>
    </w:p>
    <w:p>
      <w:pPr>
        <w:ind w:left="-20" w:right="440" w:firstLine="359"/>
        <w:spacing w:after="0" w:line="275" w:lineRule="auto"/>
        <w:tabs>
          <w:tab w:leader="none" w:pos="682"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respective continuing obligations of the parties hereto set forth in Sections 6 and 7 hereof, the Term and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with the Company may be terminated as follows:</w:t>
      </w:r>
    </w:p>
    <w:p>
      <w:pPr>
        <w:spacing w:after="0" w:line="179" w:lineRule="exact"/>
        <w:rPr>
          <w:rFonts w:ascii="Arial" w:cs="Arial" w:eastAsia="Arial" w:hAnsi="Arial"/>
          <w:sz w:val="18"/>
          <w:szCs w:val="18"/>
          <w:color w:val="auto"/>
        </w:rPr>
      </w:pPr>
    </w:p>
    <w:p>
      <w:pPr>
        <w:ind w:left="520" w:firstLine="359"/>
        <w:spacing w:after="0" w:line="268" w:lineRule="auto"/>
        <w:tabs>
          <w:tab w:leader="none" w:pos="1198"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By the Company for Cause</w:t>
      </w:r>
      <w:r>
        <w:rPr>
          <w:rFonts w:ascii="Arial" w:cs="Arial" w:eastAsia="Arial" w:hAnsi="Arial"/>
          <w:sz w:val="18"/>
          <w:szCs w:val="18"/>
          <w:color w:val="auto"/>
        </w:rPr>
        <w:t>. The Company may terminate the Term and Executive's employment with the Company immediately for cause. For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of this Agreement, "for cause" shall mean:</w:t>
      </w:r>
    </w:p>
    <w:p>
      <w:pPr>
        <w:spacing w:after="0" w:line="185" w:lineRule="exact"/>
        <w:rPr>
          <w:rFonts w:ascii="Arial" w:cs="Arial" w:eastAsia="Arial" w:hAnsi="Arial"/>
          <w:sz w:val="18"/>
          <w:szCs w:val="18"/>
          <w:color w:val="auto"/>
        </w:rPr>
      </w:pPr>
    </w:p>
    <w:p>
      <w:pPr>
        <w:ind w:left="1060" w:right="180" w:firstLine="447"/>
        <w:spacing w:after="0" w:line="268" w:lineRule="auto"/>
        <w:tabs>
          <w:tab w:leader="none" w:pos="1752" w:val="left"/>
        </w:tabs>
        <w:numPr>
          <w:ilvl w:val="3"/>
          <w:numId w:val="36"/>
        </w:numPr>
        <w:rPr>
          <w:rFonts w:ascii="Arial" w:cs="Arial" w:eastAsia="Arial" w:hAnsi="Arial"/>
          <w:sz w:val="18"/>
          <w:szCs w:val="18"/>
          <w:color w:val="auto"/>
        </w:rPr>
      </w:pPr>
      <w:r>
        <w:rPr>
          <w:rFonts w:ascii="Arial" w:cs="Arial" w:eastAsia="Arial" w:hAnsi="Arial"/>
          <w:sz w:val="18"/>
          <w:szCs w:val="18"/>
          <w:color w:val="auto"/>
        </w:rPr>
        <w:t>any act that constitutes on the part of Executive common law fraud, provided that such fraud resulted in, or was intended to result in, a financial benefit to Executive, or any third party, at the expense of the Company;</w:t>
      </w:r>
    </w:p>
    <w:p>
      <w:pPr>
        <w:spacing w:after="0" w:line="185" w:lineRule="exact"/>
        <w:rPr>
          <w:rFonts w:ascii="Arial" w:cs="Arial" w:eastAsia="Arial" w:hAnsi="Arial"/>
          <w:sz w:val="18"/>
          <w:szCs w:val="18"/>
          <w:color w:val="auto"/>
        </w:rPr>
      </w:pPr>
    </w:p>
    <w:p>
      <w:pPr>
        <w:ind w:left="1760" w:hanging="297"/>
        <w:spacing w:after="0"/>
        <w:tabs>
          <w:tab w:leader="none" w:pos="1760" w:val="left"/>
        </w:tabs>
        <w:numPr>
          <w:ilvl w:val="3"/>
          <w:numId w:val="36"/>
        </w:numPr>
        <w:rPr>
          <w:rFonts w:ascii="Arial" w:cs="Arial" w:eastAsia="Arial" w:hAnsi="Arial"/>
          <w:sz w:val="18"/>
          <w:szCs w:val="18"/>
          <w:color w:val="auto"/>
        </w:rPr>
      </w:pPr>
      <w:r>
        <w:rPr>
          <w:rFonts w:ascii="Arial" w:cs="Arial" w:eastAsia="Arial" w:hAnsi="Arial"/>
          <w:sz w:val="18"/>
          <w:szCs w:val="18"/>
          <w:color w:val="auto"/>
        </w:rPr>
        <w:t>any material dishonesty on the part of Executive that results in actual financial harm to the Company;</w:t>
      </w:r>
    </w:p>
    <w:p>
      <w:pPr>
        <w:spacing w:after="0" w:line="225" w:lineRule="exact"/>
        <w:rPr>
          <w:rFonts w:ascii="Arial" w:cs="Arial" w:eastAsia="Arial" w:hAnsi="Arial"/>
          <w:sz w:val="18"/>
          <w:szCs w:val="18"/>
          <w:color w:val="auto"/>
        </w:rPr>
      </w:pPr>
    </w:p>
    <w:p>
      <w:pPr>
        <w:ind w:left="1060" w:right="160" w:firstLine="360"/>
        <w:spacing w:after="0" w:line="268" w:lineRule="auto"/>
        <w:tabs>
          <w:tab w:leader="none" w:pos="1762" w:val="left"/>
        </w:tabs>
        <w:numPr>
          <w:ilvl w:val="3"/>
          <w:numId w:val="36"/>
        </w:numPr>
        <w:rPr>
          <w:rFonts w:ascii="Arial" w:cs="Arial" w:eastAsia="Arial" w:hAnsi="Arial"/>
          <w:sz w:val="18"/>
          <w:szCs w:val="18"/>
          <w:color w:val="auto"/>
        </w:rPr>
      </w:pPr>
      <w:r>
        <w:rPr>
          <w:rFonts w:ascii="Arial" w:cs="Arial" w:eastAsia="Arial" w:hAnsi="Arial"/>
          <w:sz w:val="18"/>
          <w:szCs w:val="18"/>
          <w:color w:val="auto"/>
        </w:rPr>
        <w:t>any intentional or grossly negligent material breach by Executive of the regulations of the Securities and Exchange Commission or the NASDAQ stock exchange, or any subsequent stock exchange to which Kratos may list its shares;</w:t>
      </w:r>
    </w:p>
    <w:p>
      <w:pPr>
        <w:spacing w:after="0" w:line="185" w:lineRule="exact"/>
        <w:rPr>
          <w:rFonts w:ascii="Arial" w:cs="Arial" w:eastAsia="Arial" w:hAnsi="Arial"/>
          <w:sz w:val="18"/>
          <w:szCs w:val="18"/>
          <w:color w:val="auto"/>
        </w:rPr>
      </w:pPr>
    </w:p>
    <w:p>
      <w:pPr>
        <w:ind w:left="1060" w:right="420" w:firstLine="360"/>
        <w:spacing w:after="0" w:line="268" w:lineRule="auto"/>
        <w:tabs>
          <w:tab w:leader="none" w:pos="1752" w:val="left"/>
        </w:tabs>
        <w:numPr>
          <w:ilvl w:val="3"/>
          <w:numId w:val="36"/>
        </w:numPr>
        <w:rPr>
          <w:rFonts w:ascii="Arial" w:cs="Arial" w:eastAsia="Arial" w:hAnsi="Arial"/>
          <w:sz w:val="18"/>
          <w:szCs w:val="18"/>
          <w:color w:val="auto"/>
        </w:rPr>
      </w:pPr>
      <w:r>
        <w:rPr>
          <w:rFonts w:ascii="Arial" w:cs="Arial" w:eastAsia="Arial" w:hAnsi="Arial"/>
          <w:sz w:val="18"/>
          <w:szCs w:val="18"/>
          <w:color w:val="auto"/>
        </w:rPr>
        <w:t>Executive's conviction of, or plea of no contest with respect to, any criminal offense, which involves dishonesty, moral turpitude or breach of trust, or a felony;</w:t>
      </w:r>
    </w:p>
    <w:p>
      <w:pPr>
        <w:spacing w:after="0" w:line="185" w:lineRule="exact"/>
        <w:rPr>
          <w:rFonts w:ascii="Arial" w:cs="Arial" w:eastAsia="Arial" w:hAnsi="Arial"/>
          <w:sz w:val="18"/>
          <w:szCs w:val="18"/>
          <w:color w:val="auto"/>
        </w:rPr>
      </w:pPr>
    </w:p>
    <w:p>
      <w:pPr>
        <w:ind w:left="1060" w:right="260" w:firstLine="403"/>
        <w:spacing w:after="0" w:line="286" w:lineRule="auto"/>
        <w:tabs>
          <w:tab w:leader="none" w:pos="1748" w:val="left"/>
        </w:tabs>
        <w:numPr>
          <w:ilvl w:val="3"/>
          <w:numId w:val="36"/>
        </w:numPr>
        <w:rPr>
          <w:rFonts w:ascii="Arial" w:cs="Arial" w:eastAsia="Arial" w:hAnsi="Arial"/>
          <w:sz w:val="16"/>
          <w:szCs w:val="16"/>
          <w:color w:val="auto"/>
        </w:rPr>
      </w:pPr>
      <w:r>
        <w:rPr>
          <w:rFonts w:ascii="Arial" w:cs="Arial" w:eastAsia="Arial" w:hAnsi="Arial"/>
          <w:sz w:val="16"/>
          <w:szCs w:val="16"/>
          <w:color w:val="auto"/>
        </w:rPr>
        <w:t>the willful failure of Executive to perform material duties or responsibilities in connection with Executive's employment with the Company (other than any such failure resulting from a disability pursuant to Section 5(d) hereof) which failure has not been cured within thirty</w:t>
      </w:r>
    </w:p>
    <w:p>
      <w:pPr>
        <w:ind w:left="1400" w:hanging="332"/>
        <w:spacing w:after="0"/>
        <w:tabs>
          <w:tab w:leader="none" w:pos="14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days after written notice to Executive identifying such failure with reasonable specificity;</w:t>
      </w:r>
    </w:p>
    <w:p>
      <w:pPr>
        <w:spacing w:after="0" w:line="218" w:lineRule="exact"/>
        <w:rPr>
          <w:rFonts w:ascii="Arial" w:cs="Arial" w:eastAsia="Arial" w:hAnsi="Arial"/>
          <w:sz w:val="18"/>
          <w:szCs w:val="18"/>
          <w:color w:val="auto"/>
        </w:rPr>
      </w:pPr>
    </w:p>
    <w:p>
      <w:pPr>
        <w:ind w:left="1760" w:hanging="340"/>
        <w:spacing w:after="0"/>
        <w:tabs>
          <w:tab w:leader="none" w:pos="1760" w:val="left"/>
        </w:tabs>
        <w:numPr>
          <w:ilvl w:val="3"/>
          <w:numId w:val="37"/>
        </w:numPr>
        <w:rPr>
          <w:rFonts w:ascii="Arial" w:cs="Arial" w:eastAsia="Arial" w:hAnsi="Arial"/>
          <w:sz w:val="16"/>
          <w:szCs w:val="16"/>
          <w:color w:val="auto"/>
        </w:rPr>
      </w:pPr>
      <w:r>
        <w:rPr>
          <w:rFonts w:ascii="Arial" w:cs="Arial" w:eastAsia="Arial" w:hAnsi="Arial"/>
          <w:sz w:val="16"/>
          <w:szCs w:val="16"/>
          <w:color w:val="auto"/>
        </w:rPr>
        <w:t>a willful and material breach of this Agreement by Executive (other than any such breach resulting from a disability pursuant to</w:t>
      </w:r>
    </w:p>
    <w:p>
      <w:pPr>
        <w:spacing w:after="0" w:line="38" w:lineRule="exact"/>
        <w:rPr>
          <w:sz w:val="20"/>
          <w:szCs w:val="20"/>
          <w:color w:val="auto"/>
        </w:rPr>
      </w:pPr>
    </w:p>
    <w:p>
      <w:pPr>
        <w:ind w:left="1060" w:right="580"/>
        <w:spacing w:after="0" w:line="261" w:lineRule="auto"/>
        <w:rPr>
          <w:sz w:val="20"/>
          <w:szCs w:val="20"/>
          <w:color w:val="auto"/>
        </w:rPr>
      </w:pPr>
      <w:r>
        <w:rPr>
          <w:rFonts w:ascii="Arial" w:cs="Arial" w:eastAsia="Arial" w:hAnsi="Arial"/>
          <w:sz w:val="18"/>
          <w:szCs w:val="18"/>
          <w:color w:val="auto"/>
        </w:rPr>
        <w:t>Section 5(d) hereof) which breach has not been cured within thirty (30) days after written notice to Executive identifying such breach with reasonable specificity;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71" w:name="page72"/>
    <w:bookmarkEnd w:id="71"/>
    <w:p>
      <w:pPr>
        <w:ind w:left="721" w:right="120" w:firstLine="316"/>
        <w:spacing w:after="0" w:line="259" w:lineRule="auto"/>
        <w:tabs>
          <w:tab w:leader="none" w:pos="1418"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willful violation by Executive in any material respect of any of the Company's or Kratos' material policies (other than any such violation resulting from a disability pursuant to Section 5(d) hereof), which violation continues uncured for thirty (30) days after written notice to Executive identifying such violation with reasonable specificity; or</w:t>
      </w:r>
    </w:p>
    <w:p>
      <w:pPr>
        <w:spacing w:after="0" w:line="194" w:lineRule="exact"/>
        <w:rPr>
          <w:rFonts w:ascii="Arial" w:cs="Arial" w:eastAsia="Arial" w:hAnsi="Arial"/>
          <w:sz w:val="18"/>
          <w:szCs w:val="18"/>
          <w:color w:val="auto"/>
        </w:rPr>
      </w:pPr>
    </w:p>
    <w:p>
      <w:pPr>
        <w:jc w:val="both"/>
        <w:ind w:left="721" w:right="160" w:firstLine="272"/>
        <w:spacing w:after="0" w:line="259" w:lineRule="auto"/>
        <w:tabs>
          <w:tab w:leader="none" w:pos="1423"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willful failure by Executive (other than any such failure resulting from a disability pursuant to Section 5(d) hereof) to comply with any reasonable order or directive of the Board of Directors of the Company or the CEO which failure continues uncured for thirty (30) days after written notice to Executive identifying such failure with reasonable specificity.</w:t>
      </w:r>
    </w:p>
    <w:p>
      <w:pPr>
        <w:spacing w:after="0" w:line="194" w:lineRule="exact"/>
        <w:rPr>
          <w:rFonts w:ascii="Arial" w:cs="Arial" w:eastAsia="Arial" w:hAnsi="Arial"/>
          <w:sz w:val="18"/>
          <w:szCs w:val="18"/>
          <w:color w:val="auto"/>
        </w:rPr>
      </w:pPr>
    </w:p>
    <w:p>
      <w:pPr>
        <w:ind w:left="181" w:firstLine="359"/>
        <w:spacing w:after="0" w:line="253" w:lineRule="auto"/>
        <w:tabs>
          <w:tab w:leader="none" w:pos="868"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By Executive for Good Reason</w:t>
      </w:r>
      <w:r>
        <w:rPr>
          <w:rFonts w:ascii="Arial" w:cs="Arial" w:eastAsia="Arial" w:hAnsi="Arial"/>
          <w:sz w:val="18"/>
          <w:szCs w:val="18"/>
          <w:color w:val="auto"/>
        </w:rPr>
        <w:t>. Executive, upon thirty (30) days prior written notice to the Company and the CEO, stating that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is terminating his employment for Good Reason and stating with specificity the facts upon which the Executive is relying as constituting Good Reason, may terminate the Term and his employment with the Company for Good Reason. For purposes of this Agreement, "Good Reason" shall be defined as any breach or violation by the Company of any material provision or covenant of this Agreement (including without limitation a diminution of the Executive's powers, authority or duties under Section 2, as a president of a subsidiary [or otherwise per Section 2(c) above]), or a relocation of Executive's office other than in compliance with Section 2(b) which breach has not been cured within thirty (30) days after written notice to the Company identifying such breach with reasonable specificity.</w:t>
      </w:r>
    </w:p>
    <w:p>
      <w:pPr>
        <w:spacing w:after="0" w:line="201" w:lineRule="exact"/>
        <w:rPr>
          <w:rFonts w:ascii="Arial" w:cs="Arial" w:eastAsia="Arial" w:hAnsi="Arial"/>
          <w:sz w:val="18"/>
          <w:szCs w:val="18"/>
          <w:color w:val="auto"/>
        </w:rPr>
      </w:pPr>
    </w:p>
    <w:p>
      <w:pPr>
        <w:ind w:left="861" w:hanging="321"/>
        <w:spacing w:after="0"/>
        <w:tabs>
          <w:tab w:leader="none" w:pos="861" w:val="left"/>
        </w:tabs>
        <w:numPr>
          <w:ilvl w:val="1"/>
          <w:numId w:val="39"/>
        </w:numPr>
        <w:rPr>
          <w:rFonts w:ascii="Arial" w:cs="Arial" w:eastAsia="Arial" w:hAnsi="Arial"/>
          <w:sz w:val="16"/>
          <w:szCs w:val="16"/>
          <w:color w:val="auto"/>
        </w:rPr>
      </w:pPr>
      <w:r>
        <w:rPr>
          <w:rFonts w:ascii="Arial" w:cs="Arial" w:eastAsia="Arial" w:hAnsi="Arial"/>
          <w:sz w:val="16"/>
          <w:szCs w:val="16"/>
          <w:i w:val="1"/>
          <w:iCs w:val="1"/>
          <w:color w:val="auto"/>
        </w:rPr>
        <w:t>Death</w:t>
      </w:r>
      <w:r>
        <w:rPr>
          <w:rFonts w:ascii="Arial" w:cs="Arial" w:eastAsia="Arial" w:hAnsi="Arial"/>
          <w:sz w:val="16"/>
          <w:szCs w:val="16"/>
          <w:color w:val="auto"/>
        </w:rPr>
        <w:t>.  The Term and Executive's employment with the Company shall terminate automatically and immediately in the event of Executive's</w:t>
      </w:r>
    </w:p>
    <w:p>
      <w:pPr>
        <w:spacing w:after="0" w:line="38" w:lineRule="exact"/>
        <w:rPr>
          <w:rFonts w:ascii="Arial" w:cs="Arial" w:eastAsia="Arial" w:hAnsi="Arial"/>
          <w:sz w:val="16"/>
          <w:szCs w:val="16"/>
          <w:color w:val="auto"/>
        </w:rPr>
      </w:pPr>
    </w:p>
    <w:p>
      <w:pPr>
        <w:ind w:left="181"/>
        <w:spacing w:after="0"/>
        <w:rPr>
          <w:rFonts w:ascii="Arial" w:cs="Arial" w:eastAsia="Arial" w:hAnsi="Arial"/>
          <w:sz w:val="16"/>
          <w:szCs w:val="16"/>
          <w:color w:val="auto"/>
        </w:rPr>
      </w:pPr>
      <w:r>
        <w:rPr>
          <w:rFonts w:ascii="Arial" w:cs="Arial" w:eastAsia="Arial" w:hAnsi="Arial"/>
          <w:sz w:val="18"/>
          <w:szCs w:val="18"/>
          <w:color w:val="auto"/>
        </w:rPr>
        <w:t>death.</w:t>
      </w:r>
    </w:p>
    <w:p>
      <w:pPr>
        <w:spacing w:after="0" w:line="218" w:lineRule="exact"/>
        <w:rPr>
          <w:rFonts w:ascii="Arial" w:cs="Arial" w:eastAsia="Arial" w:hAnsi="Arial"/>
          <w:sz w:val="16"/>
          <w:szCs w:val="16"/>
          <w:color w:val="auto"/>
        </w:rPr>
      </w:pPr>
    </w:p>
    <w:p>
      <w:pPr>
        <w:ind w:left="181" w:right="160" w:firstLine="359"/>
        <w:spacing w:after="0" w:line="268" w:lineRule="auto"/>
        <w:tabs>
          <w:tab w:leader="none" w:pos="868"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Executive's absence from employment or inability to perform his duties hereunder as a result of physical or mental disability for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six (6) months or more.</w:t>
      </w:r>
    </w:p>
    <w:p>
      <w:pPr>
        <w:spacing w:after="0" w:line="185" w:lineRule="exact"/>
        <w:rPr>
          <w:rFonts w:ascii="Arial" w:cs="Arial" w:eastAsia="Arial" w:hAnsi="Arial"/>
          <w:sz w:val="18"/>
          <w:szCs w:val="18"/>
          <w:color w:val="auto"/>
        </w:rPr>
      </w:pPr>
    </w:p>
    <w:p>
      <w:pPr>
        <w:ind w:left="361" w:hanging="361"/>
        <w:spacing w:after="0"/>
        <w:tabs>
          <w:tab w:leader="none" w:pos="36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Obligations of the Company upon Termination.</w:t>
      </w:r>
    </w:p>
    <w:p>
      <w:pPr>
        <w:spacing w:after="0" w:line="225" w:lineRule="exact"/>
        <w:rPr>
          <w:rFonts w:ascii="Arial" w:cs="Arial" w:eastAsia="Arial" w:hAnsi="Arial"/>
          <w:sz w:val="18"/>
          <w:szCs w:val="18"/>
          <w:color w:val="auto"/>
        </w:rPr>
      </w:pPr>
    </w:p>
    <w:p>
      <w:pPr>
        <w:ind w:left="181" w:firstLine="359"/>
        <w:spacing w:after="0" w:line="289" w:lineRule="auto"/>
        <w:tabs>
          <w:tab w:leader="none" w:pos="858"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Termination by the Company for Cause</w:t>
      </w:r>
      <w:r>
        <w:rPr>
          <w:rFonts w:ascii="Arial" w:cs="Arial" w:eastAsia="Arial" w:hAnsi="Arial"/>
          <w:sz w:val="16"/>
          <w:szCs w:val="16"/>
          <w:color w:val="auto"/>
        </w:rPr>
        <w:t>. In the event of the termination of the Term and Executive's employment pursuant to Section 5(a)</w:t>
      </w:r>
      <w:r>
        <w:rPr>
          <w:rFonts w:ascii="Arial" w:cs="Arial" w:eastAsia="Arial" w:hAnsi="Arial"/>
          <w:sz w:val="16"/>
          <w:szCs w:val="16"/>
          <w:i w:val="1"/>
          <w:iCs w:val="1"/>
          <w:color w:val="auto"/>
        </w:rPr>
        <w:t xml:space="preserve"> </w:t>
      </w:r>
      <w:r>
        <w:rPr>
          <w:rFonts w:ascii="Arial" w:cs="Arial" w:eastAsia="Arial" w:hAnsi="Arial"/>
          <w:sz w:val="16"/>
          <w:szCs w:val="16"/>
          <w:color w:val="auto"/>
        </w:rPr>
        <w:t>hereof, the Company shall pay the Salary to Executive, and Executive shall participate in the employee benefit, retirement, and other perquisites as provided in Section 4 hereof, through the date of termination ("</w:t>
      </w:r>
      <w:r>
        <w:rPr>
          <w:rFonts w:ascii="Arial" w:cs="Arial" w:eastAsia="Arial" w:hAnsi="Arial"/>
          <w:sz w:val="16"/>
          <w:szCs w:val="16"/>
          <w:b w:val="1"/>
          <w:bCs w:val="1"/>
          <w:color w:val="auto"/>
        </w:rPr>
        <w:t>Date of Termination</w:t>
      </w:r>
      <w:r>
        <w:rPr>
          <w:rFonts w:ascii="Arial" w:cs="Arial" w:eastAsia="Arial" w:hAnsi="Arial"/>
          <w:sz w:val="16"/>
          <w:szCs w:val="16"/>
          <w:color w:val="auto"/>
        </w:rPr>
        <w:t>"). Any benefits payable under insurance, health, retirement, profit-sharing and other employee benefit plans as a result of Executive's participation in such plans through such Date of Termination shall be paid when due under those plans. Any other premiums payable under Section 4(e) shall be paid when due under the related plans and policies, if due prior to the Date of Termination. Any other benefits payable under Sections 4(e) and 4(k) shall be paid when due under the related plans and policies. Any bonus earned under Section 4(b) hereof, but not yet paid, shall be paid pursuant to Section 4(b) hereof. Provided however, that any bonuses earned as a result of any act or omission by Executive as set forth in Section 5(a) hereof, shall be deemed as not earned by Executive and not due to him.</w:t>
      </w:r>
    </w:p>
    <w:p>
      <w:pPr>
        <w:spacing w:after="0" w:line="172" w:lineRule="exact"/>
        <w:rPr>
          <w:rFonts w:ascii="Arial" w:cs="Arial" w:eastAsia="Arial" w:hAnsi="Arial"/>
          <w:sz w:val="16"/>
          <w:szCs w:val="16"/>
          <w:color w:val="auto"/>
        </w:rPr>
      </w:pPr>
    </w:p>
    <w:p>
      <w:pPr>
        <w:ind w:left="881" w:hanging="341"/>
        <w:spacing w:after="0"/>
        <w:tabs>
          <w:tab w:leader="none" w:pos="881"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Termination by Executive for Good Reason</w:t>
      </w:r>
      <w:r>
        <w:rPr>
          <w:rFonts w:ascii="Arial" w:cs="Arial" w:eastAsia="Arial" w:hAnsi="Arial"/>
          <w:sz w:val="16"/>
          <w:szCs w:val="16"/>
          <w:color w:val="auto"/>
        </w:rPr>
        <w:t>.  In the event of the termination of the Term and Executive's employment pursuant to Section 5(b)</w:t>
      </w:r>
    </w:p>
    <w:p>
      <w:pPr>
        <w:spacing w:after="0" w:line="38" w:lineRule="exact"/>
        <w:rPr>
          <w:rFonts w:ascii="Arial" w:cs="Arial" w:eastAsia="Arial" w:hAnsi="Arial"/>
          <w:sz w:val="16"/>
          <w:szCs w:val="16"/>
          <w:color w:val="auto"/>
        </w:rPr>
      </w:pPr>
    </w:p>
    <w:p>
      <w:pPr>
        <w:ind w:left="181"/>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8" w:lineRule="exact"/>
        <w:rPr>
          <w:rFonts w:ascii="Arial" w:cs="Arial" w:eastAsia="Arial" w:hAnsi="Arial"/>
          <w:sz w:val="16"/>
          <w:szCs w:val="16"/>
          <w:color w:val="auto"/>
        </w:rPr>
      </w:pPr>
    </w:p>
    <w:p>
      <w:pPr>
        <w:ind w:left="1421" w:hanging="253"/>
        <w:spacing w:after="0"/>
        <w:tabs>
          <w:tab w:leader="none" w:pos="1421"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Company shall continue to pay the Executive the Salary from the Date of Termination to December 31, 2010; and</w:t>
      </w:r>
    </w:p>
    <w:p>
      <w:pPr>
        <w:spacing w:after="0" w:line="225" w:lineRule="exact"/>
        <w:rPr>
          <w:rFonts w:ascii="Arial" w:cs="Arial" w:eastAsia="Arial" w:hAnsi="Arial"/>
          <w:sz w:val="18"/>
          <w:szCs w:val="18"/>
          <w:color w:val="auto"/>
        </w:rPr>
      </w:pPr>
    </w:p>
    <w:p>
      <w:pPr>
        <w:ind w:left="721" w:right="500" w:firstLine="403"/>
        <w:spacing w:after="0" w:line="332" w:lineRule="auto"/>
        <w:tabs>
          <w:tab w:leader="none" w:pos="1418" w:val="left"/>
        </w:tabs>
        <w:numPr>
          <w:ilvl w:val="2"/>
          <w:numId w:val="40"/>
        </w:numPr>
        <w:rPr>
          <w:rFonts w:ascii="Arial" w:cs="Arial" w:eastAsia="Arial" w:hAnsi="Arial"/>
          <w:sz w:val="16"/>
          <w:szCs w:val="16"/>
          <w:color w:val="auto"/>
        </w:rPr>
      </w:pPr>
      <w:r>
        <w:rPr>
          <w:rFonts w:ascii="Arial" w:cs="Arial" w:eastAsia="Arial" w:hAnsi="Arial"/>
          <w:sz w:val="16"/>
          <w:szCs w:val="16"/>
          <w:color w:val="auto"/>
        </w:rPr>
        <w:t>the Company shall pay Executive a bonus under Section 4(b) as though Executive had remained employed to December 31, 2010, provided the bonus is earned by the Company meeting its AOP and other targets as set forth in the Bonus Letter; and</w:t>
      </w:r>
    </w:p>
    <w:p>
      <w:pPr>
        <w:spacing w:after="0" w:line="139" w:lineRule="exact"/>
        <w:rPr>
          <w:rFonts w:ascii="Arial" w:cs="Arial" w:eastAsia="Arial" w:hAnsi="Arial"/>
          <w:sz w:val="16"/>
          <w:szCs w:val="16"/>
          <w:color w:val="auto"/>
        </w:rPr>
      </w:pPr>
    </w:p>
    <w:p>
      <w:pPr>
        <w:ind w:left="721" w:right="260" w:firstLine="360"/>
        <w:spacing w:after="0" w:line="268" w:lineRule="auto"/>
        <w:tabs>
          <w:tab w:leader="none" w:pos="14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Company shall pay when due any benefits payable under insurance, health, retirement, profit-sharing and other employee benefit plans as a result of Executive's</w:t>
      </w:r>
    </w:p>
    <w:p>
      <w:pPr>
        <w:spacing w:after="0" w:line="18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131" w:right="239" w:bottom="1440" w:gutter="0" w:footer="0" w:header="0"/>
        </w:sectPr>
      </w:pPr>
    </w:p>
    <w:bookmarkStart w:id="72" w:name="page73"/>
    <w:bookmarkEnd w:id="72"/>
    <w:p>
      <w:pPr>
        <w:ind w:left="721"/>
        <w:spacing w:after="0"/>
        <w:rPr>
          <w:sz w:val="20"/>
          <w:szCs w:val="20"/>
          <w:color w:val="auto"/>
        </w:rPr>
      </w:pPr>
      <w:r>
        <w:rPr>
          <w:rFonts w:ascii="Arial" w:cs="Arial" w:eastAsia="Arial" w:hAnsi="Arial"/>
          <w:sz w:val="18"/>
          <w:szCs w:val="18"/>
          <w:color w:val="auto"/>
        </w:rPr>
        <w:t>participation in such plans as though Executive had remained employed to December 31, 2010; and</w:t>
      </w:r>
    </w:p>
    <w:p>
      <w:pPr>
        <w:spacing w:after="0" w:line="225" w:lineRule="exact"/>
        <w:rPr>
          <w:sz w:val="20"/>
          <w:szCs w:val="20"/>
          <w:color w:val="auto"/>
        </w:rPr>
      </w:pPr>
    </w:p>
    <w:p>
      <w:pPr>
        <w:ind w:left="721" w:right="340" w:firstLine="360"/>
        <w:spacing w:after="0" w:line="268" w:lineRule="auto"/>
        <w:tabs>
          <w:tab w:leader="none" w:pos="1413" w:val="left"/>
        </w:tabs>
        <w:numPr>
          <w:ilvl w:val="2"/>
          <w:numId w:val="41"/>
        </w:numPr>
        <w:rPr>
          <w:rFonts w:ascii="Arial" w:cs="Arial" w:eastAsia="Arial" w:hAnsi="Arial"/>
          <w:sz w:val="18"/>
          <w:szCs w:val="18"/>
          <w:color w:val="auto"/>
        </w:rPr>
      </w:pPr>
      <w:r>
        <w:rPr>
          <w:rFonts w:ascii="Arial" w:cs="Arial" w:eastAsia="Arial" w:hAnsi="Arial"/>
          <w:sz w:val="18"/>
          <w:szCs w:val="18"/>
          <w:color w:val="auto"/>
        </w:rPr>
        <w:t>If there is a Change of Control as described in Section 4(l), the Company shall pay Executive a bonus under Section 4(l) as though Executive had remained employed and there is a Change of Control prior to December 31, 2010; and</w:t>
      </w:r>
    </w:p>
    <w:p>
      <w:pPr>
        <w:spacing w:after="0" w:line="185" w:lineRule="exact"/>
        <w:rPr>
          <w:rFonts w:ascii="Arial" w:cs="Arial" w:eastAsia="Arial" w:hAnsi="Arial"/>
          <w:sz w:val="18"/>
          <w:szCs w:val="18"/>
          <w:color w:val="auto"/>
        </w:rPr>
      </w:pPr>
    </w:p>
    <w:p>
      <w:pPr>
        <w:ind w:left="721" w:right="360" w:firstLine="403"/>
        <w:spacing w:after="0" w:line="268" w:lineRule="auto"/>
        <w:tabs>
          <w:tab w:leader="none" w:pos="1405"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Company shall pay when due any other premiums and benefits payable under Sections 4(e) and 4(k) as though Executive had remained employed to December 31, 2010.</w:t>
      </w:r>
    </w:p>
    <w:p>
      <w:pPr>
        <w:spacing w:after="0" w:line="185" w:lineRule="exact"/>
        <w:rPr>
          <w:rFonts w:ascii="Arial" w:cs="Arial" w:eastAsia="Arial" w:hAnsi="Arial"/>
          <w:sz w:val="18"/>
          <w:szCs w:val="18"/>
          <w:color w:val="auto"/>
        </w:rPr>
      </w:pPr>
    </w:p>
    <w:p>
      <w:pPr>
        <w:ind w:left="181" w:firstLine="359"/>
        <w:spacing w:after="0" w:line="289" w:lineRule="auto"/>
        <w:tabs>
          <w:tab w:leader="none" w:pos="858"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Termination Because of Death or Disability</w:t>
      </w:r>
      <w:r>
        <w:rPr>
          <w:rFonts w:ascii="Arial" w:cs="Arial" w:eastAsia="Arial" w:hAnsi="Arial"/>
          <w:sz w:val="16"/>
          <w:szCs w:val="16"/>
          <w:color w:val="auto"/>
        </w:rPr>
        <w:t>. In the event of termination of the Term and Executive's employment pursuant to Section 5(c) or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5(d) hereof, the Salary shall continue to be paid to Executive, and Executive shall continue to participate in the employee benefit, retirement and compensation plans and other perquisites as provided in Section 4 hereof, (i) in the event of Executive's death, through the date of his death, or (ii) in the event of Executive's disability, through the Date of Termination. Any benefits payable under insurance, health, retirement, profit-sharing and other employee benefit plans as a result of Executive's participation in such plans through such Date of Termination shall be paid when due under those plans. Any other premiums and benefits payable under Sections 4(e) and 4(k) shall be paid when due under the related plans and policies. Any bonus earned under Section 4(b) hereof, but not yet paid, shall be paid pursuant to Section 4(b) hereof. Any bonus earned under Section 4(l) hereof, but not yet paid, shall be paid pursuant to Section 4(l) hereof.</w:t>
      </w:r>
    </w:p>
    <w:p>
      <w:pPr>
        <w:spacing w:after="0" w:line="172" w:lineRule="exact"/>
        <w:rPr>
          <w:rFonts w:ascii="Arial" w:cs="Arial" w:eastAsia="Arial" w:hAnsi="Arial"/>
          <w:sz w:val="16"/>
          <w:szCs w:val="16"/>
          <w:color w:val="auto"/>
        </w:rPr>
      </w:pPr>
    </w:p>
    <w:p>
      <w:pPr>
        <w:ind w:left="181" w:firstLine="359"/>
        <w:spacing w:after="0" w:line="286" w:lineRule="auto"/>
        <w:tabs>
          <w:tab w:leader="none" w:pos="868"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Severance Payment</w:t>
      </w:r>
      <w:r>
        <w:rPr>
          <w:rFonts w:ascii="Arial" w:cs="Arial" w:eastAsia="Arial" w:hAnsi="Arial"/>
          <w:sz w:val="16"/>
          <w:szCs w:val="16"/>
          <w:color w:val="auto"/>
        </w:rPr>
        <w:t>. In the event this Agreement is not renewed on or before January 15, 2010, as provided in Section 3 (a) hereof, on terms</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similar to those contained in this Agreement, then Executive will not be required to perform any services for the Company in the third year of this Agreement, other than those minimal usual and customary for an executive similarly situated to assist in the transition of duties to a successor. In the event the Agreement is renewed on or before January 15, 2010, as provided in Section 3 (a) hereof, on terms and conditions substantially similar to those contained in this Agreement, but at a term of less than three years, the subsequent renewal agreement shall provide that, in addition to the other amounts payable as otherwise provided therein, in the event of the termination of a shortened term of such renewed agreement and Executive's employment by the Executive for "Good Reason" (as defined therein) or in the event of the expiration of the renewed agreement at the end of the shortened term of such renewed agreement, the Company shall pay the Executive a severance payment equal to $250,000 payable in twelve (12) equal monthly installments with the first installment due and payable on the date of termination of the Executive's employment ("Severance Payment"). If the Executive and the Company agree at or before January 15, 2010 that the Executive shall continue to work in full performance of this Agreement through the end of 2010, then Executive shall be entitled to the Severance Payment during 2011.</w:t>
      </w:r>
    </w:p>
    <w:p>
      <w:pPr>
        <w:spacing w:after="0" w:line="181" w:lineRule="exact"/>
        <w:rPr>
          <w:rFonts w:ascii="Arial" w:cs="Arial" w:eastAsia="Arial" w:hAnsi="Arial"/>
          <w:sz w:val="16"/>
          <w:szCs w:val="16"/>
          <w:color w:val="auto"/>
        </w:rPr>
      </w:pPr>
    </w:p>
    <w:p>
      <w:pPr>
        <w:ind w:left="181" w:right="120" w:firstLine="359"/>
        <w:spacing w:after="0" w:line="294" w:lineRule="auto"/>
        <w:tabs>
          <w:tab w:leader="none" w:pos="858"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No Mitigation; Exclusive Remedy</w:t>
      </w:r>
      <w:r>
        <w:rPr>
          <w:rFonts w:ascii="Arial" w:cs="Arial" w:eastAsia="Arial" w:hAnsi="Arial"/>
          <w:sz w:val="16"/>
          <w:szCs w:val="16"/>
          <w:color w:val="auto"/>
        </w:rPr>
        <w:t>. Executive shall not be required to mitigate the amount of any payment provided for in this Section 6 by</w:t>
      </w:r>
      <w:r>
        <w:rPr>
          <w:rFonts w:ascii="Arial" w:cs="Arial" w:eastAsia="Arial" w:hAnsi="Arial"/>
          <w:sz w:val="16"/>
          <w:szCs w:val="16"/>
          <w:i w:val="1"/>
          <w:iCs w:val="1"/>
          <w:color w:val="auto"/>
        </w:rPr>
        <w:t xml:space="preserve"> </w:t>
      </w:r>
      <w:r>
        <w:rPr>
          <w:rFonts w:ascii="Arial" w:cs="Arial" w:eastAsia="Arial" w:hAnsi="Arial"/>
          <w:sz w:val="16"/>
          <w:szCs w:val="16"/>
          <w:color w:val="auto"/>
        </w:rPr>
        <w:t>seeking other employment or otherwise, nor shall the amount of any payment provided for in this Section 6 be reduced by any compensation earned by Executive as the result of employment by another company or business or by profits earned by Executive from any other source at any time before and after the Date of Termination. The payments provided under this Section 6 upon termination shall be in lieu of any other payments or damages recoverable in any causes of action by Executive related to this Agreement.</w:t>
      </w:r>
    </w:p>
    <w:p>
      <w:pPr>
        <w:spacing w:after="0" w:line="169" w:lineRule="exact"/>
        <w:rPr>
          <w:rFonts w:ascii="Arial" w:cs="Arial" w:eastAsia="Arial" w:hAnsi="Arial"/>
          <w:sz w:val="16"/>
          <w:szCs w:val="16"/>
          <w:color w:val="auto"/>
        </w:rPr>
      </w:pPr>
    </w:p>
    <w:p>
      <w:pPr>
        <w:ind w:left="361" w:hanging="361"/>
        <w:spacing w:after="0"/>
        <w:tabs>
          <w:tab w:leader="none" w:pos="361"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Non-Competition and Non-Solicitation.</w:t>
      </w:r>
    </w:p>
    <w:p>
      <w:pPr>
        <w:spacing w:after="0" w:line="225" w:lineRule="exact"/>
        <w:rPr>
          <w:rFonts w:ascii="Arial" w:cs="Arial" w:eastAsia="Arial" w:hAnsi="Arial"/>
          <w:sz w:val="18"/>
          <w:szCs w:val="18"/>
          <w:color w:val="auto"/>
        </w:rPr>
      </w:pPr>
    </w:p>
    <w:p>
      <w:pPr>
        <w:ind w:left="181" w:right="240" w:firstLine="359"/>
        <w:spacing w:after="0" w:line="332" w:lineRule="auto"/>
        <w:tabs>
          <w:tab w:leader="none" w:pos="859" w:val="left"/>
        </w:tabs>
        <w:numPr>
          <w:ilvl w:val="1"/>
          <w:numId w:val="43"/>
        </w:numPr>
        <w:rPr>
          <w:rFonts w:ascii="Arial" w:cs="Arial" w:eastAsia="Arial" w:hAnsi="Arial"/>
          <w:sz w:val="16"/>
          <w:szCs w:val="16"/>
          <w:color w:val="auto"/>
        </w:rPr>
      </w:pPr>
      <w:r>
        <w:rPr>
          <w:rFonts w:ascii="Arial" w:cs="Arial" w:eastAsia="Arial" w:hAnsi="Arial"/>
          <w:sz w:val="16"/>
          <w:szCs w:val="16"/>
          <w:color w:val="auto"/>
        </w:rPr>
        <w:t>Subject to the terms and conditions hereof, Executive covenants and agrees that, for the Restricted Period and in the Restricted Territory (as defined below), Executive shall not, either directly or indirectly, through an affiliated or controlled entity or person, on his own behalf or as a</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1"/>
          </w:cols>
          <w:pgMar w:left="599" w:top="590" w:right="379" w:bottom="1440" w:gutter="0" w:footer="0" w:header="0"/>
        </w:sectPr>
      </w:pPr>
    </w:p>
    <w:bookmarkStart w:id="73" w:name="page74"/>
    <w:bookmarkEnd w:id="73"/>
    <w:p>
      <w:pPr>
        <w:ind w:left="500" w:right="20"/>
        <w:spacing w:after="0" w:line="256" w:lineRule="auto"/>
        <w:rPr>
          <w:sz w:val="20"/>
          <w:szCs w:val="20"/>
          <w:color w:val="auto"/>
        </w:rPr>
      </w:pPr>
      <w:r>
        <w:rPr>
          <w:rFonts w:ascii="Arial" w:cs="Arial" w:eastAsia="Arial" w:hAnsi="Arial"/>
          <w:sz w:val="18"/>
          <w:szCs w:val="18"/>
          <w:color w:val="auto"/>
        </w:rPr>
        <w:t>partner, director, consultant, proprietor, principal, agent, creditor, security holder, trustee or otherwise (except by ownership of five percent (5%) or less of the outstanding stock of any publicly held corporation) or in any other capacity, own, manage, operate, finance, control, invest, participate or engage in, lend his name to, lend credit to, render services or advice to, or devote any material endeavor or effort to a venture or business that is engaged in a business substantially similar to the Restricted Business.</w:t>
      </w:r>
    </w:p>
    <w:p>
      <w:pPr>
        <w:spacing w:after="0" w:line="197" w:lineRule="exact"/>
        <w:rPr>
          <w:sz w:val="20"/>
          <w:szCs w:val="20"/>
          <w:color w:val="auto"/>
        </w:rPr>
      </w:pPr>
    </w:p>
    <w:p>
      <w:pPr>
        <w:ind w:left="1200" w:hanging="341"/>
        <w:spacing w:after="0"/>
        <w:tabs>
          <w:tab w:leader="none" w:pos="1200" w:val="left"/>
        </w:tabs>
        <w:numPr>
          <w:ilvl w:val="2"/>
          <w:numId w:val="44"/>
        </w:numPr>
        <w:rPr>
          <w:rFonts w:ascii="Arial" w:cs="Arial" w:eastAsia="Arial" w:hAnsi="Arial"/>
          <w:sz w:val="16"/>
          <w:szCs w:val="16"/>
          <w:color w:val="auto"/>
        </w:rPr>
      </w:pPr>
      <w:r>
        <w:rPr>
          <w:rFonts w:ascii="Arial" w:cs="Arial" w:eastAsia="Arial" w:hAnsi="Arial"/>
          <w:sz w:val="16"/>
          <w:szCs w:val="16"/>
          <w:color w:val="auto"/>
        </w:rPr>
        <w:t>The "Restricted Territory" shall be the United States of America. The "Restricted Period" as used in this Agreement shall be; through the three</w:t>
      </w:r>
    </w:p>
    <w:p>
      <w:pPr>
        <w:spacing w:after="0" w:line="38" w:lineRule="exact"/>
        <w:rPr>
          <w:rFonts w:ascii="Arial" w:cs="Arial" w:eastAsia="Arial" w:hAnsi="Arial"/>
          <w:sz w:val="16"/>
          <w:szCs w:val="16"/>
          <w:color w:val="auto"/>
        </w:rPr>
      </w:pPr>
    </w:p>
    <w:p>
      <w:pPr>
        <w:ind w:left="500" w:firstLine="8"/>
        <w:spacing w:after="0" w:line="309" w:lineRule="auto"/>
        <w:tabs>
          <w:tab w:leader="none" w:pos="749" w:val="left"/>
        </w:tabs>
        <w:numPr>
          <w:ilvl w:val="1"/>
          <w:numId w:val="45"/>
        </w:numPr>
        <w:rPr>
          <w:rFonts w:ascii="Arial" w:cs="Arial" w:eastAsia="Arial" w:hAnsi="Arial"/>
          <w:sz w:val="15"/>
          <w:szCs w:val="15"/>
          <w:color w:val="auto"/>
        </w:rPr>
      </w:pPr>
      <w:r>
        <w:rPr>
          <w:rFonts w:ascii="Arial" w:cs="Arial" w:eastAsia="Arial" w:hAnsi="Arial"/>
          <w:sz w:val="15"/>
          <w:szCs w:val="15"/>
          <w:color w:val="auto"/>
        </w:rPr>
        <w:t>year Term of this Agreement; and/or through the Term of any renewal of this Agreement; and/or through the final payment of the Severance Payment per Section 6(d) hereof. Therefore, if, for example the Executive leaves the Company for any reason during the initial three year Term of this Agreement, whether it is voluntarily, involuntarily or for Good Cause, he shall be bound by the terms of Sections 7, 8 and 9 through the end of the three year period. If the Executive leaves the Company for any reason during any renewal of the agreement he shall be bound by the terms of Sections 7, 8, and 9 though the end of the renewal term; and he shall be bound by Sections 7, 8, and 9 during any period where he receives a Severance Payment. "Restricted Business" means that any business, operations or planned businesses or lines of business engaged in or planned by Kratos, KGS, the Company or any affiliates or subsidiaries thereof at the termination of the Executive's active employment. A planned business or lines of business shall mean a material and significant level of investment and planning and preparation, as to which the Executive has knowledge, to enter into the subject business or lines of business.</w:t>
      </w:r>
    </w:p>
    <w:p>
      <w:pPr>
        <w:spacing w:after="0" w:line="161" w:lineRule="exact"/>
        <w:rPr>
          <w:rFonts w:ascii="Arial" w:cs="Arial" w:eastAsia="Arial" w:hAnsi="Arial"/>
          <w:sz w:val="15"/>
          <w:szCs w:val="15"/>
          <w:color w:val="auto"/>
        </w:rPr>
      </w:pPr>
    </w:p>
    <w:p>
      <w:pPr>
        <w:ind w:left="500" w:right="120" w:firstLine="359"/>
        <w:spacing w:after="0" w:line="306" w:lineRule="auto"/>
        <w:tabs>
          <w:tab w:leader="none" w:pos="1175" w:val="left"/>
        </w:tabs>
        <w:numPr>
          <w:ilvl w:val="2"/>
          <w:numId w:val="45"/>
        </w:numPr>
        <w:rPr>
          <w:rFonts w:ascii="Arial" w:cs="Arial" w:eastAsia="Arial" w:hAnsi="Arial"/>
          <w:sz w:val="16"/>
          <w:szCs w:val="16"/>
          <w:color w:val="auto"/>
        </w:rPr>
      </w:pPr>
      <w:r>
        <w:rPr>
          <w:rFonts w:ascii="Arial" w:cs="Arial" w:eastAsia="Arial" w:hAnsi="Arial"/>
          <w:sz w:val="16"/>
          <w:szCs w:val="16"/>
          <w:color w:val="auto"/>
        </w:rPr>
        <w:t>The covenants contained in this Section 7 shall be construed as if each covenant is divided into separate and distinct covenants in respect of the Restricted Business, each capacity in which Executive is prohibited from competing and each part of the Restricted Territory in which the Company is carrying on the Restricted Business. Each such covenant shall constitute separate and several covenants distinct from all other such covenants.</w:t>
      </w:r>
    </w:p>
    <w:p>
      <w:pPr>
        <w:spacing w:after="0" w:line="160" w:lineRule="exact"/>
        <w:rPr>
          <w:rFonts w:ascii="Arial" w:cs="Arial" w:eastAsia="Arial" w:hAnsi="Arial"/>
          <w:sz w:val="16"/>
          <w:szCs w:val="16"/>
          <w:color w:val="auto"/>
        </w:rPr>
      </w:pPr>
    </w:p>
    <w:p>
      <w:pPr>
        <w:jc w:val="both"/>
        <w:ind w:left="500" w:firstLine="359"/>
        <w:spacing w:after="0" w:line="255" w:lineRule="auto"/>
        <w:tabs>
          <w:tab w:leader="none" w:pos="1188" w:val="left"/>
        </w:tabs>
        <w:numPr>
          <w:ilvl w:val="2"/>
          <w:numId w:val="45"/>
        </w:numPr>
        <w:rPr>
          <w:rFonts w:ascii="Arial" w:cs="Arial" w:eastAsia="Arial" w:hAnsi="Arial"/>
          <w:sz w:val="18"/>
          <w:szCs w:val="18"/>
          <w:color w:val="auto"/>
        </w:rPr>
      </w:pPr>
      <w:r>
        <w:rPr>
          <w:rFonts w:ascii="Arial" w:cs="Arial" w:eastAsia="Arial" w:hAnsi="Arial"/>
          <w:sz w:val="18"/>
          <w:szCs w:val="18"/>
          <w:color w:val="auto"/>
        </w:rPr>
        <w:t>Each of the parties recognizes that the territorial restrictions contained in this Agreement are properly required for the adequate protection of the Restricted Business and that in the event any covenant or other provision contained herein shall be deemed to be illegal, unenforceable or unreasonable by a court or other tribunal of competent jurisdiction with respect to any part of the Restricted Territory, such covenant or provision shall not be affected with respect to any other part of the Restricted Territory, and each of the parties agrees and submits to the reduction of said territorial restriction to such an area as said court shall deem reasonable.</w:t>
      </w:r>
    </w:p>
    <w:p>
      <w:pPr>
        <w:spacing w:after="0" w:line="196" w:lineRule="exact"/>
        <w:rPr>
          <w:rFonts w:ascii="Arial" w:cs="Arial" w:eastAsia="Arial" w:hAnsi="Arial"/>
          <w:sz w:val="18"/>
          <w:szCs w:val="18"/>
          <w:color w:val="auto"/>
        </w:rPr>
      </w:pPr>
    </w:p>
    <w:p>
      <w:pPr>
        <w:ind w:left="680" w:hanging="361"/>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Noninterference with Business.</w:t>
      </w:r>
    </w:p>
    <w:p>
      <w:pPr>
        <w:spacing w:after="0" w:line="225" w:lineRule="exact"/>
        <w:rPr>
          <w:rFonts w:ascii="Arial" w:cs="Arial" w:eastAsia="Arial" w:hAnsi="Arial"/>
          <w:sz w:val="18"/>
          <w:szCs w:val="18"/>
          <w:color w:val="auto"/>
        </w:rPr>
      </w:pPr>
    </w:p>
    <w:p>
      <w:pPr>
        <w:ind w:left="500" w:right="400" w:firstLine="359"/>
        <w:spacing w:after="0" w:line="255" w:lineRule="auto"/>
        <w:tabs>
          <w:tab w:leader="none" w:pos="1178" w:val="left"/>
        </w:tabs>
        <w:numPr>
          <w:ilvl w:val="2"/>
          <w:numId w:val="46"/>
        </w:numPr>
        <w:rPr>
          <w:rFonts w:ascii="Arial" w:cs="Arial" w:eastAsia="Arial" w:hAnsi="Arial"/>
          <w:sz w:val="18"/>
          <w:szCs w:val="18"/>
          <w:color w:val="auto"/>
        </w:rPr>
      </w:pPr>
      <w:r>
        <w:rPr>
          <w:rFonts w:ascii="Arial" w:cs="Arial" w:eastAsia="Arial" w:hAnsi="Arial"/>
          <w:sz w:val="18"/>
          <w:szCs w:val="18"/>
          <w:color w:val="auto"/>
        </w:rPr>
        <w:t>During the Restricted Period, Executive agrees not to (a) directly or indirectly contact any of the Company's, Kratos' or KGS' then current customers or prospective customers with whom the Company, Kratos or KGS is engaged in discussions or proposal negotiations ("Prospective Customers") for the purpose of diverting or taking away from the Company, Kratos or KGS any business existing as of the date of the termination of Executive's employment with the Company, Kratos or KGS; or (b) otherwise interfere with, impair or damage the Company's, Kratos' or KGS' relationship with any of its then current or Prospective Customers.</w:t>
      </w:r>
    </w:p>
    <w:p>
      <w:pPr>
        <w:spacing w:after="0" w:line="196" w:lineRule="exact"/>
        <w:rPr>
          <w:rFonts w:ascii="Arial" w:cs="Arial" w:eastAsia="Arial" w:hAnsi="Arial"/>
          <w:sz w:val="18"/>
          <w:szCs w:val="18"/>
          <w:color w:val="auto"/>
        </w:rPr>
      </w:pPr>
    </w:p>
    <w:p>
      <w:pPr>
        <w:ind w:left="500" w:right="100" w:firstLine="359"/>
        <w:spacing w:after="0" w:line="259" w:lineRule="auto"/>
        <w:tabs>
          <w:tab w:leader="none" w:pos="1188" w:val="left"/>
        </w:tabs>
        <w:numPr>
          <w:ilvl w:val="2"/>
          <w:numId w:val="46"/>
        </w:numPr>
        <w:rPr>
          <w:rFonts w:ascii="Arial" w:cs="Arial" w:eastAsia="Arial" w:hAnsi="Arial"/>
          <w:sz w:val="18"/>
          <w:szCs w:val="18"/>
          <w:color w:val="auto"/>
        </w:rPr>
      </w:pPr>
      <w:r>
        <w:rPr>
          <w:rFonts w:ascii="Arial" w:cs="Arial" w:eastAsia="Arial" w:hAnsi="Arial"/>
          <w:sz w:val="18"/>
          <w:szCs w:val="18"/>
          <w:color w:val="auto"/>
        </w:rPr>
        <w:t>During the Restricted Period, Executive agrees not to knowingly directly or indirectly solicit, whether for his own benefit or for that of another, induce or attempt to induce any employee, consultant or independent contractor to terminate or breach an employment, contractual or other relationship with the Company, Kratos or KGS.</w:t>
      </w:r>
    </w:p>
    <w:p>
      <w:pPr>
        <w:spacing w:after="0" w:line="188" w:lineRule="exact"/>
        <w:rPr>
          <w:rFonts w:ascii="Arial" w:cs="Arial" w:eastAsia="Arial" w:hAnsi="Arial"/>
          <w:sz w:val="18"/>
          <w:szCs w:val="18"/>
          <w:color w:val="auto"/>
        </w:rPr>
      </w:pPr>
    </w:p>
    <w:p>
      <w:pPr>
        <w:ind w:left="-40" w:right="240" w:firstLine="359"/>
        <w:spacing w:after="0" w:line="275" w:lineRule="auto"/>
        <w:tabs>
          <w:tab w:leader="none" w:pos="662"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Non Disparagement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expressly agrees that during his employment with the Company and for two (2) years following the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employment for any reason, he will make no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131" w:right="259" w:bottom="1440" w:gutter="0" w:footer="0" w:header="0"/>
        </w:sectPr>
      </w:pPr>
    </w:p>
    <w:bookmarkStart w:id="74" w:name="page75"/>
    <w:bookmarkEnd w:id="74"/>
    <w:p>
      <w:pPr>
        <w:ind w:right="60"/>
        <w:spacing w:after="0" w:line="268" w:lineRule="auto"/>
        <w:rPr>
          <w:sz w:val="20"/>
          <w:szCs w:val="20"/>
          <w:color w:val="auto"/>
        </w:rPr>
      </w:pPr>
      <w:r>
        <w:rPr>
          <w:rFonts w:ascii="Arial" w:cs="Arial" w:eastAsia="Arial" w:hAnsi="Arial"/>
          <w:sz w:val="18"/>
          <w:szCs w:val="18"/>
          <w:color w:val="auto"/>
        </w:rPr>
        <w:t>statement and take no actions of any kind, verbal or written, that directly or indirectly disparage, the Company, Kratos or KGS, or any affiliates or related parties, to any of their respective employees, customers or vendors, or interferes with the Company's or affiliates operations.</w:t>
      </w:r>
    </w:p>
    <w:p>
      <w:pPr>
        <w:spacing w:after="0" w:line="186" w:lineRule="exact"/>
        <w:rPr>
          <w:sz w:val="20"/>
          <w:szCs w:val="20"/>
          <w:color w:val="auto"/>
        </w:rPr>
      </w:pPr>
    </w:p>
    <w:p>
      <w:pPr>
        <w:ind w:right="80" w:firstLine="359"/>
        <w:spacing w:after="0" w:line="286" w:lineRule="auto"/>
        <w:tabs>
          <w:tab w:leader="none" w:pos="702"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Matter; Ownership. </w:t>
      </w:r>
      <w:r>
        <w:rPr>
          <w:rFonts w:ascii="Arial" w:cs="Arial" w:eastAsia="Arial" w:hAnsi="Arial"/>
          <w:sz w:val="16"/>
          <w:szCs w:val="16"/>
          <w:color w:val="auto"/>
        </w:rPr>
        <w:t>Except as permitted or directed by the Company or as required by law, Executive shall not during the term of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or at any time thereafter knowingly divulge, furnish, disclose or make accessible (other than in the ordinary course of the business of the Company) to anyone for use in any way any confidential, secret, or proprietary knowledge or information of the Company or its affiliates that is not in the public domain ("Proprietary Matter") which Executive has acquired or become acquainted with or will acquire or become acquainted with during his employment, whether developed by himself or by others, including, but not limited to, any trade secrets, confidential or secret designs, processes, formulae, software or computer programs, plans, devices, or material (whether or not patented or patentable, copyrighted or copyrightable) directly or indirectly useful in any aspect of the business of the Company and its affiliates, any confidential customer, distributor or supplier lists of the Company or its affiliates, any confidential or secret development or research work of the Company or its affiliates, or other confidential, secret or non-public aspects of the business of the Company or its affiliates. Executive acknowledges that the Proprietary Matter constitutes a unique and valuable asset of the Company or its affiliate, acquired at great time and expense by the Company or such Affiliate, and that any disclosure or other use of the Proprietary Matter other than for the sole benefit of the Company or such affiliate would be wrongful and could cause irreparable harm to the Company or such affiliate. The foregoing obligations of confidentiality, however, shall not apply to any knowledge or information which is now published or which subsequently becomes generally publicly known, other than as a direct or indirect result of the breach of this Agreement by Executive.</w:t>
      </w:r>
    </w:p>
    <w:p>
      <w:pPr>
        <w:spacing w:after="0" w:line="17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Executive agrees that he will fully inform and disclose to the Company from time to time all inventions, designs, improvements, enhancements, developments and discoveries which he now has, or may hereafter have, during the Term which pertain or relate to the business of the Company or to any experimental work carried on by the Company or its affiliates. All such inventions, designs, improvements, enhancements, developments and discoveries shall be the exclusive property of the Company or its affiliates. At the Company's sole cost and expense, the Executive shall reasonably assist the Company or its affiliates in obtaining patents on all such inventions, designs, improvements, enhancements, developments and discoveries deemed patentable by the Company or its affiliates and shall execute all documents (including assignments and related affidavits) and do all things reasonably necessary to obtain such patents. This provision shall not apply to any inventions for which no equipment, supplies, facilities or trade secret information of the Company or its affiliates was used and which was developed on Executive's own time without using any of the Company's or its affiliates' equipment, supplies, facilities or trade secret information, except for those inventions which either: (a) related at the time of conception or reduction to practice of the invention to the Company or its affiliates business, or actual or demonstrably anticipated research or development of the Company or its affiliates, or (b) result from any work performed by Executive for the Company or its affiliates.</w:t>
      </w:r>
    </w:p>
    <w:p>
      <w:pPr>
        <w:spacing w:after="0" w:line="18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This Section 10 supplements any existing agreement between the Company and Executive relating to the subject matter set forth in this Section 10. In no event shall this Section 10 be deemed to limit the rights of the Company contained in any such existing agreement.</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Upon termination of his employment for any reason, Executive shall deliver promptly to the Company all records, manuals, books, blank forms, documents, letters, memoranda, notes, notebooks, reports, data, tables, and calculations or copies thereof, which are the property of the Company and which relate in any way to the business, products, practices or techniques of the Company, and all other property of the Company and Proprietary Matter, including, but not limited to, all documents which in whole or in part, contain any trade secrets or confidential information of the Company, which in any of these cases are in his possession or under his control. If Executive purchases any record book,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ind w:right="400"/>
        <w:spacing w:after="0" w:line="268" w:lineRule="auto"/>
        <w:rPr>
          <w:sz w:val="20"/>
          <w:szCs w:val="20"/>
          <w:color w:val="auto"/>
        </w:rPr>
      </w:pPr>
      <w:r>
        <w:rPr>
          <w:rFonts w:ascii="Arial" w:cs="Arial" w:eastAsia="Arial" w:hAnsi="Arial"/>
          <w:sz w:val="18"/>
          <w:szCs w:val="18"/>
          <w:color w:val="auto"/>
        </w:rPr>
        <w:t>ledger, or similar item to be used for keeping records of or information regarding the business of the Company or its customers, Executive shall immediately notify the Company, which shall then immediately reimburse Executive for the expense of such purchase.</w:t>
      </w:r>
    </w:p>
    <w:p>
      <w:pPr>
        <w:spacing w:after="0" w:line="180" w:lineRule="exact"/>
        <w:rPr>
          <w:sz w:val="20"/>
          <w:szCs w:val="20"/>
          <w:color w:val="auto"/>
        </w:rPr>
      </w:pPr>
    </w:p>
    <w:p>
      <w:pPr>
        <w:jc w:val="both"/>
        <w:ind w:right="40" w:firstLine="359"/>
        <w:spacing w:after="0" w:line="258" w:lineRule="auto"/>
        <w:tabs>
          <w:tab w:leader="none" w:pos="696"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Injunctive Relief</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agrees that it would be difficult to compensate the Company fully for damages for any violation of the provisions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including, without limitation, the provisions of Sections 7, 8, 9, and 10. Accordingly, Executive specifically agrees that the Company shall be entitled to temporary and permanent injunctive relief to enforce the provisions of this Agreement. This provision with respect to injunctive relief shall not, however, diminish the right of the Company to claim and recover damages in addition to injunctive relief.</w:t>
      </w:r>
    </w:p>
    <w:p>
      <w:pPr>
        <w:spacing w:after="0" w:line="196" w:lineRule="exact"/>
        <w:rPr>
          <w:rFonts w:ascii="Arial" w:cs="Arial" w:eastAsia="Arial" w:hAnsi="Arial"/>
          <w:sz w:val="18"/>
          <w:szCs w:val="18"/>
          <w:color w:val="auto"/>
        </w:rPr>
      </w:pPr>
    </w:p>
    <w:p>
      <w:pPr>
        <w:ind w:left="720" w:hanging="361"/>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p>
    <w:p>
      <w:pPr>
        <w:spacing w:after="0" w:line="225" w:lineRule="exact"/>
        <w:rPr>
          <w:rFonts w:ascii="Arial" w:cs="Arial" w:eastAsia="Arial" w:hAnsi="Arial"/>
          <w:sz w:val="18"/>
          <w:szCs w:val="18"/>
          <w:color w:val="auto"/>
        </w:rPr>
      </w:pPr>
    </w:p>
    <w:p>
      <w:pPr>
        <w:ind w:left="540" w:right="120" w:firstLine="359"/>
        <w:spacing w:after="0" w:line="289" w:lineRule="auto"/>
        <w:tabs>
          <w:tab w:leader="none" w:pos="1218" w:val="left"/>
        </w:tabs>
        <w:numPr>
          <w:ilvl w:val="2"/>
          <w:numId w:val="48"/>
        </w:numPr>
        <w:rPr>
          <w:rFonts w:ascii="Arial" w:cs="Arial" w:eastAsia="Arial" w:hAnsi="Arial"/>
          <w:sz w:val="16"/>
          <w:szCs w:val="16"/>
          <w:color w:val="auto"/>
        </w:rPr>
      </w:pPr>
      <w:r>
        <w:rPr>
          <w:rFonts w:ascii="Arial" w:cs="Arial" w:eastAsia="Arial" w:hAnsi="Arial"/>
          <w:sz w:val="16"/>
          <w:szCs w:val="16"/>
          <w:i w:val="1"/>
          <w:iCs w:val="1"/>
          <w:color w:val="auto"/>
        </w:rPr>
        <w:t>Severable</w:t>
      </w:r>
      <w:r>
        <w:rPr>
          <w:rFonts w:ascii="Arial" w:cs="Arial" w:eastAsia="Arial" w:hAnsi="Arial"/>
          <w:sz w:val="16"/>
          <w:szCs w:val="16"/>
          <w:color w:val="auto"/>
        </w:rPr>
        <w:t>. The parties explicitly acknowledge and agree that the provisions of this Agreement are both reasonable and enforceable. Should</w:t>
      </w:r>
      <w:r>
        <w:rPr>
          <w:rFonts w:ascii="Arial" w:cs="Arial" w:eastAsia="Arial" w:hAnsi="Arial"/>
          <w:sz w:val="16"/>
          <w:szCs w:val="16"/>
          <w:i w:val="1"/>
          <w:iCs w:val="1"/>
          <w:color w:val="auto"/>
        </w:rPr>
        <w:t xml:space="preserve"> </w:t>
      </w:r>
      <w:r>
        <w:rPr>
          <w:rFonts w:ascii="Arial" w:cs="Arial" w:eastAsia="Arial" w:hAnsi="Arial"/>
          <w:sz w:val="16"/>
          <w:szCs w:val="16"/>
          <w:color w:val="auto"/>
        </w:rPr>
        <w:t>any provision or part thereof be held invalid or unenforceable for any reason, then such provision or part shall be enforced to the maximum extent permitted by law. Likewise, in the event that any one or more of the provisions, or parts of any provisions, contained in this Agreement shall for any reason be held to be invalid, illegal, or unenforceable in any respect by a court of competent jurisdiction, the same shall not invalidate or otherwise affect any other provision or part hereof. Specifically, but without limiting the foregoing in any way, each of the covenants of the parties to this Agreement contained herein shall be deemed and shall be construed as a separate and independent covenant and should any part or provision of any such covenants be held or declared invalid by any court of competent jurisdiction, such invalidity shall in no way render invalid or unenforceable any other part or provision thereof or any other covenant of the parties not held or declared invalid.</w:t>
      </w:r>
    </w:p>
    <w:p>
      <w:pPr>
        <w:spacing w:after="0" w:line="172" w:lineRule="exact"/>
        <w:rPr>
          <w:rFonts w:ascii="Arial" w:cs="Arial" w:eastAsia="Arial" w:hAnsi="Arial"/>
          <w:sz w:val="16"/>
          <w:szCs w:val="16"/>
          <w:color w:val="auto"/>
        </w:rPr>
      </w:pPr>
    </w:p>
    <w:p>
      <w:pPr>
        <w:ind w:left="540" w:firstLine="359"/>
        <w:spacing w:after="0" w:line="294" w:lineRule="auto"/>
        <w:tabs>
          <w:tab w:leader="none" w:pos="1228" w:val="left"/>
        </w:tabs>
        <w:numPr>
          <w:ilvl w:val="2"/>
          <w:numId w:val="48"/>
        </w:numPr>
        <w:rPr>
          <w:rFonts w:ascii="Arial" w:cs="Arial" w:eastAsia="Arial" w:hAnsi="Arial"/>
          <w:sz w:val="16"/>
          <w:szCs w:val="16"/>
          <w:color w:val="auto"/>
        </w:rPr>
      </w:pPr>
      <w:r>
        <w:rPr>
          <w:rFonts w:ascii="Arial" w:cs="Arial" w:eastAsia="Arial" w:hAnsi="Arial"/>
          <w:sz w:val="16"/>
          <w:szCs w:val="16"/>
          <w:i w:val="1"/>
          <w:iCs w:val="1"/>
          <w:color w:val="auto"/>
        </w:rPr>
        <w:t>Assignment</w:t>
      </w:r>
      <w:r>
        <w:rPr>
          <w:rFonts w:ascii="Arial" w:cs="Arial" w:eastAsia="Arial" w:hAnsi="Arial"/>
          <w:sz w:val="16"/>
          <w:szCs w:val="16"/>
          <w:color w:val="auto"/>
        </w:rPr>
        <w:t>. This Agreement and the rights and obligations of the Company hereunder may be assigned by the Company to any successor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or the business of the Company, and shall inure to the benefit of, shall be binding upon, and shall be enforceable by any such assignee, provided that any such assignee shall agree to assume and be bound by this Agreement and perform and discharge all of the obligations of the Company hereunder. Executive hereby consents to such assignment by the Company. This Agreement and the rights and obligations of Executive hereunder may not be assigned by Executive; provided, however, in the event of Executive's death any payments due to Executive hereunder shall be paid to his estate.</w:t>
      </w:r>
    </w:p>
    <w:p>
      <w:pPr>
        <w:spacing w:after="0" w:line="169" w:lineRule="exact"/>
        <w:rPr>
          <w:rFonts w:ascii="Arial" w:cs="Arial" w:eastAsia="Arial" w:hAnsi="Arial"/>
          <w:sz w:val="16"/>
          <w:szCs w:val="16"/>
          <w:color w:val="auto"/>
        </w:rPr>
      </w:pPr>
    </w:p>
    <w:p>
      <w:pPr>
        <w:ind w:left="540" w:right="220" w:firstLine="359"/>
        <w:spacing w:after="0" w:line="332" w:lineRule="auto"/>
        <w:tabs>
          <w:tab w:leader="none" w:pos="1218" w:val="left"/>
        </w:tabs>
        <w:numPr>
          <w:ilvl w:val="2"/>
          <w:numId w:val="48"/>
        </w:numPr>
        <w:rPr>
          <w:rFonts w:ascii="Arial" w:cs="Arial" w:eastAsia="Arial" w:hAnsi="Arial"/>
          <w:sz w:val="16"/>
          <w:szCs w:val="16"/>
          <w:color w:val="auto"/>
        </w:rPr>
      </w:pPr>
      <w:r>
        <w:rPr>
          <w:rFonts w:ascii="Arial" w:cs="Arial" w:eastAsia="Arial" w:hAnsi="Arial"/>
          <w:sz w:val="16"/>
          <w:szCs w:val="16"/>
          <w:i w:val="1"/>
          <w:iCs w:val="1"/>
          <w:color w:val="auto"/>
        </w:rPr>
        <w:t>Waiver</w:t>
      </w:r>
      <w:r>
        <w:rPr>
          <w:rFonts w:ascii="Arial" w:cs="Arial" w:eastAsia="Arial" w:hAnsi="Arial"/>
          <w:sz w:val="16"/>
          <w:szCs w:val="16"/>
          <w:color w:val="auto"/>
        </w:rPr>
        <w:t>. The waiver by the Company of any breach of this Agreement by Executive shall not be effective unless in writing and signed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CEO, and no such waiver shall operate or be construed as a waiver of the same or another breach on a subsequent occasion.</w:t>
      </w:r>
    </w:p>
    <w:p>
      <w:pPr>
        <w:spacing w:after="0" w:line="139" w:lineRule="exact"/>
        <w:rPr>
          <w:rFonts w:ascii="Arial" w:cs="Arial" w:eastAsia="Arial" w:hAnsi="Arial"/>
          <w:sz w:val="16"/>
          <w:szCs w:val="16"/>
          <w:color w:val="auto"/>
        </w:rPr>
      </w:pPr>
    </w:p>
    <w:p>
      <w:pPr>
        <w:ind w:left="540" w:right="220" w:firstLine="359"/>
        <w:spacing w:after="0" w:line="268" w:lineRule="auto"/>
        <w:tabs>
          <w:tab w:leader="none" w:pos="1228" w:val="left"/>
        </w:tabs>
        <w:numPr>
          <w:ilvl w:val="2"/>
          <w:numId w:val="48"/>
        </w:numPr>
        <w:rPr>
          <w:rFonts w:ascii="Arial" w:cs="Arial" w:eastAsia="Arial" w:hAnsi="Arial"/>
          <w:sz w:val="18"/>
          <w:szCs w:val="18"/>
          <w:color w:val="auto"/>
        </w:rPr>
      </w:pPr>
      <w:r>
        <w:rPr>
          <w:rFonts w:ascii="Arial" w:cs="Arial" w:eastAsia="Arial" w:hAnsi="Arial"/>
          <w:sz w:val="18"/>
          <w:szCs w:val="18"/>
          <w:i w:val="1"/>
          <w:iCs w:val="1"/>
          <w:color w:val="auto"/>
        </w:rPr>
        <w:t>Code of Conduct</w:t>
      </w:r>
      <w:r>
        <w:rPr>
          <w:rFonts w:ascii="Arial" w:cs="Arial" w:eastAsia="Arial" w:hAnsi="Arial"/>
          <w:sz w:val="18"/>
          <w:szCs w:val="18"/>
          <w:color w:val="auto"/>
        </w:rPr>
        <w:t>. The Executive shall execute the Kratos Code of Conduct, attached hereto as Exhibit B, concurrently with the execution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85" w:lineRule="exact"/>
        <w:rPr>
          <w:rFonts w:ascii="Arial" w:cs="Arial" w:eastAsia="Arial" w:hAnsi="Arial"/>
          <w:sz w:val="18"/>
          <w:szCs w:val="18"/>
          <w:color w:val="auto"/>
        </w:rPr>
      </w:pPr>
    </w:p>
    <w:p>
      <w:pPr>
        <w:ind w:left="540" w:right="60" w:firstLine="359"/>
        <w:spacing w:after="0" w:line="268" w:lineRule="auto"/>
        <w:tabs>
          <w:tab w:leader="none" w:pos="1218" w:val="left"/>
        </w:tabs>
        <w:numPr>
          <w:ilvl w:val="2"/>
          <w:numId w:val="4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the rights of the parties hereunder shall be governed by and construed in accordance with the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Indiana, without regard to conflict of law principles thereof.</w:t>
      </w:r>
    </w:p>
    <w:p>
      <w:pPr>
        <w:spacing w:after="0" w:line="185" w:lineRule="exact"/>
        <w:rPr>
          <w:rFonts w:ascii="Arial" w:cs="Arial" w:eastAsia="Arial" w:hAnsi="Arial"/>
          <w:sz w:val="18"/>
          <w:szCs w:val="18"/>
          <w:color w:val="auto"/>
        </w:rPr>
      </w:pPr>
    </w:p>
    <w:p>
      <w:pPr>
        <w:ind w:left="540" w:right="60" w:firstLine="359"/>
        <w:spacing w:after="0" w:line="259" w:lineRule="auto"/>
        <w:tabs>
          <w:tab w:leader="none" w:pos="1242" w:val="left"/>
        </w:tabs>
        <w:numPr>
          <w:ilvl w:val="2"/>
          <w:numId w:val="48"/>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embodies the entire agreement of the parties relating to the employment of Executive by the Company. No</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modification extension or renewal of this Agreement shall be valid or binding upon the Company or Executive unless made in writing and signed by the parties.</w:t>
      </w:r>
    </w:p>
    <w:p>
      <w:pPr>
        <w:spacing w:after="0" w:line="194" w:lineRule="exact"/>
        <w:rPr>
          <w:rFonts w:ascii="Arial" w:cs="Arial" w:eastAsia="Arial" w:hAnsi="Arial"/>
          <w:sz w:val="18"/>
          <w:szCs w:val="18"/>
          <w:color w:val="auto"/>
        </w:rPr>
      </w:pPr>
    </w:p>
    <w:p>
      <w:pPr>
        <w:ind w:left="540" w:right="100" w:firstLine="359"/>
        <w:spacing w:after="0" w:line="286" w:lineRule="auto"/>
        <w:tabs>
          <w:tab w:leader="none" w:pos="1228" w:val="left"/>
        </w:tabs>
        <w:numPr>
          <w:ilvl w:val="2"/>
          <w:numId w:val="48"/>
        </w:numPr>
        <w:rPr>
          <w:rFonts w:ascii="Arial" w:cs="Arial" w:eastAsia="Arial" w:hAnsi="Arial"/>
          <w:sz w:val="16"/>
          <w:szCs w:val="16"/>
          <w:color w:val="auto"/>
        </w:rPr>
      </w:pPr>
      <w:r>
        <w:rPr>
          <w:rFonts w:ascii="Arial" w:cs="Arial" w:eastAsia="Arial" w:hAnsi="Arial"/>
          <w:sz w:val="16"/>
          <w:szCs w:val="16"/>
          <w:i w:val="1"/>
          <w:iCs w:val="1"/>
          <w:color w:val="auto"/>
        </w:rPr>
        <w:t>Executive Representations and Warranties</w:t>
      </w:r>
      <w:r>
        <w:rPr>
          <w:rFonts w:ascii="Arial" w:cs="Arial" w:eastAsia="Arial" w:hAnsi="Arial"/>
          <w:sz w:val="16"/>
          <w:szCs w:val="16"/>
          <w:color w:val="auto"/>
        </w:rPr>
        <w:t>. Executive represents and warrants that the execution and delivery by Executive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performance by Executive of Executive's obligations hereunder will not, with or without the giving of notice or the passage of time, or both,</w:t>
      </w:r>
    </w:p>
    <w:p>
      <w:pPr>
        <w:ind w:left="760" w:hanging="212"/>
        <w:spacing w:after="0"/>
        <w:tabs>
          <w:tab w:leader="none" w:pos="7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violate any judgment, writ, injunction or order of any court, arbitrator, 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6" w:name="page77"/>
    <w:bookmarkEnd w:id="76"/>
    <w:p>
      <w:pPr>
        <w:ind w:right="180"/>
        <w:spacing w:after="0" w:line="268" w:lineRule="auto"/>
        <w:rPr>
          <w:sz w:val="20"/>
          <w:szCs w:val="20"/>
          <w:color w:val="auto"/>
        </w:rPr>
      </w:pPr>
      <w:r>
        <w:rPr>
          <w:rFonts w:ascii="Arial" w:cs="Arial" w:eastAsia="Arial" w:hAnsi="Arial"/>
          <w:sz w:val="18"/>
          <w:szCs w:val="18"/>
          <w:color w:val="auto"/>
        </w:rPr>
        <w:t>governmental agency applicable to Executive, or (ii) conflict with, result in the breach of any provisions of or the termination of, or constitute a default under, any agreement to which Executive is a party or by which Executive is or may be bound.</w:t>
      </w:r>
    </w:p>
    <w:p>
      <w:pPr>
        <w:spacing w:after="0" w:line="186" w:lineRule="exact"/>
        <w:rPr>
          <w:sz w:val="20"/>
          <w:szCs w:val="20"/>
          <w:color w:val="auto"/>
        </w:rPr>
      </w:pPr>
    </w:p>
    <w:p>
      <w:pPr>
        <w:ind w:right="60" w:firstLine="359"/>
        <w:spacing w:after="0" w:line="298" w:lineRule="auto"/>
        <w:tabs>
          <w:tab w:leader="none" w:pos="688"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Notice</w:t>
      </w:r>
      <w:r>
        <w:rPr>
          <w:rFonts w:ascii="Arial" w:cs="Arial" w:eastAsia="Arial" w:hAnsi="Arial"/>
          <w:sz w:val="16"/>
          <w:szCs w:val="16"/>
          <w:color w:val="auto"/>
        </w:rPr>
        <w:t>. All notices, requests, consents, waivers, demands and other communications under this Agreement must be in writing and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deemed to have been duly given if personally delivered or if sent by nationally recognized courier for next business day delivery (the date on which such notice, request, consents, waiver, demand or other communication is received shall be the date of delivery) to the parties at the following addresses (or at such other addresses as shall be specified in writing by any party to the other party by a notice given in accordance herewith):</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Executive: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Howard W. Bates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15960 Bridgewater Club Blvd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Carmel, IN 46033</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Haverstick,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6270 Corporate Drive, Suite 100</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Indianapolis, IN 46278</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Chairman and CEO</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Kratos Defense &amp; Security Services,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4810 Eastgate Mall</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Corporate Secretary</w:t>
      </w:r>
    </w:p>
    <w:p>
      <w:pPr>
        <w:spacing w:after="0" w:line="219" w:lineRule="exact"/>
        <w:rPr>
          <w:sz w:val="20"/>
          <w:szCs w:val="20"/>
          <w:color w:val="auto"/>
        </w:rPr>
      </w:pPr>
    </w:p>
    <w:p>
      <w:pPr>
        <w:ind w:right="100" w:firstLine="359"/>
        <w:spacing w:after="0" w:line="318" w:lineRule="auto"/>
        <w:tabs>
          <w:tab w:leader="none" w:pos="692"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Execution of Agreement</w:t>
      </w:r>
      <w:r>
        <w:rPr>
          <w:rFonts w:ascii="Arial" w:cs="Arial" w:eastAsia="Arial" w:hAnsi="Arial"/>
          <w:sz w:val="15"/>
          <w:szCs w:val="15"/>
          <w:color w:val="auto"/>
        </w:rPr>
        <w:t>. This Agreement may be executed in one or more counterparts, each of which will be deemed to be an original copy</w:t>
      </w:r>
      <w:r>
        <w:rPr>
          <w:rFonts w:ascii="Arial" w:cs="Arial" w:eastAsia="Arial" w:hAnsi="Arial"/>
          <w:sz w:val="15"/>
          <w:szCs w:val="15"/>
          <w:i w:val="1"/>
          <w:iCs w:val="1"/>
          <w:color w:val="auto"/>
        </w:rPr>
        <w:t xml:space="preserve"> </w:t>
      </w:r>
      <w:r>
        <w:rPr>
          <w:rFonts w:ascii="Arial" w:cs="Arial" w:eastAsia="Arial" w:hAnsi="Arial"/>
          <w:sz w:val="15"/>
          <w:szCs w:val="15"/>
          <w:color w:val="auto"/>
        </w:rPr>
        <w:t>of this Agreement and all of which, when taken together, will be deemed to constitute one and the same agreement. The exchange of copies of this Agreement and of signature pages by facsimile transmission or by electronic transmission in Adobe Acrobat format shall constitute effective execution and delivery of this Agreement as to the parties and may be used in lieu of the original Agreement for all purposes. Signatures of the parties transmitted by facsimile or by electronic transmission in Adobe Acrobat format shall be deemed to be their original signatures for any purposes whatsoever.</w:t>
      </w:r>
    </w:p>
    <w:p>
      <w:pPr>
        <w:spacing w:after="0" w:line="153" w:lineRule="exact"/>
        <w:rPr>
          <w:rFonts w:ascii="Arial" w:cs="Arial" w:eastAsia="Arial" w:hAnsi="Arial"/>
          <w:sz w:val="15"/>
          <w:szCs w:val="15"/>
          <w:color w:val="auto"/>
        </w:rPr>
      </w:pPr>
    </w:p>
    <w:p>
      <w:pPr>
        <w:ind w:right="180" w:firstLine="359"/>
        <w:spacing w:after="0" w:line="332" w:lineRule="auto"/>
        <w:tabs>
          <w:tab w:leader="none" w:pos="692"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Attorneys' Fees</w:t>
      </w:r>
      <w:r>
        <w:rPr>
          <w:rFonts w:ascii="Arial" w:cs="Arial" w:eastAsia="Arial" w:hAnsi="Arial"/>
          <w:sz w:val="16"/>
          <w:szCs w:val="16"/>
          <w:color w:val="auto"/>
        </w:rPr>
        <w:t>. The prevailing party shall be entitled to reasonable costs and expenses (including, without limitation, reasonable attorneys'</w:t>
      </w:r>
      <w:r>
        <w:rPr>
          <w:rFonts w:ascii="Arial" w:cs="Arial" w:eastAsia="Arial" w:hAnsi="Arial"/>
          <w:sz w:val="16"/>
          <w:szCs w:val="16"/>
          <w:i w:val="1"/>
          <w:iCs w:val="1"/>
          <w:color w:val="auto"/>
        </w:rPr>
        <w:t xml:space="preserve"> </w:t>
      </w:r>
      <w:r>
        <w:rPr>
          <w:rFonts w:ascii="Arial" w:cs="Arial" w:eastAsia="Arial" w:hAnsi="Arial"/>
          <w:sz w:val="16"/>
          <w:szCs w:val="16"/>
          <w:color w:val="auto"/>
        </w:rPr>
        <w:t>fees and disbursements) in connection with any litigation relating to any breach or alleged breach of this Agreement.</w:t>
      </w:r>
    </w:p>
    <w:p>
      <w:pPr>
        <w:spacing w:after="0" w:line="139" w:lineRule="exact"/>
        <w:rPr>
          <w:rFonts w:ascii="Arial" w:cs="Arial" w:eastAsia="Arial" w:hAnsi="Arial"/>
          <w:sz w:val="16"/>
          <w:szCs w:val="16"/>
          <w:color w:val="auto"/>
        </w:rPr>
      </w:pPr>
    </w:p>
    <w:p>
      <w:pPr>
        <w:jc w:val="both"/>
        <w:ind w:firstLine="359"/>
        <w:spacing w:after="0" w:line="256" w:lineRule="auto"/>
        <w:tabs>
          <w:tab w:leader="none" w:pos="688"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Executive shall be entitled to indemnification and/or insurance coverage provided by the Company and/or the Kratos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claims asserted against Executive in, or arising out of, Executive's capacity as an officer of the Company, from and after the Commencement Date of this Agreement, under the same indemnification standards and/or policies of insurance applicable to similarly-situated officers of the Company, Kratos and their affiliates.</w:t>
      </w:r>
    </w:p>
    <w:p>
      <w:pPr>
        <w:spacing w:after="0" w:line="1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780" w:top="590" w:right="319" w:bottom="1440" w:gutter="0" w:footer="0" w:header="0"/>
        </w:sectPr>
      </w:pPr>
    </w:p>
    <w:bookmarkStart w:id="77" w:name="page78"/>
    <w:bookmarkEnd w:id="77"/>
    <w:p>
      <w:pPr>
        <w:jc w:val="center"/>
        <w:ind w:right="-299"/>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and Executive have each executed and delivered this Employment Agreement as of the date first above written.</w:t>
      </w:r>
    </w:p>
    <w:p>
      <w:pPr>
        <w:spacing w:after="0" w:line="248"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"Company"</w:t>
      </w:r>
    </w:p>
    <w:p>
      <w:pPr>
        <w:spacing w:after="0" w:line="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HAVERSTICK CONSULTING, INC.</w:t>
      </w:r>
    </w:p>
    <w:p>
      <w:pPr>
        <w:spacing w:after="0" w:line="219" w:lineRule="exact"/>
        <w:rPr>
          <w:sz w:val="20"/>
          <w:szCs w:val="20"/>
          <w:color w:val="auto"/>
        </w:rPr>
      </w:pPr>
    </w:p>
    <w:p>
      <w:pPr>
        <w:ind w:left="5560"/>
        <w:spacing w:after="0"/>
        <w:tabs>
          <w:tab w:leader="none" w:pos="6020" w:val="left"/>
        </w:tabs>
        <w:rPr>
          <w:sz w:val="20"/>
          <w:szCs w:val="20"/>
          <w:color w:val="auto"/>
        </w:rPr>
      </w:pPr>
      <w:r>
        <w:rPr>
          <w:rFonts w:ascii="Arial" w:cs="Arial" w:eastAsia="Arial" w:hAnsi="Arial"/>
          <w:sz w:val="18"/>
          <w:szCs w:val="18"/>
          <w:color w:val="auto"/>
        </w:rPr>
        <w:t>By:</w:t>
        <w:tab/>
        <w:t>/s/ HOWARD W.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71120</wp:posOffset>
            </wp:positionV>
            <wp:extent cx="1869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7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71120</wp:posOffset>
            </wp:positionV>
            <wp:extent cx="18694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88"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"Executive"</w:t>
      </w:r>
    </w:p>
    <w:p>
      <w:pPr>
        <w:spacing w:after="0" w:line="2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HOWARD W.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71120</wp:posOffset>
            </wp:positionV>
            <wp:extent cx="21780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Howard W. Bates</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Guaranty</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Kratos Defense and Security Solutions, Inc. hereby unconditionally guarantees the performance by the Company of its obligations hereunder. This guaranty shall be a guaranty of payment and not of collection. Executive shall not be required to demand payment from the Company before proceeding directly against Kratos to enforce the obligations of the Company hereunder.</w:t>
      </w:r>
    </w:p>
    <w:p>
      <w:pPr>
        <w:spacing w:after="0" w:line="19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KRATOS DEFENSE AND SECURITY SOLUTIONS, INC.</w:t>
      </w:r>
    </w:p>
    <w:p>
      <w:pPr>
        <w:spacing w:after="0" w:line="225" w:lineRule="exact"/>
        <w:rPr>
          <w:sz w:val="20"/>
          <w:szCs w:val="20"/>
          <w:color w:val="auto"/>
        </w:rPr>
      </w:pPr>
    </w:p>
    <w:p>
      <w:pPr>
        <w:ind w:left="544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DEANNA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71120</wp:posOffset>
            </wp:positionV>
            <wp:extent cx="2418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7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Deanna Lund</w:t>
      </w:r>
    </w:p>
    <w:p>
      <w:pPr>
        <w:spacing w:after="0" w:line="1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Sr. Vice President &amp; Chief Financial Officer</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 10.1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8">
        <w:r>
          <w:rPr>
            <w:rFonts w:ascii="Arial" w:cs="Arial" w:eastAsia="Arial" w:hAnsi="Arial"/>
            <w:sz w:val="16"/>
            <w:szCs w:val="16"/>
            <w:u w:val="single" w:color="auto"/>
            <w:color w:val="0000EE"/>
          </w:rPr>
          <w:t>EMPLOYMENT AGREEMENT</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Guaranty</w:t>
        </w:r>
      </w:hyperlink>
    </w:p>
    <w:p>
      <w:pPr>
        <w:sectPr>
          <w:pgSz w:w="11900" w:h="16838" w:orient="portrait"/>
          <w:cols w:equalWidth="0" w:num="1">
            <w:col w:w="10219"/>
          </w:cols>
          <w:pgMar w:left="240" w:top="820" w:right="1440" w:bottom="1440" w:gutter="0" w:footer="0" w:header="0"/>
        </w:sectPr>
      </w:pPr>
    </w:p>
    <w:bookmarkStart w:id="79" w:name="page80"/>
    <w:bookmarkEnd w:id="79"/>
    <w:p>
      <w:pPr>
        <w:spacing w:after="0"/>
        <w:rPr>
          <w:rFonts w:ascii="Arial" w:cs="Arial" w:eastAsia="Arial" w:hAnsi="Arial"/>
          <w:sz w:val="22"/>
          <w:szCs w:val="22"/>
          <w:color w:val="0000EE"/>
        </w:rPr>
      </w:pPr>
      <w:hyperlink w:anchor="page8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39"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5730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CERTIFICATION OF CHIEF EXECUTIVE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81" w:name="page82"/>
    <w:bookmarkEnd w:id="81"/>
    <w:p>
      <w:pPr>
        <w:spacing w:after="0"/>
        <w:rPr>
          <w:rFonts w:ascii="Arial" w:cs="Arial" w:eastAsia="Arial" w:hAnsi="Arial"/>
          <w:sz w:val="22"/>
          <w:szCs w:val="22"/>
          <w:color w:val="0000EE"/>
        </w:rPr>
      </w:pPr>
      <w:hyperlink w:anchor="page8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39"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20" w:hanging="532"/>
        <w:spacing w:after="0" w:line="332" w:lineRule="auto"/>
        <w:tabs>
          <w:tab w:leader="none" w:pos="10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340" w:hanging="532"/>
        <w:spacing w:after="0" w:line="268"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240" w:hanging="532"/>
        <w:spacing w:after="0" w:line="332" w:lineRule="auto"/>
        <w:tabs>
          <w:tab w:leader="none" w:pos="10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5730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CERTIFICATION OF CHIEF FINANCIAL OFFICER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83" w:name="page84"/>
    <w:bookmarkEnd w:id="83"/>
    <w:p>
      <w:pPr>
        <w:spacing w:after="0"/>
        <w:rPr>
          <w:rFonts w:ascii="Arial" w:cs="Arial" w:eastAsia="Arial" w:hAnsi="Arial"/>
          <w:sz w:val="22"/>
          <w:szCs w:val="22"/>
          <w:color w:val="0000EE"/>
        </w:rPr>
      </w:pPr>
      <w:hyperlink w:anchor="page8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March 29, 2009 (the "Report"), I, Eric M. DeMarco, Chief Executive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12, 2009</w:t>
      </w:r>
    </w:p>
    <w:p>
      <w:pPr>
        <w:spacing w:after="0"/>
        <w:rPr>
          <w:rFonts w:ascii="Arial" w:cs="Arial" w:eastAsia="Arial" w:hAnsi="Arial"/>
          <w:sz w:val="18"/>
          <w:szCs w:val="18"/>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5730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4">
        <w:r>
          <w:rPr>
            <w:rFonts w:ascii="Arial" w:cs="Arial" w:eastAsia="Arial" w:hAnsi="Arial"/>
            <w:sz w:val="16"/>
            <w:szCs w:val="16"/>
            <w:u w:val="single" w:color="auto"/>
            <w:color w:val="0000EE"/>
          </w:rPr>
          <w:t>CERTIFICATION PURSUANT TO SECTION 906 OF THE SARBANES-OXLEY ACT OF 2002 (18 U.S.C. SECTION 1350)</w:t>
        </w:r>
      </w:hyperlink>
    </w:p>
    <w:p>
      <w:pPr>
        <w:sectPr>
          <w:pgSz w:w="11900" w:h="16838" w:orient="portrait"/>
          <w:cols w:equalWidth="0" w:num="1">
            <w:col w:w="10219"/>
          </w:cols>
          <w:pgMar w:left="240" w:top="820" w:right="1440" w:bottom="1440" w:gutter="0" w:footer="0" w:header="0"/>
        </w:sectPr>
      </w:pPr>
    </w:p>
    <w:bookmarkStart w:id="85" w:name="page86"/>
    <w:bookmarkEnd w:id="85"/>
    <w:p>
      <w:pPr>
        <w:spacing w:after="0"/>
        <w:rPr>
          <w:rFonts w:ascii="Arial" w:cs="Arial" w:eastAsia="Arial" w:hAnsi="Arial"/>
          <w:sz w:val="22"/>
          <w:szCs w:val="22"/>
          <w:color w:val="0000EE"/>
        </w:rPr>
      </w:pPr>
      <w:hyperlink w:anchor="page8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March 29,2009 (the "Report"), I, Deanna H. Lund, Chief Financial Officer of the Company, certify,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12, 2009</w:t>
      </w:r>
    </w:p>
    <w:p>
      <w:pPr>
        <w:spacing w:after="0"/>
        <w:rPr>
          <w:rFonts w:ascii="Arial" w:cs="Arial" w:eastAsia="Arial" w:hAnsi="Arial"/>
          <w:sz w:val="18"/>
          <w:szCs w:val="18"/>
          <w:color w:val="auto"/>
        </w:rPr>
      </w:pPr>
      <w:r>
        <w:rPr>
          <w:rFonts w:ascii="Arial" w:cs="Arial" w:eastAsia="Arial" w:hAnsi="Arial"/>
          <w:sz w:val="18"/>
          <w:szCs w:val="18"/>
          <w:color w:val="auto"/>
        </w:rPr>
        <w:t>KRATOS DEFENSE &amp; SECURITY SOLUTIONS,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5730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CERTIFICATION PURSUANT TO SECTION 906 OF THE SARBANES-OXLEY ACT OF 2002 (18 U.S.C. SECTION 1350)</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1)"/>
      <w:numFmt w:val="lowerLetter"/>
      <w:start w:val="1"/>
    </w:lvl>
  </w:abstractNum>
  <w:abstractNum w:abstractNumId="3">
    <w:nsid w:val="2901D82"/>
    <w:multiLevelType w:val="hybridMultilevel"/>
    <w:lvl w:ilvl="0">
      <w:lvlJc w:val="left"/>
      <w:lvlText w:val="(%1)"/>
      <w:numFmt w:val="lowerLetter"/>
      <w:start w:val="2"/>
    </w:lvl>
  </w:abstractNum>
  <w:abstractNum w:abstractNumId="4">
    <w:nsid w:val="3A95F874"/>
    <w:multiLevelType w:val="hybridMultilevel"/>
    <w:lvl w:ilvl="0">
      <w:lvlJc w:val="left"/>
      <w:lvlText w:val="(%1)"/>
      <w:numFmt w:val="lowerLetter"/>
      <w:start w:val="3"/>
    </w:lvl>
  </w:abstractNum>
  <w:abstractNum w:abstractNumId="5">
    <w:nsid w:val="8138641"/>
    <w:multiLevelType w:val="hybridMultilevel"/>
    <w:lvl w:ilvl="0">
      <w:lvlJc w:val="left"/>
      <w:lvlText w:val="(%1)"/>
      <w:numFmt w:val="lowerLetter"/>
      <w:start w:val="4"/>
    </w:lvl>
  </w:abstractNum>
  <w:abstractNum w:abstractNumId="6">
    <w:nsid w:val="1E7FF521"/>
    <w:multiLevelType w:val="hybridMultilevel"/>
    <w:lvl w:ilvl="0">
      <w:lvlJc w:val="left"/>
      <w:lvlText w:val="(%1)"/>
      <w:numFmt w:val="lowerLetter"/>
      <w:start w:val="5"/>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lowerLetter"/>
      <w:start w:val="6"/>
    </w:lvl>
  </w:abstractNum>
  <w:abstractNum w:abstractNumId="9">
    <w:nsid w:val="6CEAF087"/>
    <w:multiLevelType w:val="hybridMultilevel"/>
    <w:lvl w:ilvl="0">
      <w:lvlJc w:val="left"/>
      <w:lvlText w:val="(%1)"/>
      <w:numFmt w:val="lowerLetter"/>
      <w:start w:val="7"/>
    </w:lvl>
  </w:abstractNum>
  <w:abstractNum w:abstractNumId="10">
    <w:nsid w:val="22221A70"/>
    <w:multiLevelType w:val="hybridMultilevel"/>
    <w:lvl w:ilvl="0">
      <w:lvlJc w:val="left"/>
      <w:lvlText w:val="(%1)"/>
      <w:numFmt w:val="lowerLetter"/>
      <w:start w:val="8"/>
    </w:lvl>
  </w:abstractNum>
  <w:abstractNum w:abstractNumId="11">
    <w:nsid w:val="4516DDE9"/>
    <w:multiLevelType w:val="hybridMultilevel"/>
    <w:lvl w:ilvl="0">
      <w:lvlJc w:val="left"/>
      <w:lvlText w:val="(%1)"/>
      <w:numFmt w:val="lowerRoman"/>
      <w:start w:val="1"/>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1)"/>
      <w:numFmt w:val="lowerLetter"/>
      <w:start w:val="2"/>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lowerLetter"/>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1."/>
      <w:numFmt w:val="decimal"/>
      <w:start w:val="1"/>
    </w:lvl>
    <w:lvl w:ilvl="1">
      <w:lvlJc w:val="left"/>
      <w:lvlText w:val="(%2)"/>
      <w:numFmt w:val="lowerLetter"/>
      <w:start w:val="1"/>
    </w:lvl>
  </w:abstractNum>
  <w:abstractNum w:abstractNumId="31">
    <w:nsid w:val="2A487CB0"/>
    <w:multiLevelType w:val="hybridMultilevel"/>
    <w:lvl w:ilvl="0">
      <w:lvlJc w:val="left"/>
      <w:lvlText w:val="%1"/>
      <w:numFmt w:val="decimal"/>
      <w:start w:val="1"/>
    </w:lvl>
    <w:lvl w:ilvl="1">
      <w:lvlJc w:val="left"/>
      <w:lvlText w:val="(%2)"/>
      <w:numFmt w:val="lowerLetter"/>
      <w:start w:val="3"/>
    </w:lvl>
  </w:abstractNum>
  <w:abstractNum w:abstractNumId="32">
    <w:nsid w:val="1D4ED43B"/>
    <w:multiLevelType w:val="hybridMultilevel"/>
    <w:lvl w:ilvl="0">
      <w:lvlJc w:val="left"/>
      <w:lvlText w:val="%1."/>
      <w:numFmt w:val="decimal"/>
      <w:start w:val="3"/>
    </w:lvl>
    <w:lvl w:ilvl="1">
      <w:lvlJc w:val="left"/>
      <w:lvlText w:val="(%2)"/>
      <w:numFmt w:val="lowerLetter"/>
      <w:start w:val="1"/>
    </w:lvl>
  </w:abstractNum>
  <w:abstractNum w:abstractNumId="33">
    <w:nsid w:val="725A06FB"/>
    <w:multiLevelType w:val="hybridMultilevel"/>
    <w:lvl w:ilvl="0">
      <w:lvlJc w:val="left"/>
      <w:lvlText w:val="(%1)"/>
      <w:numFmt w:val="lowerLetter"/>
      <w:start w:val="4"/>
    </w:lvl>
  </w:abstractNum>
  <w:abstractNum w:abstractNumId="34">
    <w:nsid w:val="2CD89A32"/>
    <w:multiLevelType w:val="hybridMultilevel"/>
    <w:lvl w:ilvl="0">
      <w:lvlJc w:val="left"/>
      <w:lvlText w:val="%1"/>
      <w:numFmt w:val="decimal"/>
      <w:start w:val="1"/>
    </w:lvl>
    <w:lvl w:ilvl="1">
      <w:lvlJc w:val="left"/>
      <w:lvlText w:val="(%2)"/>
      <w:numFmt w:val="lowerLetter"/>
      <w:start w:val="10"/>
    </w:lvl>
    <w:lvl w:ilvl="2">
      <w:lvlJc w:val="left"/>
      <w:lvlText w:val="%3"/>
      <w:numFmt w:val="decimal"/>
      <w:start w:val="1"/>
    </w:lvl>
    <w:lvl w:ilvl="3">
      <w:lvlJc w:val="left"/>
      <w:lvlText w:val="%4"/>
      <w:numFmt w:val="lowerRoman"/>
      <w:start w:val="1"/>
    </w:lvl>
  </w:abstractNum>
  <w:abstractNum w:abstractNumId="35">
    <w:nsid w:val="57E4CCAF"/>
    <w:multiLevelType w:val="hybridMultilevel"/>
    <w:lvl w:ilvl="0">
      <w:lvlJc w:val="left"/>
      <w:lvlText w:val="%1."/>
      <w:numFmt w:val="decimal"/>
      <w:start w:val="5"/>
    </w:lvl>
    <w:lvl w:ilvl="1">
      <w:lvlJc w:val="left"/>
      <w:lvlText w:val="(%2)"/>
      <w:numFmt w:val="lowerLetter"/>
      <w:start w:val="1"/>
    </w:lvl>
    <w:lvl w:ilvl="2">
      <w:lvlJc w:val="left"/>
      <w:lvlText w:val="(%3)"/>
      <w:numFmt w:val="decimal"/>
      <w:start w:val="29"/>
    </w:lvl>
    <w:lvl w:ilvl="3">
      <w:lvlJc w:val="left"/>
      <w:lvlText w:val="(%4)"/>
      <w:numFmt w:val="lowerRoman"/>
      <w:start w:val="1"/>
    </w:lvl>
  </w:abstractNum>
  <w:abstractNum w:abstractNumId="36">
    <w:nsid w:val="7A6D8D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6"/>
    </w:lvl>
  </w:abstractNum>
  <w:abstractNum w:abstractNumId="37">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38">
    <w:nsid w:val="542289E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9">
    <w:nsid w:val="6DE91B1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0">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1">
    <w:nsid w:val="7644A4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2">
    <w:nsid w:val="32FFF90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3">
    <w:nsid w:val="684A48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4">
    <w:nsid w:val="579478FE"/>
    <w:multiLevelType w:val="hybridMultilevel"/>
    <w:lvl w:ilvl="0">
      <w:lvlJc w:val="left"/>
      <w:lvlText w:val="%1"/>
      <w:numFmt w:val="decimal"/>
      <w:start w:val="1"/>
    </w:lvl>
    <w:lvl w:ilvl="1">
      <w:lvlJc w:val="left"/>
      <w:lvlText w:val="(%2)"/>
      <w:numFmt w:val="decimal"/>
      <w:start w:val="3"/>
    </w:lvl>
    <w:lvl w:ilvl="2">
      <w:lvlJc w:val="left"/>
      <w:lvlText w:val="(%3)"/>
      <w:numFmt w:val="lowerLetter"/>
      <w:start w:val="3"/>
    </w:lvl>
  </w:abstractNum>
  <w:abstractNum w:abstractNumId="45">
    <w:nsid w:val="749ABB43"/>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46">
    <w:nsid w:val="3DC240FB"/>
    <w:multiLevelType w:val="hybridMultilevel"/>
    <w:lvl w:ilvl="0">
      <w:lvlJc w:val="left"/>
      <w:lvlText w:val="%1."/>
      <w:numFmt w:val="decimal"/>
      <w:start w:val="10"/>
    </w:lvl>
  </w:abstractNum>
  <w:abstractNum w:abstractNumId="47">
    <w:nsid w:val="1BA026FA"/>
    <w:multiLevelType w:val="hybridMultilevel"/>
    <w:lvl w:ilvl="0">
      <w:lvlJc w:val="left"/>
      <w:lvlText w:val="%1."/>
      <w:numFmt w:val="decimal"/>
      <w:start w:val="11"/>
    </w:lvl>
    <w:lvl w:ilvl="1">
      <w:lvlJc w:val="left"/>
      <w:lvlText w:val="(%2)"/>
      <w:numFmt w:val="lowerLetter"/>
      <w:start w:val="8"/>
    </w:lvl>
    <w:lvl w:ilvl="2">
      <w:lvlJc w:val="left"/>
      <w:lvlText w:val="(%3)"/>
      <w:numFmt w:val="lowerLetter"/>
      <w:start w:val="1"/>
    </w:lvl>
  </w:abstractNum>
  <w:abstractNum w:abstractNumId="48">
    <w:nsid w:val="79A1DEAA"/>
    <w:multiLevelType w:val="hybridMultilevel"/>
    <w:lvl w:ilvl="0">
      <w:lvlJc w:val="left"/>
      <w:lvlText w:val="(%1)"/>
      <w:numFmt w:val="lowerLetter"/>
      <w:start w:val="8"/>
    </w:lvl>
  </w:abstractNum>
  <w:abstractNum w:abstractNumId="49">
    <w:nsid w:val="75C6C33A"/>
    <w:multiLevelType w:val="hybridMultilevel"/>
    <w:lvl w:ilvl="0">
      <w:lvlJc w:val="left"/>
      <w:lvlText w:val="(%1)"/>
      <w:numFmt w:val="lowerLetter"/>
      <w:start w:val="9"/>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2019-12-10T17:30:27Z</dcterms:created>
  <dcterms:modified xsi:type="dcterms:W3CDTF">2019-12-10T17:30:27Z</dcterms:modified>
</cp:coreProperties>
</file>