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334645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351790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163830</wp:posOffset>
            </wp:positionV>
            <wp:extent cx="3764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99695</wp:posOffset>
            </wp:positionV>
            <wp:extent cx="3764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9" w:lineRule="exact"/>
        <w:rPr>
          <w:sz w:val="24"/>
          <w:szCs w:val="24"/>
          <w:color w:val="auto"/>
        </w:rPr>
      </w:pPr>
    </w:p>
    <w:p>
      <w:pPr>
        <w:ind w:left="2220" w:hanging="1023"/>
        <w:spacing w:after="0"/>
        <w:tabs>
          <w:tab w:leader="none" w:pos="2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27, 2015</w:t>
      </w:r>
    </w:p>
    <w:p>
      <w:pPr>
        <w:spacing w:after="0" w:line="67"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AND EXCHANGE ACT</w:t>
      </w:r>
    </w:p>
    <w:p>
      <w:pPr>
        <w:spacing w:after="0" w:line="19" w:lineRule="exact"/>
        <w:rPr>
          <w:sz w:val="24"/>
          <w:szCs w:val="24"/>
          <w:color w:val="auto"/>
        </w:rPr>
      </w:pPr>
    </w:p>
    <w:p>
      <w:pPr>
        <w:ind w:left="2220" w:hanging="1023"/>
        <w:spacing w:after="0"/>
        <w:tabs>
          <w:tab w:leader="none" w:pos="2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1934</w:t>
      </w:r>
    </w:p>
    <w:p>
      <w:pPr>
        <w:spacing w:after="0" w:line="1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001-34460</w:t>
      </w:r>
    </w:p>
    <w:p>
      <w:pPr>
        <w:spacing w:after="0" w:line="1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KRATOS DEFENSE &amp; SECURITY SOLUTIONS, INC.</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229" w:right="259" w:bottom="1440" w:gutter="0" w:footer="0" w:header="0"/>
        </w:sectPr>
      </w:pPr>
    </w:p>
    <w:p>
      <w:pPr>
        <w:spacing w:after="0" w:line="161"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13-3818604</w:t>
      </w:r>
    </w:p>
    <w:p>
      <w:pPr>
        <w:spacing w:after="0" w:line="63" w:lineRule="exact"/>
        <w:rPr>
          <w:sz w:val="24"/>
          <w:szCs w:val="24"/>
          <w:color w:val="auto"/>
        </w:rPr>
      </w:pPr>
    </w:p>
    <w:p>
      <w:pPr>
        <w:sectPr>
          <w:pgSz w:w="11900" w:h="16838" w:orient="portrait"/>
          <w:cols w:equalWidth="0" w:num="2">
            <w:col w:w="6820" w:space="720"/>
            <w:col w:w="3860"/>
          </w:cols>
          <w:pgMar w:left="240" w:top="229" w:right="259"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4"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71" w:lineRule="exact"/>
        <w:rPr>
          <w:sz w:val="24"/>
          <w:szCs w:val="24"/>
          <w:color w:val="auto"/>
        </w:rPr>
      </w:pPr>
    </w:p>
    <w:p>
      <w:pPr>
        <w:sectPr>
          <w:pgSz w:w="11900" w:h="16838" w:orient="portrait"/>
          <w:cols w:equalWidth="0" w:num="2">
            <w:col w:w="6220" w:space="720"/>
            <w:col w:w="4460"/>
          </w:cols>
          <w:pgMar w:left="240" w:top="229"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4820 Eastgate Mall, Suite 200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(858) 812-7300</w:t>
      </w:r>
    </w:p>
    <w:p>
      <w:pPr>
        <w:sectPr>
          <w:pgSz w:w="11900" w:h="16838" w:orient="portrait"/>
          <w:cols w:equalWidth="0" w:num="1">
            <w:col w:w="11400"/>
          </w:cols>
          <w:pgMar w:left="240" w:top="229" w:right="259" w:bottom="1440" w:gutter="0" w:footer="0" w:header="0"/>
          <w:type w:val="continuous"/>
        </w:sectPr>
      </w:pP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w:t>
      </w:r>
    </w:p>
    <w:p>
      <w:pPr>
        <w:jc w:val="center"/>
        <w:ind w:right="-39"/>
        <w:spacing w:after="0"/>
        <w:rPr>
          <w:sz w:val="20"/>
          <w:szCs w:val="20"/>
          <w:color w:val="auto"/>
        </w:rPr>
      </w:pPr>
      <w:r>
        <w:rPr>
          <w:rFonts w:ascii="Times New Roman" w:cs="Times New Roman" w:eastAsia="Times New Roman" w:hAnsi="Times New Roman"/>
          <w:sz w:val="14"/>
          <w:szCs w:val="14"/>
          <w:color w:val="auto"/>
        </w:rPr>
        <w:t>area code, of Registrant’s principal executive offices)</w:t>
      </w:r>
    </w:p>
    <w:p>
      <w:pPr>
        <w:spacing w:after="0" w:line="2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1" w:lineRule="exact"/>
        <w:rPr>
          <w:sz w:val="24"/>
          <w:szCs w:val="24"/>
          <w:color w:val="auto"/>
        </w:rPr>
      </w:pPr>
    </w:p>
    <w:tbl>
      <w:tblPr>
        <w:tblLayout w:type="fixed"/>
        <w:tblInd w:w="180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3900" w:type="dxa"/>
            <w:vAlign w:val="bottom"/>
            <w:gridSpan w:val="2"/>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81"/>
        </w:trPr>
        <w:tc>
          <w:tcPr>
            <w:tcW w:w="4860" w:type="dxa"/>
            <w:vAlign w:val="bottom"/>
            <w:gridSpan w:val="3"/>
          </w:tcPr>
          <w:p>
            <w:pPr>
              <w:jc w:val="center"/>
              <w:ind w:right="1800"/>
              <w:spacing w:after="0"/>
              <w:rPr>
                <w:sz w:val="20"/>
                <w:szCs w:val="20"/>
                <w:color w:val="auto"/>
              </w:rPr>
            </w:pPr>
            <w:r>
              <w:rPr>
                <w:rFonts w:ascii="Times New Roman" w:cs="Times New Roman" w:eastAsia="Times New Roman" w:hAnsi="Times New Roman"/>
                <w:sz w:val="14"/>
                <w:szCs w:val="14"/>
                <w:color w:val="auto"/>
              </w:rPr>
              <w:t>Common Stock, par value $0.001</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270"/>
        </w:trPr>
        <w:tc>
          <w:tcPr>
            <w:tcW w:w="4860" w:type="dxa"/>
            <w:vAlign w:val="bottom"/>
            <w:gridSpan w:val="3"/>
          </w:tcPr>
          <w:p>
            <w:pPr>
              <w:jc w:val="center"/>
              <w:ind w:right="1800"/>
              <w:spacing w:after="0"/>
              <w:rPr>
                <w:sz w:val="20"/>
                <w:szCs w:val="20"/>
                <w:color w:val="auto"/>
              </w:rPr>
            </w:pPr>
            <w:r>
              <w:rPr>
                <w:rFonts w:ascii="Times New Roman" w:cs="Times New Roman" w:eastAsia="Times New Roman" w:hAnsi="Times New Roman"/>
                <w:sz w:val="14"/>
                <w:szCs w:val="14"/>
                <w:color w:val="auto"/>
              </w:rPr>
              <w:t>Right to purchase Shares of Series C Preferred Stock</w:t>
            </w:r>
          </w:p>
        </w:tc>
        <w:tc>
          <w:tcPr>
            <w:tcW w:w="2680" w:type="dxa"/>
            <w:vAlign w:val="bottom"/>
          </w:tcPr>
          <w:p>
            <w:pPr>
              <w:spacing w:after="0"/>
              <w:rPr>
                <w:sz w:val="23"/>
                <w:szCs w:val="23"/>
                <w:color w:val="auto"/>
              </w:rPr>
            </w:pPr>
          </w:p>
        </w:tc>
      </w:tr>
    </w:tbl>
    <w:p>
      <w:pPr>
        <w:spacing w:after="0" w:line="1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None</w:t>
      </w:r>
    </w:p>
    <w:p>
      <w:pPr>
        <w:ind w:left="340" w:right="338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69" w:lineRule="exact"/>
        <w:rPr>
          <w:sz w:val="24"/>
          <w:szCs w:val="24"/>
          <w:color w:val="auto"/>
        </w:rPr>
      </w:pPr>
    </w:p>
    <w:p>
      <w:pPr>
        <w:ind w:right="40" w:firstLine="32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233" w:lineRule="exact"/>
        <w:rPr>
          <w:sz w:val="24"/>
          <w:szCs w:val="24"/>
          <w:color w:val="auto"/>
        </w:rPr>
      </w:pPr>
    </w:p>
    <w:p>
      <w:pPr>
        <w:ind w:right="30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69"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1980" w:type="dxa"/>
        <w:tblCellMar>
          <w:top w:w="0" w:type="dxa"/>
          <w:left w:w="0" w:type="dxa"/>
          <w:bottom w:w="0" w:type="dxa"/>
          <w:right w:w="0" w:type="dxa"/>
        </w:tblCellMar>
      </w:tblPr>
      <w:tr>
        <w:trPr>
          <w:trHeight w:val="226"/>
        </w:trPr>
        <w:tc>
          <w:tcPr>
            <w:tcW w:w="3920" w:type="dxa"/>
            <w:vAlign w:val="bottom"/>
          </w:tcPr>
          <w:p>
            <w:pPr>
              <w:jc w:val="center"/>
              <w:ind w:right="1168"/>
              <w:spacing w:after="0"/>
              <w:rPr>
                <w:sz w:val="20"/>
                <w:szCs w:val="20"/>
                <w:color w:val="auto"/>
              </w:rPr>
            </w:pPr>
            <w:r>
              <w:rPr>
                <w:rFonts w:ascii="Times New Roman" w:cs="Times New Roman" w:eastAsia="Times New Roman" w:hAnsi="Times New Roman"/>
                <w:sz w:val="14"/>
                <w:szCs w:val="14"/>
                <w:color w:val="auto"/>
              </w:rPr>
              <w:t>Large accelerated filer o</w:t>
            </w:r>
          </w:p>
        </w:tc>
        <w:tc>
          <w:tcPr>
            <w:tcW w:w="2920" w:type="dxa"/>
            <w:vAlign w:val="bottom"/>
          </w:tcPr>
          <w:p>
            <w:pPr>
              <w:jc w:val="center"/>
              <w:ind w:left="1168"/>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r>
      <w:tr>
        <w:trPr>
          <w:trHeight w:val="270"/>
        </w:trPr>
        <w:tc>
          <w:tcPr>
            <w:tcW w:w="3920" w:type="dxa"/>
            <w:vAlign w:val="bottom"/>
          </w:tcPr>
          <w:p>
            <w:pPr>
              <w:jc w:val="center"/>
              <w:ind w:right="1168"/>
              <w:spacing w:after="0"/>
              <w:rPr>
                <w:sz w:val="20"/>
                <w:szCs w:val="20"/>
                <w:color w:val="auto"/>
              </w:rPr>
            </w:pPr>
            <w:r>
              <w:rPr>
                <w:rFonts w:ascii="Times New Roman" w:cs="Times New Roman" w:eastAsia="Times New Roman" w:hAnsi="Times New Roman"/>
                <w:sz w:val="14"/>
                <w:szCs w:val="14"/>
                <w:color w:val="auto"/>
              </w:rPr>
              <w:t>Non-accelerated filer o</w:t>
            </w:r>
          </w:p>
        </w:tc>
        <w:tc>
          <w:tcPr>
            <w:tcW w:w="2920" w:type="dxa"/>
            <w:vAlign w:val="bottom"/>
          </w:tcPr>
          <w:p>
            <w:pPr>
              <w:jc w:val="center"/>
              <w:ind w:left="1168"/>
              <w:spacing w:after="0"/>
              <w:rPr>
                <w:sz w:val="20"/>
                <w:szCs w:val="20"/>
                <w:color w:val="auto"/>
              </w:rPr>
            </w:pPr>
            <w:r>
              <w:rPr>
                <w:rFonts w:ascii="Times New Roman" w:cs="Times New Roman" w:eastAsia="Times New Roman" w:hAnsi="Times New Roman"/>
                <w:sz w:val="14"/>
                <w:szCs w:val="14"/>
                <w:color w:val="auto"/>
              </w:rPr>
              <w:t>Smaller reporting company o</w:t>
            </w:r>
          </w:p>
        </w:tc>
      </w:tr>
      <w:tr>
        <w:trPr>
          <w:trHeight w:val="203"/>
        </w:trPr>
        <w:tc>
          <w:tcPr>
            <w:tcW w:w="3920" w:type="dxa"/>
            <w:vAlign w:val="bottom"/>
          </w:tcPr>
          <w:p>
            <w:pPr>
              <w:jc w:val="center"/>
              <w:ind w:right="1168"/>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2920" w:type="dxa"/>
            <w:vAlign w:val="bottom"/>
          </w:tcPr>
          <w:p>
            <w:pPr>
              <w:spacing w:after="0"/>
              <w:rPr>
                <w:sz w:val="17"/>
                <w:szCs w:val="17"/>
                <w:color w:val="auto"/>
              </w:rPr>
            </w:pPr>
          </w:p>
        </w:tc>
      </w:tr>
    </w:tbl>
    <w:p>
      <w:pPr>
        <w:spacing w:after="0" w:line="140"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132" w:lineRule="exact"/>
        <w:rPr>
          <w:sz w:val="24"/>
          <w:szCs w:val="24"/>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stock held by non-affiliates as of June 28, 2015, the last business day of the registrant’s most recently completed second fiscal quarter, was approximately $302.5 million, based on the closing sale price for shares of the registrant’s common stock as reported by the NASDAQ Global Select Market on such date. This disclosure excludes shares of common stock held by executive officers, directors and stockholders whose individual ownership exceeds 10% of the common stock outstanding on June 28, 2015 because such persons may be deemed to be affiliates. This determination of affiliate status is not necessarily a conclusive determination for any other purpose.</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4, 2016, 59,583,344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246380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263525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Items 10, 11, 12, 13 and 14 of Part III of this annual report on Form 10-K incorporate information by reference from the registrant’s definitive proxy statement filed pursuant to Regulation 14A in connection with the registrant’s 2016 Annual Meeting of Stockholders or an amendment to this annual report on Form 10-K to be filed with the Securities and Exchange Commission within 120 days after the close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121" w:right="3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20" w:type="dxa"/>
            <w:vAlign w:val="bottom"/>
            <w:gridSpan w:val="11"/>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KRATOS DEFENSE &amp; SECURITY SOLUTIONS, INC.</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80" w:type="dxa"/>
            <w:vAlign w:val="bottom"/>
            <w:gridSpan w:val="7"/>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20" w:type="dxa"/>
            <w:vAlign w:val="bottom"/>
            <w:gridSpan w:val="11"/>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27, 2015</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40" w:type="dxa"/>
            <w:vAlign w:val="bottom"/>
            <w:gridSpan w:val="8"/>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040" w:type="dxa"/>
            <w:vAlign w:val="bottom"/>
            <w:gridSpan w:val="6"/>
            <w:vMerge w:val="restart"/>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40" w:type="dxa"/>
            <w:vAlign w:val="bottom"/>
            <w:gridSpan w:val="6"/>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0"/>
              </w:rPr>
            </w:pPr>
            <w:hyperlink w:anchor="page4">
              <w:r>
                <w:rPr>
                  <w:rFonts w:ascii="Times New Roman" w:cs="Times New Roman" w:eastAsia="Times New Roman" w:hAnsi="Times New Roman"/>
                  <w:sz w:val="18"/>
                  <w:szCs w:val="18"/>
                  <w:color w:val="0000EE"/>
                  <w:w w:val="90"/>
                </w:rPr>
                <w:t>Item 1.</w:t>
              </w:r>
            </w:hyperlink>
          </w:p>
        </w:tc>
        <w:tc>
          <w:tcPr>
            <w:tcW w:w="80" w:type="dxa"/>
            <w:vAlign w:val="bottom"/>
            <w:tcBorders>
              <w:top w:val="single" w:sz="8" w:color="0000EE"/>
            </w:tcBorders>
          </w:tcPr>
          <w:p>
            <w:pPr>
              <w:spacing w:after="0"/>
              <w:rPr>
                <w:sz w:val="21"/>
                <w:szCs w:val="21"/>
                <w:color w:val="auto"/>
              </w:rPr>
            </w:pPr>
          </w:p>
        </w:tc>
        <w:tc>
          <w:tcPr>
            <w:tcW w:w="460" w:type="dxa"/>
            <w:vAlign w:val="bottom"/>
            <w:gridSpan w:val="4"/>
          </w:tcPr>
          <w:p>
            <w:pPr>
              <w:spacing w:after="0"/>
              <w:rPr>
                <w:sz w:val="21"/>
                <w:szCs w:val="21"/>
                <w:color w:val="auto"/>
              </w:rPr>
            </w:pP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220" w:type="dxa"/>
            <w:vAlign w:val="bottom"/>
            <w:gridSpan w:val="17"/>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4"/>
              </w:rPr>
            </w:pPr>
            <w:hyperlink w:anchor="page11">
              <w:r>
                <w:rPr>
                  <w:rFonts w:ascii="Times New Roman" w:cs="Times New Roman" w:eastAsia="Times New Roman" w:hAnsi="Times New Roman"/>
                  <w:sz w:val="18"/>
                  <w:szCs w:val="18"/>
                  <w:color w:val="0000EE"/>
                  <w:w w:val="84"/>
                </w:rPr>
                <w:t>Item 1A.</w:t>
              </w:r>
            </w:hyperlink>
          </w:p>
        </w:tc>
        <w:tc>
          <w:tcPr>
            <w:tcW w:w="460" w:type="dxa"/>
            <w:vAlign w:val="bottom"/>
            <w:gridSpan w:val="4"/>
          </w:tcPr>
          <w:p>
            <w:pPr>
              <w:spacing w:after="0"/>
              <w:rPr>
                <w:sz w:val="21"/>
                <w:szCs w:val="21"/>
                <w:color w:val="auto"/>
              </w:rPr>
            </w:pPr>
          </w:p>
        </w:tc>
        <w:tc>
          <w:tcPr>
            <w:tcW w:w="900" w:type="dxa"/>
            <w:vAlign w:val="bottom"/>
            <w:gridSpan w:val="3"/>
          </w:tcPr>
          <w:p>
            <w:pPr>
              <w:spacing w:after="0"/>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Risk Factors</w:t>
              </w:r>
            </w:hyperlink>
          </w:p>
        </w:tc>
        <w:tc>
          <w:tcPr>
            <w:tcW w:w="796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10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5"/>
              </w:rPr>
            </w:pPr>
            <w:hyperlink w:anchor="page28">
              <w:r>
                <w:rPr>
                  <w:rFonts w:ascii="Times New Roman" w:cs="Times New Roman" w:eastAsia="Times New Roman" w:hAnsi="Times New Roman"/>
                  <w:sz w:val="18"/>
                  <w:szCs w:val="18"/>
                  <w:color w:val="0000EE"/>
                  <w:w w:val="85"/>
                </w:rPr>
                <w:t>Item 1B.</w:t>
              </w:r>
            </w:hyperlink>
          </w:p>
        </w:tc>
        <w:tc>
          <w:tcPr>
            <w:tcW w:w="460" w:type="dxa"/>
            <w:vAlign w:val="bottom"/>
            <w:gridSpan w:val="4"/>
          </w:tcPr>
          <w:p>
            <w:pPr>
              <w:spacing w:after="0"/>
              <w:rPr>
                <w:sz w:val="21"/>
                <w:szCs w:val="21"/>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Unresolved Staff Comments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28">
              <w:r>
                <w:rPr>
                  <w:rFonts w:ascii="Times New Roman" w:cs="Times New Roman" w:eastAsia="Times New Roman" w:hAnsi="Times New Roman"/>
                  <w:sz w:val="18"/>
                  <w:szCs w:val="18"/>
                  <w:color w:val="0000EE"/>
                  <w:w w:val="90"/>
                </w:rPr>
                <w:t>Item 2.</w:t>
              </w:r>
            </w:hyperlink>
          </w:p>
        </w:tc>
        <w:tc>
          <w:tcPr>
            <w:tcW w:w="80" w:type="dxa"/>
            <w:vAlign w:val="bottom"/>
          </w:tcPr>
          <w:p>
            <w:pPr>
              <w:spacing w:after="0"/>
              <w:rPr>
                <w:sz w:val="21"/>
                <w:szCs w:val="21"/>
                <w:color w:val="auto"/>
              </w:rPr>
            </w:pPr>
          </w:p>
        </w:tc>
        <w:tc>
          <w:tcPr>
            <w:tcW w:w="460" w:type="dxa"/>
            <w:vAlign w:val="bottom"/>
            <w:gridSpan w:val="4"/>
          </w:tcPr>
          <w:p>
            <w:pPr>
              <w:spacing w:after="0"/>
              <w:rPr>
                <w:sz w:val="21"/>
                <w:szCs w:val="21"/>
                <w:color w:val="auto"/>
              </w:rPr>
            </w:pPr>
          </w:p>
        </w:tc>
        <w:tc>
          <w:tcPr>
            <w:tcW w:w="2040" w:type="dxa"/>
            <w:vAlign w:val="bottom"/>
            <w:gridSpan w:val="7"/>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Properties</w:t>
              </w:r>
            </w:hyperlink>
          </w:p>
        </w:tc>
        <w:tc>
          <w:tcPr>
            <w:tcW w:w="682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29">
              <w:r>
                <w:rPr>
                  <w:rFonts w:ascii="Times New Roman" w:cs="Times New Roman" w:eastAsia="Times New Roman" w:hAnsi="Times New Roman"/>
                  <w:sz w:val="18"/>
                  <w:szCs w:val="18"/>
                  <w:color w:val="0000EE"/>
                  <w:w w:val="90"/>
                </w:rPr>
                <w:t>Item 3.</w:t>
              </w:r>
            </w:hyperlink>
          </w:p>
        </w:tc>
        <w:tc>
          <w:tcPr>
            <w:tcW w:w="540" w:type="dxa"/>
            <w:vAlign w:val="bottom"/>
            <w:gridSpan w:val="5"/>
          </w:tcPr>
          <w:p>
            <w:pPr>
              <w:spacing w:after="0"/>
              <w:rPr>
                <w:sz w:val="21"/>
                <w:szCs w:val="21"/>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Proceedings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29">
              <w:r>
                <w:rPr>
                  <w:rFonts w:ascii="Times New Roman" w:cs="Times New Roman" w:eastAsia="Times New Roman" w:hAnsi="Times New Roman"/>
                  <w:sz w:val="18"/>
                  <w:szCs w:val="18"/>
                  <w:color w:val="0000EE"/>
                  <w:w w:val="90"/>
                </w:rPr>
                <w:t>Item 4.</w:t>
              </w:r>
            </w:hyperlink>
          </w:p>
        </w:tc>
        <w:tc>
          <w:tcPr>
            <w:tcW w:w="540" w:type="dxa"/>
            <w:vAlign w:val="bottom"/>
            <w:gridSpan w:val="5"/>
          </w:tcPr>
          <w:p>
            <w:pPr>
              <w:spacing w:after="0"/>
              <w:rPr>
                <w:sz w:val="21"/>
                <w:szCs w:val="21"/>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Mine Safety Disclosures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4"/>
              </w:rPr>
            </w:pPr>
            <w:hyperlink w:anchor="page29">
              <w:r>
                <w:rPr>
                  <w:rFonts w:ascii="Times New Roman" w:cs="Times New Roman" w:eastAsia="Times New Roman" w:hAnsi="Times New Roman"/>
                  <w:sz w:val="18"/>
                  <w:szCs w:val="18"/>
                  <w:b w:val="1"/>
                  <w:bCs w:val="1"/>
                  <w:color w:val="0000EE"/>
                  <w:w w:val="94"/>
                </w:rPr>
                <w:t>PART II</w:t>
              </w:r>
            </w:hyperlink>
          </w:p>
        </w:tc>
        <w:tc>
          <w:tcPr>
            <w:tcW w:w="38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29">
              <w:r>
                <w:rPr>
                  <w:rFonts w:ascii="Times New Roman" w:cs="Times New Roman" w:eastAsia="Times New Roman" w:hAnsi="Times New Roman"/>
                  <w:sz w:val="18"/>
                  <w:szCs w:val="18"/>
                  <w:color w:val="0000EE"/>
                  <w:w w:val="90"/>
                </w:rPr>
                <w:t>Item 5.</w:t>
              </w:r>
            </w:hyperlink>
          </w:p>
        </w:tc>
        <w:tc>
          <w:tcPr>
            <w:tcW w:w="540" w:type="dxa"/>
            <w:vAlign w:val="bottom"/>
            <w:gridSpan w:val="5"/>
          </w:tcPr>
          <w:p>
            <w:pPr>
              <w:spacing w:after="0"/>
              <w:rPr>
                <w:sz w:val="21"/>
                <w:szCs w:val="21"/>
                <w:color w:val="auto"/>
              </w:rPr>
            </w:pPr>
          </w:p>
        </w:tc>
        <w:tc>
          <w:tcPr>
            <w:tcW w:w="8340" w:type="dxa"/>
            <w:vAlign w:val="bottom"/>
            <w:gridSpan w:val="17"/>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Market for the Registrant’s Common Equity, Related Stockholder Matters and Issuer Purchases of Equity Securities</w:t>
              </w:r>
            </w:hyperlink>
          </w:p>
        </w:tc>
        <w:tc>
          <w:tcPr>
            <w:tcW w:w="520" w:type="dxa"/>
            <w:vAlign w:val="bottom"/>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32">
              <w:r>
                <w:rPr>
                  <w:rFonts w:ascii="Times New Roman" w:cs="Times New Roman" w:eastAsia="Times New Roman" w:hAnsi="Times New Roman"/>
                  <w:sz w:val="18"/>
                  <w:szCs w:val="18"/>
                  <w:color w:val="0000EE"/>
                  <w:w w:val="90"/>
                </w:rPr>
                <w:t>Item 6.</w:t>
              </w:r>
            </w:hyperlink>
          </w:p>
        </w:tc>
        <w:tc>
          <w:tcPr>
            <w:tcW w:w="540" w:type="dxa"/>
            <w:vAlign w:val="bottom"/>
            <w:gridSpan w:val="5"/>
          </w:tcPr>
          <w:p>
            <w:pPr>
              <w:spacing w:after="0"/>
              <w:rPr>
                <w:sz w:val="21"/>
                <w:szCs w:val="21"/>
                <w:color w:val="auto"/>
              </w:rPr>
            </w:pPr>
          </w:p>
        </w:tc>
        <w:tc>
          <w:tcPr>
            <w:tcW w:w="8340" w:type="dxa"/>
            <w:vAlign w:val="bottom"/>
            <w:gridSpan w:val="17"/>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Selected Financial Data</w:t>
              </w:r>
            </w:hyperlink>
          </w:p>
        </w:tc>
        <w:tc>
          <w:tcPr>
            <w:tcW w:w="520" w:type="dxa"/>
            <w:vAlign w:val="bottom"/>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33">
              <w:r>
                <w:rPr>
                  <w:rFonts w:ascii="Times New Roman" w:cs="Times New Roman" w:eastAsia="Times New Roman" w:hAnsi="Times New Roman"/>
                  <w:sz w:val="18"/>
                  <w:szCs w:val="18"/>
                  <w:color w:val="0000EE"/>
                  <w:w w:val="90"/>
                </w:rPr>
                <w:t>Item 7.</w:t>
              </w:r>
            </w:hyperlink>
          </w:p>
        </w:tc>
        <w:tc>
          <w:tcPr>
            <w:tcW w:w="540" w:type="dxa"/>
            <w:vAlign w:val="bottom"/>
            <w:gridSpan w:val="5"/>
          </w:tcPr>
          <w:p>
            <w:pPr>
              <w:spacing w:after="0"/>
              <w:rPr>
                <w:sz w:val="21"/>
                <w:szCs w:val="21"/>
                <w:color w:val="auto"/>
              </w:rPr>
            </w:pPr>
          </w:p>
        </w:tc>
        <w:tc>
          <w:tcPr>
            <w:tcW w:w="6460" w:type="dxa"/>
            <w:vAlign w:val="bottom"/>
            <w:gridSpan w:val="14"/>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400" w:type="dxa"/>
            <w:vAlign w:val="bottom"/>
            <w:gridSpan w:val="4"/>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4"/>
              </w:rPr>
            </w:pPr>
            <w:hyperlink w:anchor="page52">
              <w:r>
                <w:rPr>
                  <w:rFonts w:ascii="Times New Roman" w:cs="Times New Roman" w:eastAsia="Times New Roman" w:hAnsi="Times New Roman"/>
                  <w:sz w:val="18"/>
                  <w:szCs w:val="18"/>
                  <w:color w:val="0000EE"/>
                  <w:w w:val="84"/>
                </w:rPr>
                <w:t>Item 7A.</w:t>
              </w:r>
            </w:hyperlink>
          </w:p>
        </w:tc>
        <w:tc>
          <w:tcPr>
            <w:tcW w:w="460" w:type="dxa"/>
            <w:vAlign w:val="bottom"/>
            <w:gridSpan w:val="4"/>
          </w:tcPr>
          <w:p>
            <w:pPr>
              <w:spacing w:after="0"/>
              <w:rPr>
                <w:sz w:val="21"/>
                <w:szCs w:val="21"/>
                <w:color w:val="auto"/>
              </w:rPr>
            </w:pPr>
          </w:p>
        </w:tc>
        <w:tc>
          <w:tcPr>
            <w:tcW w:w="4360" w:type="dxa"/>
            <w:vAlign w:val="bottom"/>
            <w:gridSpan w:val="12"/>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Quantitative and Qualitative Disclosures About Market Risk</w:t>
              </w:r>
            </w:hyperlink>
          </w:p>
        </w:tc>
        <w:tc>
          <w:tcPr>
            <w:tcW w:w="4500" w:type="dxa"/>
            <w:vAlign w:val="bottom"/>
            <w:gridSpan w:val="6"/>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53">
              <w:r>
                <w:rPr>
                  <w:rFonts w:ascii="Times New Roman" w:cs="Times New Roman" w:eastAsia="Times New Roman" w:hAnsi="Times New Roman"/>
                  <w:sz w:val="18"/>
                  <w:szCs w:val="18"/>
                  <w:color w:val="0000EE"/>
                  <w:w w:val="90"/>
                </w:rPr>
                <w:t>Item 8.</w:t>
              </w:r>
            </w:hyperlink>
          </w:p>
        </w:tc>
        <w:tc>
          <w:tcPr>
            <w:tcW w:w="80" w:type="dxa"/>
            <w:vAlign w:val="bottom"/>
          </w:tcPr>
          <w:p>
            <w:pPr>
              <w:spacing w:after="0"/>
              <w:rPr>
                <w:sz w:val="21"/>
                <w:szCs w:val="21"/>
                <w:color w:val="auto"/>
              </w:rPr>
            </w:pPr>
          </w:p>
        </w:tc>
        <w:tc>
          <w:tcPr>
            <w:tcW w:w="460" w:type="dxa"/>
            <w:vAlign w:val="bottom"/>
            <w:gridSpan w:val="4"/>
          </w:tcPr>
          <w:p>
            <w:pPr>
              <w:spacing w:after="0"/>
              <w:rPr>
                <w:sz w:val="21"/>
                <w:szCs w:val="21"/>
                <w:color w:val="auto"/>
              </w:rPr>
            </w:pPr>
          </w:p>
        </w:tc>
        <w:tc>
          <w:tcPr>
            <w:tcW w:w="4360" w:type="dxa"/>
            <w:vAlign w:val="bottom"/>
            <w:gridSpan w:val="12"/>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Financial Statements and Supplementary Data</w:t>
              </w:r>
            </w:hyperlink>
          </w:p>
        </w:tc>
        <w:tc>
          <w:tcPr>
            <w:tcW w:w="4500" w:type="dxa"/>
            <w:vAlign w:val="bottom"/>
            <w:gridSpan w:val="6"/>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53">
              <w:r>
                <w:rPr>
                  <w:rFonts w:ascii="Times New Roman" w:cs="Times New Roman" w:eastAsia="Times New Roman" w:hAnsi="Times New Roman"/>
                  <w:sz w:val="18"/>
                  <w:szCs w:val="18"/>
                  <w:color w:val="0000EE"/>
                  <w:w w:val="90"/>
                </w:rPr>
                <w:t>Item 9.</w:t>
              </w:r>
            </w:hyperlink>
          </w:p>
        </w:tc>
        <w:tc>
          <w:tcPr>
            <w:tcW w:w="540" w:type="dxa"/>
            <w:vAlign w:val="bottom"/>
            <w:gridSpan w:val="5"/>
          </w:tcPr>
          <w:p>
            <w:pPr>
              <w:spacing w:after="0"/>
              <w:rPr>
                <w:sz w:val="21"/>
                <w:szCs w:val="21"/>
                <w:color w:val="auto"/>
              </w:rPr>
            </w:pPr>
          </w:p>
        </w:tc>
        <w:tc>
          <w:tcPr>
            <w:tcW w:w="6480" w:type="dxa"/>
            <w:vAlign w:val="bottom"/>
            <w:gridSpan w:val="15"/>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4"/>
              </w:rPr>
            </w:pPr>
            <w:hyperlink w:anchor="page53">
              <w:r>
                <w:rPr>
                  <w:rFonts w:ascii="Times New Roman" w:cs="Times New Roman" w:eastAsia="Times New Roman" w:hAnsi="Times New Roman"/>
                  <w:sz w:val="18"/>
                  <w:szCs w:val="18"/>
                  <w:color w:val="0000EE"/>
                  <w:w w:val="84"/>
                </w:rPr>
                <w:t>Item 9A.</w:t>
              </w:r>
            </w:hyperlink>
          </w:p>
        </w:tc>
        <w:tc>
          <w:tcPr>
            <w:tcW w:w="460" w:type="dxa"/>
            <w:vAlign w:val="bottom"/>
            <w:gridSpan w:val="4"/>
          </w:tcPr>
          <w:p>
            <w:pPr>
              <w:spacing w:after="0"/>
              <w:rPr>
                <w:sz w:val="21"/>
                <w:szCs w:val="21"/>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Controls and Procedures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5"/>
              </w:rPr>
            </w:pPr>
            <w:hyperlink w:anchor="page54">
              <w:r>
                <w:rPr>
                  <w:rFonts w:ascii="Times New Roman" w:cs="Times New Roman" w:eastAsia="Times New Roman" w:hAnsi="Times New Roman"/>
                  <w:sz w:val="18"/>
                  <w:szCs w:val="18"/>
                  <w:color w:val="0000EE"/>
                  <w:w w:val="85"/>
                </w:rPr>
                <w:t>Item 9B.</w:t>
              </w:r>
            </w:hyperlink>
          </w:p>
        </w:tc>
        <w:tc>
          <w:tcPr>
            <w:tcW w:w="460" w:type="dxa"/>
            <w:vAlign w:val="bottom"/>
            <w:gridSpan w:val="4"/>
          </w:tcPr>
          <w:p>
            <w:pPr>
              <w:spacing w:after="0"/>
              <w:rPr>
                <w:sz w:val="21"/>
                <w:szCs w:val="21"/>
                <w:color w:val="auto"/>
              </w:rPr>
            </w:pPr>
          </w:p>
        </w:tc>
        <w:tc>
          <w:tcPr>
            <w:tcW w:w="1700" w:type="dxa"/>
            <w:vAlign w:val="bottom"/>
            <w:gridSpan w:val="5"/>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Other Information</w:t>
              </w:r>
            </w:hyperlink>
          </w:p>
        </w:tc>
        <w:tc>
          <w:tcPr>
            <w:tcW w:w="716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6"/>
              </w:rPr>
            </w:pPr>
            <w:hyperlink w:anchor="page54">
              <w:r>
                <w:rPr>
                  <w:rFonts w:ascii="Times New Roman" w:cs="Times New Roman" w:eastAsia="Times New Roman" w:hAnsi="Times New Roman"/>
                  <w:sz w:val="18"/>
                  <w:szCs w:val="18"/>
                  <w:b w:val="1"/>
                  <w:bCs w:val="1"/>
                  <w:color w:val="0000EE"/>
                  <w:w w:val="96"/>
                </w:rPr>
                <w:t>PART III</w:t>
              </w:r>
            </w:hyperlink>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54">
              <w:r>
                <w:rPr>
                  <w:rFonts w:ascii="Times New Roman" w:cs="Times New Roman" w:eastAsia="Times New Roman" w:hAnsi="Times New Roman"/>
                  <w:sz w:val="18"/>
                  <w:szCs w:val="18"/>
                  <w:color w:val="0000EE"/>
                  <w:w w:val="89"/>
                </w:rPr>
                <w:t>Item 10.</w:t>
              </w:r>
            </w:hyperlink>
          </w:p>
        </w:tc>
        <w:tc>
          <w:tcPr>
            <w:tcW w:w="460" w:type="dxa"/>
            <w:vAlign w:val="bottom"/>
            <w:gridSpan w:val="4"/>
          </w:tcPr>
          <w:p>
            <w:pPr>
              <w:spacing w:after="0"/>
              <w:rPr>
                <w:sz w:val="21"/>
                <w:szCs w:val="21"/>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Directors, Executive Officers and Corporate Governance</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54">
              <w:r>
                <w:rPr>
                  <w:rFonts w:ascii="Times New Roman" w:cs="Times New Roman" w:eastAsia="Times New Roman" w:hAnsi="Times New Roman"/>
                  <w:sz w:val="18"/>
                  <w:szCs w:val="18"/>
                  <w:color w:val="0000EE"/>
                  <w:w w:val="89"/>
                </w:rPr>
                <w:t>Item 11.</w:t>
              </w:r>
            </w:hyperlink>
          </w:p>
        </w:tc>
        <w:tc>
          <w:tcPr>
            <w:tcW w:w="460" w:type="dxa"/>
            <w:vAlign w:val="bottom"/>
            <w:gridSpan w:val="4"/>
          </w:tcPr>
          <w:p>
            <w:pPr>
              <w:spacing w:after="0"/>
              <w:rPr>
                <w:sz w:val="21"/>
                <w:szCs w:val="21"/>
                <w:color w:val="auto"/>
              </w:rPr>
            </w:pPr>
          </w:p>
        </w:tc>
        <w:tc>
          <w:tcPr>
            <w:tcW w:w="4080" w:type="dxa"/>
            <w:vAlign w:val="bottom"/>
            <w:gridSpan w:val="11"/>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Executive Compensation</w:t>
              </w:r>
            </w:hyperlink>
          </w:p>
        </w:tc>
        <w:tc>
          <w:tcPr>
            <w:tcW w:w="4780" w:type="dxa"/>
            <w:vAlign w:val="bottom"/>
            <w:gridSpan w:val="7"/>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54">
              <w:r>
                <w:rPr>
                  <w:rFonts w:ascii="Times New Roman" w:cs="Times New Roman" w:eastAsia="Times New Roman" w:hAnsi="Times New Roman"/>
                  <w:sz w:val="18"/>
                  <w:szCs w:val="18"/>
                  <w:color w:val="0000EE"/>
                  <w:w w:val="89"/>
                </w:rPr>
                <w:t>Item 12.</w:t>
              </w:r>
            </w:hyperlink>
          </w:p>
        </w:tc>
        <w:tc>
          <w:tcPr>
            <w:tcW w:w="460" w:type="dxa"/>
            <w:vAlign w:val="bottom"/>
            <w:gridSpan w:val="4"/>
          </w:tcPr>
          <w:p>
            <w:pPr>
              <w:spacing w:after="0"/>
              <w:rPr>
                <w:sz w:val="21"/>
                <w:szCs w:val="21"/>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54">
              <w:r>
                <w:rPr>
                  <w:rFonts w:ascii="Times New Roman" w:cs="Times New Roman" w:eastAsia="Times New Roman" w:hAnsi="Times New Roman"/>
                  <w:sz w:val="18"/>
                  <w:szCs w:val="18"/>
                  <w:color w:val="0000EE"/>
                  <w:w w:val="89"/>
                </w:rPr>
                <w:t>Item 13.</w:t>
              </w:r>
            </w:hyperlink>
          </w:p>
        </w:tc>
        <w:tc>
          <w:tcPr>
            <w:tcW w:w="460" w:type="dxa"/>
            <w:vAlign w:val="bottom"/>
            <w:gridSpan w:val="4"/>
          </w:tcPr>
          <w:p>
            <w:pPr>
              <w:spacing w:after="0"/>
              <w:rPr>
                <w:sz w:val="21"/>
                <w:szCs w:val="21"/>
                <w:color w:val="auto"/>
              </w:rPr>
            </w:pPr>
          </w:p>
        </w:tc>
        <w:tc>
          <w:tcPr>
            <w:tcW w:w="7280" w:type="dxa"/>
            <w:vAlign w:val="bottom"/>
            <w:gridSpan w:val="16"/>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54">
              <w:r>
                <w:rPr>
                  <w:rFonts w:ascii="Times New Roman" w:cs="Times New Roman" w:eastAsia="Times New Roman" w:hAnsi="Times New Roman"/>
                  <w:sz w:val="18"/>
                  <w:szCs w:val="18"/>
                  <w:color w:val="0000EE"/>
                  <w:w w:val="89"/>
                </w:rPr>
                <w:t>Item 14.</w:t>
              </w:r>
            </w:hyperlink>
          </w:p>
        </w:tc>
        <w:tc>
          <w:tcPr>
            <w:tcW w:w="460" w:type="dxa"/>
            <w:vAlign w:val="bottom"/>
            <w:gridSpan w:val="4"/>
          </w:tcPr>
          <w:p>
            <w:pPr>
              <w:spacing w:after="0"/>
              <w:rPr>
                <w:sz w:val="21"/>
                <w:szCs w:val="21"/>
                <w:color w:val="auto"/>
              </w:rPr>
            </w:pPr>
          </w:p>
        </w:tc>
        <w:tc>
          <w:tcPr>
            <w:tcW w:w="5440" w:type="dxa"/>
            <w:vAlign w:val="bottom"/>
            <w:gridSpan w:val="13"/>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Principal Accounting Fees and Services</w:t>
              </w:r>
            </w:hyperlink>
          </w:p>
        </w:tc>
        <w:tc>
          <w:tcPr>
            <w:tcW w:w="342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5"/>
              </w:rPr>
            </w:pPr>
            <w:hyperlink w:anchor="page54">
              <w:r>
                <w:rPr>
                  <w:rFonts w:ascii="Times New Roman" w:cs="Times New Roman" w:eastAsia="Times New Roman" w:hAnsi="Times New Roman"/>
                  <w:sz w:val="18"/>
                  <w:szCs w:val="18"/>
                  <w:b w:val="1"/>
                  <w:bCs w:val="1"/>
                  <w:color w:val="0000EE"/>
                  <w:w w:val="95"/>
                </w:rPr>
                <w:t>PART IV</w:t>
              </w:r>
            </w:hyperlink>
          </w:p>
        </w:tc>
        <w:tc>
          <w:tcPr>
            <w:tcW w:w="32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54">
              <w:r>
                <w:rPr>
                  <w:rFonts w:ascii="Times New Roman" w:cs="Times New Roman" w:eastAsia="Times New Roman" w:hAnsi="Times New Roman"/>
                  <w:sz w:val="18"/>
                  <w:szCs w:val="18"/>
                  <w:color w:val="0000EE"/>
                  <w:w w:val="89"/>
                </w:rPr>
                <w:t>Item 15.</w:t>
              </w:r>
            </w:hyperlink>
          </w:p>
        </w:tc>
        <w:tc>
          <w:tcPr>
            <w:tcW w:w="460" w:type="dxa"/>
            <w:vAlign w:val="bottom"/>
            <w:gridSpan w:val="4"/>
          </w:tcPr>
          <w:p>
            <w:pPr>
              <w:spacing w:after="0"/>
              <w:rPr>
                <w:sz w:val="21"/>
                <w:szCs w:val="21"/>
                <w:color w:val="auto"/>
              </w:rPr>
            </w:pPr>
          </w:p>
        </w:tc>
        <w:tc>
          <w:tcPr>
            <w:tcW w:w="2900" w:type="dxa"/>
            <w:vAlign w:val="bottom"/>
            <w:gridSpan w:val="9"/>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Exhibits, Financial Statement Schedules</w:t>
              </w:r>
            </w:hyperlink>
          </w:p>
        </w:tc>
        <w:tc>
          <w:tcPr>
            <w:tcW w:w="5960" w:type="dxa"/>
            <w:vAlign w:val="bottom"/>
            <w:gridSpan w:val="9"/>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53</w:t>
              </w:r>
            </w:hyperlink>
          </w:p>
        </w:tc>
        <w:tc>
          <w:tcPr>
            <w:tcW w:w="0" w:type="dxa"/>
            <w:vAlign w:val="bottom"/>
          </w:tcPr>
          <w:p>
            <w:pPr>
              <w:spacing w:after="0"/>
              <w:rPr>
                <w:sz w:val="1"/>
                <w:szCs w:val="1"/>
                <w:color w:val="auto"/>
              </w:rPr>
            </w:pPr>
          </w:p>
        </w:tc>
      </w:tr>
      <w:tr>
        <w:trPr>
          <w:trHeight w:val="507"/>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tcBorders>
              <w:top w:val="single" w:sz="8" w:color="0000EE"/>
            </w:tcBorders>
            <w:gridSpan w:val="9"/>
          </w:tcPr>
          <w:p>
            <w:pPr>
              <w:spacing w:after="0"/>
              <w:rPr>
                <w:sz w:val="24"/>
                <w:szCs w:val="24"/>
                <w:color w:val="auto"/>
              </w:rPr>
            </w:pPr>
          </w:p>
        </w:tc>
        <w:tc>
          <w:tcPr>
            <w:tcW w:w="254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All references to “us,” “we,” “our,” the “Company” and “Kratos” refer to Kratos Defense &amp; Security Solutions, Inc., a Delaware Corporation, and its subsidiaries.</w:t>
      </w:r>
    </w:p>
    <w:p>
      <w:pPr>
        <w:spacing w:after="0" w:line="133"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5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(this “Annual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 and uncertainties that could cause our actual results or achievements to differ materially from the results or achievements expressed in or implied by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Kratos is a mid-tier government contractor at the forefront of the U.S. Department of Defense’s (the “DoD”) Third Offset Strategy. Kratos is a leading technology, intellectual property and proprietary product and solution company focused on the U.S. and its allies’ national security. Kratos’ primary focus areas are unmanned systems, satellite communications, microwave electronics, cyber security/warfare, missile defense and combat systems. We believe that our technology, intellectual property, proprietary products and designed in positions on our customers’ platforms and systems is a competitive advantage and high barrier to entry into our markets. Our work force is primarily technically oriented and highly skilled with a significant number holding national security clearances. Our entire organization is focused on executing our strategy of becoming the leading technology and intellectual property based company in our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Faced with significant budget pressures, in recent years the U.S. Government has implemented reductions in government spending, including reductions in appropriations for the DoD and other federal agencies, pursuant to the Budget Control Act of 2011 (“BCA”), as amended by the American Taxpayer Relief Act of 2012 and the Bipartisan Budget Act of 2013. Pursuant to the terms of the BCA, a sequestration went into effect in March 2013 resulting in a 7.8% reduction to the DoD budget for fiscal year (the period running from October 1st to September 30th, a “FY”) 2013 to $495.5 billion, excluding funding for military personnel. The DoD budget was approximately $496.0 billion in FY 2014 and remains at a similar level in FY 2015. The DoD base budget excludes funding for overseas contingency operations, such as those in Afghanistan, Iraq and Syria, which are appropriated separately and are not currently subject to the BCA.</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November 2, 2015, President Obama signed the Bipartisan Budget Act of 2015, formalizing the terms of a two-year budget agreement which raises the U.S. debt ceiling and lifts the sequestration spending caps by $80.0 billion. Under the budget agreement, the total federal spending increase over the BCA topline funding caps will be $50.0 billion in FY 2016 and $30.0 billion in FY 2017, with the amounts divided equally between defense and domestic priorities. The overall discretionary budget will be $1.067 trillion in FY 2016 and $1.07 trillion in FY 2017. The FY 2016 discretionary defense budget will be $548.1 billion, a $25.0 billion increase over the BCA topline funding caps.</w:t>
      </w:r>
    </w:p>
    <w:p>
      <w:pPr>
        <w:spacing w:after="0" w:line="184"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Under the Bipartisan Budget Act of 2015, the Obama Administration will receive $33.0 billion of the $38.0 billion national defense spending increase it sought in FY 2016. In summary the budget agreement:</w:t>
      </w:r>
    </w:p>
    <w:p>
      <w:pPr>
        <w:spacing w:after="0" w:line="162"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BCA out to 2025;</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suspends the U.S. debt limit/ceiling until March 2017;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1300" w:right="140" w:hanging="320"/>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spending caps for FY 2016 and FY 2017 by $80.0 billion, including $50.0 billion in FY 2016 and $30.0 billion in FY 2017, split evenly between defense and domestic priorities; and</w:t>
      </w: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FY 2016 DoD base budget of $548.0 billion; and includes a FY 2016 overseas contingency operation budget of $59.0 billion.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Reporting Segments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operates in three reportable segments. The Kratos Government Solutions (“KGS”) reportable segment is comprised of an aggregation of KGS operating segments, including our microwave electronic products, satellite communications, modular systems and rocket support operating segments. The Unmanned Systems (“US”) reportable segment consists of our unmanned aerial system and unmanned ground and seaborne system businesses. The Public Safety &amp; Security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13 of the Notes to Consolidated Financial Statements. From a customer and solutions perspective, we view our business as an integrated whole, leveraging skills and assets wherever possible.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August 21, 2015, the Company completed the sale of the U.S. and U.K. operations of its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“Purchase Agreement”), the Company sold to the Buyer all of the issued and outstanding capital stock of its wholly owned subsidiary Herley Industries, Inc. (“Herley”) and certain of Herley’s subsidiaries, including Herley-CTI, Inc., EW Simulation Technology, Ltd. and Stapor Research, Inc. (collectively, the “Herley Entities”), for $260.0 million in cash plus $5.0 million for taxes incurred as part of the Transaction, less a $2.0 million escrow to satisfy any purchase price adjustments, and an estimated working capital adjustment of $8.3 million. The Purchase Agreement also contains certain non-compete and indemnification provisions. Under the Purchase Agreement, the Company entered into an agreement to indemnify the Buyer for any pre-acquisition tax liabilities. As a result of this arrangement, the Company recorded amounts that have historically been classified as unrecognized tax benefits into other long term liabilities. The Company also agreed to indemnify Ultra for pre-existing environmental conditions for a period of five years from the closing date and with a maximum indemnification payment of $34.0 million. The Company does not believe payments will be required under the indemnification provision, and the assessment of the fair value is immaterial. Under the terms of the Purchase Agreement, a joint 338(h)(10) election has been made for income tax purposes, providing a “step up” in tax basis to Ultra. The Company incurred approximately $11.5 million in transaction-related costs. The gain on sale of $80.8 million is subject to changes in the indemnification obligations. In accordance with </w:t>
      </w:r>
      <w:r>
        <w:rPr>
          <w:rFonts w:ascii="Times New Roman" w:cs="Times New Roman" w:eastAsia="Times New Roman" w:hAnsi="Times New Roman"/>
          <w:sz w:val="18"/>
          <w:szCs w:val="18"/>
          <w:i w:val="1"/>
          <w:iCs w:val="1"/>
          <w:color w:val="auto"/>
        </w:rPr>
        <w:t>ASC 360-10-45-9, Property, Plant, and Equipment (Topic 360) and ASC 205-20-45-3 Presentation of Financial Statements (Topic 205),</w:t>
      </w:r>
      <w:r>
        <w:rPr>
          <w:rFonts w:ascii="Times New Roman" w:cs="Times New Roman" w:eastAsia="Times New Roman" w:hAnsi="Times New Roman"/>
          <w:sz w:val="18"/>
          <w:szCs w:val="18"/>
          <w:color w:val="auto"/>
        </w:rPr>
        <w:t xml:space="preserve"> the Herley Entities were reported in discontinued operations in the accompanying Consolidated Financial Statements for all periods presented. For additional information regarding discontinued operations, see Note 8 of the Notes to Consolidated Financial Statements.</w:t>
      </w:r>
    </w:p>
    <w:p>
      <w:pPr>
        <w:spacing w:after="0" w:line="19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Immediately prior to the closing of the Transaction, the outstanding shares of the capital stock of (i) General Microwave Corporation, a New York corporation, and its direct and indirect wholly owned subsidiaries General Microwave Israel Corporation, a Delaware corporation, General Microwave Israel (1987) Ltd., an Israeli company, and Herley GMI Eyal Ltd., an Israeli company, (ii) MSI Acquisition Corp., a Delaware corporation and its wholly owned subsidiary Micro Systems, Inc., a Florida corporation, and (iii) Herley-RSS, Inc., a Delaware corporation, were distributed as a dividend by Herley to the Company and will continue their current operations as wholly owned subsidiaries of the Company.</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November 2015, the Company and Ultra settled the working capital adjustment at $8.1 million, and the net cash position at closing, resulting in a net payment to the Company of $2.7 million. This represents the payment from escrow to the Company of $2.0 million, as well as the payment from Ultra of $0.7 million, reflecting the difference in the estimated working capital and actual working capital and the net cash position at the close of the Transaction. In December 2015, the Company submitted to Ultra for reimbursement the maximum $5.0 million for taxes incurred as part of the Transaction, which was reimbursed in January 2016.</w:t>
      </w:r>
    </w:p>
    <w:p>
      <w:pPr>
        <w:spacing w:after="0" w:line="18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Following the sale of the Herley Entities, the Company, on August 21, 2015, paid down the $41.0 million outstanding on the Company’s $110.0 million Credit and Security Agreement, dated May 14, 2014 (the “Credit Agreement”), by and among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the lenders from time to time party thereto, SunTrust Bank, as Agent (the “Agent”), PNC Bank, National Association, as Joint Lead Arranger and Documentation Agent, and SunTrust Robinson Humphrey, Inc., as Joint Lead Arranger and Sole Book Runner, and on September 22, 2015, repurchased $175.0 million of the $625.0 million of 7.00% Senior Secured Notes due in 2019 at par, in accordance with the Indenture, dated May 14, 2014 (the “Indenture”), among the Company, all of the Company’s 100% owned domestic subsidiaries (the “Subsidiary Guarantors”) and Wilmington Trust, National Association, as Trustee and Collateral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Kratos’ primary competitive strengths are our intellectual property, proprietary products, customer relationships and the designed in position of our technology and products into our customers’ platforms and systems.</w:t>
      </w:r>
    </w:p>
    <w:p>
      <w:pPr>
        <w:spacing w:after="0" w:line="160"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Highly Specialized Experience. </w:t>
      </w:r>
      <w:r>
        <w:rPr>
          <w:rFonts w:ascii="Times New Roman" w:cs="Times New Roman" w:eastAsia="Times New Roman" w:hAnsi="Times New Roman"/>
          <w:sz w:val="18"/>
          <w:szCs w:val="18"/>
          <w:color w:val="auto"/>
        </w:rPr>
        <w:t>Kratos and our work force have years of experience working on and with the U.S. and its allies’ national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and systems.</w:t>
      </w:r>
    </w:p>
    <w:p>
      <w:pPr>
        <w:spacing w:after="0" w:line="16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believe that Kratos is one of the industry leaders in our core business areas including, unmanned systems, satellite communications, microwave products, missile systems and radars, missile defense, directed energy weapons, cyber security and warfare, and training systems.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Kratos’ work force of approximately 2,900 employees have specialized national security related experience with the majority performing their duties at customer locations, secure manufacturing facilities or critical infrastructure sites.</w:t>
      </w:r>
    </w:p>
    <w:p>
      <w:pPr>
        <w:spacing w:after="0" w:line="16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Specialized national security focus aligned with mission-critical national security priorities. </w:t>
      </w:r>
      <w:r>
        <w:rPr>
          <w:rFonts w:ascii="Times New Roman" w:cs="Times New Roman" w:eastAsia="Times New Roman" w:hAnsi="Times New Roman"/>
          <w:sz w:val="18"/>
          <w:szCs w:val="18"/>
          <w:color w:val="auto"/>
        </w:rPr>
        <w:t>Continued concerns related to the threats posed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foreign nations and terrorists have caused the U.S. Government to identify national security as an area of functional and spending priority. Budget pressures, particularly related to DoD spending, have placed a premium on developing and fielding low-cost, high-technology solutions to assist in national security missions. Our primary capabilities and areas of focus, listed below, are strongly aligned with the objectives of the U.S. Government:</w:t>
      </w:r>
    </w:p>
    <w:p>
      <w:pPr>
        <w:spacing w:after="0" w:line="182" w:lineRule="exact"/>
        <w:rPr>
          <w:sz w:val="20"/>
          <w:szCs w:val="20"/>
          <w:color w:val="auto"/>
        </w:rPr>
      </w:pPr>
    </w:p>
    <w:p>
      <w:pPr>
        <w:ind w:left="1620" w:hanging="315"/>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Unmanned systems</w:t>
      </w:r>
    </w:p>
    <w:p>
      <w:pPr>
        <w:spacing w:after="0" w:line="2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Satellite communications and radio frequency detection</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warfare, attack, missile, and radar systems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Intelligence, surveillance and reconnaissance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Ballistic missile defense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Command, control and combat systems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information assurance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training systems</w:t>
      </w:r>
    </w:p>
    <w:p>
      <w:pPr>
        <w:spacing w:after="0" w:line="205" w:lineRule="exact"/>
        <w:rPr>
          <w:sz w:val="20"/>
          <w:szCs w:val="20"/>
          <w:color w:val="auto"/>
        </w:rPr>
      </w:pPr>
    </w:p>
    <w:p>
      <w:pPr>
        <w:ind w:right="100"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Diverse base of key contracts with low concentration. </w:t>
      </w:r>
      <w:r>
        <w:rPr>
          <w:rFonts w:ascii="Times New Roman" w:cs="Times New Roman" w:eastAsia="Times New Roman" w:hAnsi="Times New Roman"/>
          <w:sz w:val="18"/>
          <w:szCs w:val="18"/>
          <w:color w:val="auto"/>
        </w:rPr>
        <w:t>Many of our contracts are single-award and or sole source in nature, where Kratos is the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awardee by the customer. In many cases, our ability to obtain single award, sole source contracts is due to our intellectual property, proprietary products, past performance qualifications and relative experience. We have a highly diverse base of contracts with no contract representing more than 5% of 2015 revenue. Our fixed-price contracts, the vast majority of which are production contracts, represent approximately 80% of our 2015 revenue. Our cost-plus-fee contracts and time and materials contracts represent approximately 14% and 6%, respectively, of our 2015 revenue. We believe our diverse base of key contracts and low reliance on any one contract provides us with a stable, balanced revenue stream.</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In-depth understanding of customer missions. </w:t>
      </w:r>
      <w:r>
        <w:rPr>
          <w:rFonts w:ascii="Times New Roman" w:cs="Times New Roman" w:eastAsia="Times New Roman" w:hAnsi="Times New Roman"/>
          <w:sz w:val="18"/>
          <w:szCs w:val="18"/>
          <w:color w:val="auto"/>
        </w:rPr>
        <w:t>We have a reputation for successfully providing mission-critical products, solutions and services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Our long-term relationships with the U.S. Air Force, U.S. Army, U.S. Navy and other national security related customers and agencies enable us to develop an in-depth understanding of their missions and technical requirements. In addition, the majority of our employees are located at our customer locations, at secure manufacturing facilities or at critical infrastructure locations, all of which provides Kratos with valuable strategic insight into our customers’ ongoing missions and future program requirements. This understanding of our customers’ missions, requirements and needs, in conjunction with the strategic location of our employees, enables us to offer technical solutions tailored to our customers’ specific requirements and evolving mission objectives. In addition, once we are on-site with a customer, we have historically been successful in winning new and recompete business.</w:t>
      </w:r>
    </w:p>
    <w:p>
      <w:pPr>
        <w:spacing w:after="0" w:line="183"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Significant cash flow visibility driven by stable backlog. </w:t>
      </w:r>
      <w:r>
        <w:rPr>
          <w:rFonts w:ascii="Times New Roman" w:cs="Times New Roman" w:eastAsia="Times New Roman" w:hAnsi="Times New Roman"/>
          <w:sz w:val="18"/>
          <w:szCs w:val="18"/>
          <w:color w:val="auto"/>
        </w:rPr>
        <w:t>As of December 27, 2015, our total backlog (see Backlog below) was approximately $0.9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of which approximately $528.7 million was funded backlog. The majority of our sales are from orders issued under long-term contracts, typically three to five years in duration. Our contract backlog provides visibility into stable future revenue and cash flow over a diverse set of contracts.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Highly skilled employees and an experienced management team. </w:t>
      </w:r>
      <w:r>
        <w:rPr>
          <w:rFonts w:ascii="Times New Roman" w:cs="Times New Roman" w:eastAsia="Times New Roman" w:hAnsi="Times New Roman"/>
          <w:sz w:val="18"/>
          <w:szCs w:val="18"/>
          <w:color w:val="auto"/>
        </w:rPr>
        <w:t>We deliver our services through a skilled and primarily technically oriented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workforce of approximately 2,900 employees. Our senior managers have significant experience with U.S. Government agencies, the U.S. military and U.S. Government contractors. Many of our employees hold national security clearances. Members of our management team have experience growing businesses both organically and through acquisitions. We believe that the cumulative experience and differentiated expertise of our personnel in our core focus areas, coupled with our sizable employee base, allow us to qualify for and bid on larger projects in a prime contracting role.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4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strategy is to continue to grow our business as a proprietary product and intellectual property focused national security company, focused on Command, Control, Communications, Computing, Combat Systems, Intelligence, Surveillance and Reconnaissance (“C5ISR”), providing highly differentiated technology, products, solutions and services in our core areas of focus. We execute our strategy by delivering comprehensive, leading technology products, high-end engineering services, technical solutions, product manufacturing, and engineering solutions to U.S. Government agencies. To achieve our objective, we intend to primarily focus on internal growth by selectively investing in strategic growth areas, curtailing such investments when deemed appropriate, and eliminating unnecessary or duplicative costs where possible.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Growth</w:t>
      </w:r>
    </w:p>
    <w:p>
      <w:pPr>
        <w:spacing w:after="0" w:line="148"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are focused on generating internal growth by capitalizing on our intellectual property, proprietary products, current contract base and customer relationships and by making targeted discretionary investments in strategic growth areas including unmanned tactical systems, satellite communications and microwave electronic products, which have the highest potential for growth and in which we will retain the intellectual property rights.</w:t>
      </w:r>
    </w:p>
    <w:p>
      <w:pPr>
        <w:spacing w:after="0" w:line="9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Expand Technology Product, Solution and Service Offerings Provided to Existing customers. </w:t>
      </w:r>
      <w:r>
        <w:rPr>
          <w:rFonts w:ascii="Times New Roman" w:cs="Times New Roman" w:eastAsia="Times New Roman" w:hAnsi="Times New Roman"/>
          <w:sz w:val="18"/>
          <w:szCs w:val="18"/>
          <w:color w:val="auto"/>
        </w:rPr>
        <w:t>We are focused on expanding the technology,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and services we provide to our current customers by leveraging our strong relationships, technical capabilities and past performance record and by offering a wider range of comprehensive technology rich products and solutions. In regard to areas of specialization, our product and service offerings include manufacturing of specialized defense electronics products, integrated technology solutions for satellite communications and specialized unmanned aerial aircraft, targets, Unmanned Aerial Systems (“UAS”) and Unmanned Ground Systems (“UGS”). We believe our understanding of customer missions, processes, needs and requirements, and our ability to deliver low cost, technology leading products and solutions, position us well for success in the current constrained budget environment.</w:t>
      </w:r>
    </w:p>
    <w:p>
      <w:pPr>
        <w:spacing w:after="0" w:line="10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Capitalize on Current Contract Base. </w:t>
      </w:r>
      <w:r>
        <w:rPr>
          <w:rFonts w:ascii="Times New Roman" w:cs="Times New Roman" w:eastAsia="Times New Roman" w:hAnsi="Times New Roman"/>
          <w:sz w:val="18"/>
          <w:szCs w:val="18"/>
          <w:color w:val="auto"/>
        </w:rPr>
        <w:t>We are pursuing new program and contract opportunities and awards as we build the business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expanding technology base, contract portfolio, and product, solution and service offerings. We are also aggressively pursuing several new national security programs, including air and missile defense radar, F-35 aircraft, Three-Dimensional Expeditionary Long-Range Radar, directed energy systems, hypersonic systems, electromagnetic rail gun systems, next generation ballistic missile targets, denied environment systems, UAS, UGS, tactical unmanned aircraft systems, small satellite command and control systems, and robotics. We also are aggressively pursuing task orders under existing contract vehicles to maximize our revenue and strengthen our customer relationships. We have developed several internal tools that facilitate our ability to track, prioritize and win task orders under these vehicles. Combining these tools with our technical expertise, our strong past performance record and our knowledge of our customers’ needs should position us to win additional task orders.</w:t>
      </w:r>
    </w:p>
    <w:p>
      <w:pPr>
        <w:spacing w:after="0" w:line="10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Expand Customer and Contract Base. </w:t>
      </w:r>
      <w:r>
        <w:rPr>
          <w:rFonts w:ascii="Times New Roman" w:cs="Times New Roman" w:eastAsia="Times New Roman" w:hAnsi="Times New Roman"/>
          <w:sz w:val="18"/>
          <w:szCs w:val="18"/>
          <w:color w:val="auto"/>
        </w:rPr>
        <w:t>We are also focused on expanding our customer base into areas with significant growth opportunities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leveraging our technology, intellectual property, proprietary products, capabilities, industry reputation, long-term customer relationships and diverse contract base. We anticipate that this expansion will enable us both to pursue additional higher value work and to further diversify our revenue base across additional U.S. Government, international and commercial customers.</w:t>
      </w:r>
    </w:p>
    <w:p>
      <w:pPr>
        <w:spacing w:after="0" w:line="99"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Improve Operating Margins. </w:t>
      </w:r>
      <w:r>
        <w:rPr>
          <w:rFonts w:ascii="Times New Roman" w:cs="Times New Roman" w:eastAsia="Times New Roman" w:hAnsi="Times New Roman"/>
          <w:sz w:val="18"/>
          <w:szCs w:val="18"/>
          <w:color w:val="auto"/>
        </w:rPr>
        <w:t>We believe that we have opportunities to increase our operating margins and improve profitability by capitalizing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corporate infrastructure investments and internally developed tools, improving efficiencies and reducing costs, and concentrating our efforts on increasing the percentage of revenues generated from high value-added contracts.</w:t>
      </w:r>
    </w:p>
    <w:p>
      <w:pPr>
        <w:spacing w:after="0" w:line="92"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Investment in Strategic Growth Areas. </w:t>
      </w:r>
      <w:r>
        <w:rPr>
          <w:rFonts w:ascii="Times New Roman" w:cs="Times New Roman" w:eastAsia="Times New Roman" w:hAnsi="Times New Roman"/>
          <w:sz w:val="18"/>
          <w:szCs w:val="18"/>
          <w:color w:val="auto"/>
        </w:rPr>
        <w:t>Over the past several years, we have made significant investments in strategic growth areas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unmanned tactical aircraft systems area. Specifically, we have increased internally funded research and development, capital expenditures and infrastructure investments including bid and proposal and new business capture and pursuit expenses. We have made these investments with the intention of retaining the intellectual property rights and design packages for unmanned platforms and systems, and to secure a sole source position in these strategic growth areas. Once we have either secured these sole source positions or in the event our solution is not selected, we will curtail our investments in these areas, which we expect will improve our margins and cash flows at that time, and if our products enter production.</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Capitalize on Corporate Infrastructure Investments. </w:t>
      </w:r>
      <w:r>
        <w:rPr>
          <w:rFonts w:ascii="Times New Roman" w:cs="Times New Roman" w:eastAsia="Times New Roman" w:hAnsi="Times New Roman"/>
          <w:sz w:val="18"/>
          <w:szCs w:val="18"/>
          <w:color w:val="auto"/>
        </w:rPr>
        <w:t>In recent periods, we have made significant investments in our senior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infrastructure for cyber security threats to our Company, increased and changing regulations we are subject to, and the changing national security environment. These investments also included hiring senior executives with significant experience in the national security industry, strengthening our internal controls over financial reporting and accounting staff in support of public company reporting requirements, and expanding our backlog and bid and proposal pipeline. We will be allocating additional resources in our pursuit of new, larger and highly technical contract opportunities. We believe our management experience and corporate infrastructure can support a company with a much larger revenue base than ours. Accordingly, we believe that, to the extent our revenue grows, we will be able to leverage this infrastructure base and increase our operating margins.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4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 representative list of our customers in our KGS and US segments during 2015 included the U.S. Air Force, U.S. Army, U.S. Navy, U.S. Marines, Missile Defense Agency, the Department of Homeland Security, the National Aeronautics and Space Administration, Foreign Military Sales (“FMS”), the U.S. Southern Command, U.S. intelligence community and certain classified customers. In 2015, representative customers in the PSS segment included Metropolitan Transportation Authority of New York, Prince George’s County Public Schools, Children’s Hospital of Philadelphia, Alamo Colleges, University of New Hampshire, City of Galveston, Texas Orthopedic Hospital, Port Authority of New York &amp; New Jersey, Prudential, New York University, Fidelity, Scripps Clinic, PNC Bank, Halliburton, AT&amp;T, Chevron, Mellon Bank, Calpine Power Plants, Capital Health, DuPont Fabros, BP America, University of Houston, Meridian Health and Memorial Hermann Hospital System.</w:t>
      </w:r>
    </w:p>
    <w:p>
      <w:pPr>
        <w:spacing w:after="0" w:line="10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62%, 57% and 61% of total revenues in 2013, 2014, and 2015, respectively.</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Revenues from foreign customers were approximately $76.5 million or 9%, $89.0 million or 12%, and $73.2 million or 11% of total revenue for the years ended December 29, 2013, December 28, 2014, and December 27, 2015,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28, 2014 and December 27, 2015, our backlog was approximately $1.0 billion and $0.9 billion, respectively, of which $585.8 million was funded in 2014 and $528.7 million was funded in 2015.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Unfunded backlog reflects our estimate of future revenue under awarded government contracts and task orders for which either funding has not yet been appropriated or the expenditure has not yet been authorized. Our total backlog does not include estimates of revenue from government wide acquisition contracts (“GWACs”) or General Services Administration (“GSA”) schedules beyond awarded or funded task orders, but our unfunded backlog does include estimates of revenue beyond awarded or funded task orders for other types of indefinite delivery or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8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27, 2015, we had a work force of approximately 2,900 full-time, part-time and on-call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market is competitive and includes a number of companies in the U.S. defense and security integration industries. Many of the companies that we compete against have significantly greater financial, technical and marketing resources and generate greater revenues than we do. Competition in the KGS and US segments include tier one, large U.S. Government contractors such as Northrop Grumman, Lockheed Martin, General Dynamics, SAIC, Leidos, Engility, ITT Systems, CSRA, Raytheon, BAE Systems, L3, Orbital/ATK, Boeing, and CACI. While we view other government contractors as competitors, we also team with these companies in joint proposals or in the delivery of our products, solutions and services for customers. Tier two competitors include smaller government contractors such as AeroVironment, API Technologies, iRobot and AAR. Intense competition and long operating cycles are key characteristics of our business within the defense industry. It is also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 conducted under binding contracts, allows companies that perform well to benefit from a level of program continuity not frequently found in other industries. Competition in the PSS segment includes Siemens Building Technology, Johnson Controls, and Convergint Technologies, among others.</w:t>
      </w:r>
    </w:p>
    <w:p>
      <w:pPr>
        <w:spacing w:after="0" w:line="110"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We believe that the principal competitive factors in our ability to win new business include our intellectual property, proprietary products and technology. Also important is our past performance qualifications, customer relationships, domain and technology expertise, the ability to replace contract vehicles, the ability to deliver results within budget (time and cost), reputation, accountability, staffing flexibility, and project management expertise. Additionally, our ability to deliver cost effective products, solutions and services that meet our customers’ requirements is a key differentiator. The current federal procurement environment is driven primarily by “low price, technically acceptable” contract award decisions. Accordingly, innovation and the ability for a contractor to quickly deliver a low cost, technically compliant solution or product are critical in the current competitive environment. In addition, competitor bid protests have become more prevalent in the current competitive environment, resulting in further delay of contract procurement activity.</w:t>
      </w:r>
    </w:p>
    <w:p>
      <w:pPr>
        <w:spacing w:after="0" w:line="91"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In the U.S. defense, IT, and services markets, the U.S. Government has stressed competition and affordability in connection with its future procurement of products and services. This has led to fewer sole source awards, as well as more emphasis on cost competitiveness. In addition, the DoD has announced several initiatives to improve efficiency, refocus priorities, modify contract terms, and enhance DoD best practices including those used to procure goods and services from defense contractors. See the Industry Background section in Item 7 “Management’s Discussion and Analysis of Financial Condition and Results of Operations” and the Industry Update section in Item 1 “Business” contained within this Annual Report. These initiatives, when implemented, together with planned reductions in defense spending levels, are likely to result in fewer new opportunities for our industry as a whole with more demanding terms. A reduced opportunity set is likely to intensify competition within the industry as companies compete for a more limited set of new programs.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4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future success depends upon our ability to continue to develop new products and services, and enhancements to and applications for our existing products and services. Our research and development expenses were $19.7 million, $18.6 million and $16.2 million in 2013, 2014, and 2015, respectively. We intend to continue our focus on research and development as a key strategy for growth, which will focus on investments in those fields that we believe will offer the greatest opportunity for growth and profitability. Our current primary internal research and development (“IR&amp;D”) focus areas include unmanned systems, electronic warfare, satellite communications and signal monitoring.</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continued success depends in large part on our proprietary technology, the intellectual skills of our employees and the ability of our employees to continue to innovate. We rely on a combination of patent, copyright, trademark and trade secret laws, as well as confidentiality agreements, to establish and protect our proprietary rights.</w:t>
      </w:r>
    </w:p>
    <w:p>
      <w:pPr>
        <w:spacing w:after="0" w:line="95"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As of December 27, 2015, we held a number of U.S. and foreign patents. We do not consider our business to be materially dependent upon any individual patent. We will continue to file and pursue patent applications when and where appropriate to attempt to protect our rights in our proprietary technologies. We also encourage our employees to continue to invent and develop new technologies so as to maintain our competitiveness in the marketplace.</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own or have rights to use certain trademarks, service marks and trade names that we use in conjunction with the operation of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trademarks have also been registered in selected foreign countries.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various government regulations, including various U.S. Government regulations as a contractor and subcontractor to the agencies of the U.S. Government. Among the most significant U.S. Government regulations affecting our business are:</w:t>
      </w:r>
    </w:p>
    <w:p>
      <w:pPr>
        <w:spacing w:after="0" w:line="81" w:lineRule="exact"/>
        <w:rPr>
          <w:sz w:val="20"/>
          <w:szCs w:val="20"/>
          <w:color w:val="auto"/>
        </w:rPr>
      </w:pPr>
    </w:p>
    <w:p>
      <w:pPr>
        <w:ind w:left="1300" w:right="16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Acquisition Regulations and supplemental agency regulations, which comprehensively regulate the formation, administration, and performance under government contracts;</w:t>
      </w:r>
    </w:p>
    <w:p>
      <w:pPr>
        <w:spacing w:after="0" w:line="80" w:lineRule="exact"/>
        <w:rPr>
          <w:rFonts w:ascii="Times New Roman" w:cs="Times New Roman" w:eastAsia="Times New Roman" w:hAnsi="Times New Roman"/>
          <w:sz w:val="18"/>
          <w:szCs w:val="18"/>
          <w:color w:val="auto"/>
        </w:rPr>
      </w:pPr>
    </w:p>
    <w:p>
      <w:pPr>
        <w:ind w:left="1300" w:right="86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Negotiations Act, which requires certification and disclosure of all cost and pricing data in connection with contract negotiations;</w:t>
      </w:r>
    </w:p>
    <w:p>
      <w:pPr>
        <w:spacing w:after="0" w:line="80" w:lineRule="exact"/>
        <w:rPr>
          <w:rFonts w:ascii="Times New Roman" w:cs="Times New Roman" w:eastAsia="Times New Roman" w:hAnsi="Times New Roman"/>
          <w:sz w:val="18"/>
          <w:szCs w:val="18"/>
          <w:color w:val="auto"/>
        </w:rPr>
      </w:pPr>
    </w:p>
    <w:p>
      <w:pPr>
        <w:ind w:left="1300" w:right="84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Accounting Standards, which impose accounting requirements that govern our right to reimbursement under cost-based government contracts;</w:t>
      </w:r>
    </w:p>
    <w:p>
      <w:pPr>
        <w:spacing w:after="0" w:line="80"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which prohibits U.S. companies from providing anything of value to a foreign official to help obtain, retain or direct business, or obtain any unfair advantages;</w:t>
      </w:r>
    </w:p>
    <w:p>
      <w:pPr>
        <w:spacing w:after="0" w:line="80" w:lineRule="exact"/>
        <w:rPr>
          <w:rFonts w:ascii="Times New Roman" w:cs="Times New Roman" w:eastAsia="Times New Roman" w:hAnsi="Times New Roman"/>
          <w:sz w:val="18"/>
          <w:szCs w:val="18"/>
          <w:color w:val="auto"/>
        </w:rPr>
      </w:pPr>
    </w:p>
    <w:p>
      <w:pPr>
        <w:ind w:left="1300" w:right="40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and the False Statements Act, which, respectively, impose penalties for payments made on the basis of false facts provided to the government and impose penalties on the basis of false statements, even if they do not result in a payment; and</w:t>
      </w:r>
    </w:p>
    <w:p>
      <w:pPr>
        <w:spacing w:after="0" w:line="80"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executive orders restricting the use and dissemination of information classified for national security purposes and the exportation of certain products and technical data.</w:t>
      </w:r>
    </w:p>
    <w:p>
      <w:pPr>
        <w:spacing w:after="0" w:line="8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also need special security clearances to continue working on and advancing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clearances.</w:t>
      </w:r>
    </w:p>
    <w:p>
      <w:pPr>
        <w:spacing w:after="0" w:line="9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nature of the work we do for the federal government may also limit the parties who may invest in or acquire us. Export laws may keep us from providing potential foreign acquirers with a review of the technical data they would be acquiring. In addition, there are special requirements for foreign parties who wish to buy or acquire control or influence over companies that control technology or produce goods in the security interests of the U.S. There may need to be a review under the Exon-Florio provisions of the Defense Production Act. Finally, the government may require a prospective foreign owner to establish intermediaries to actually run that part of the company that does classified work, and establishing a subsidiary and its separate operation may make such an acquisition less appealing to such potential acquirers.</w:t>
      </w:r>
    </w:p>
    <w:p>
      <w:pPr>
        <w:spacing w:after="0" w:line="1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the export from the U.S. of certain of our products may require the issuance of a license by the U.S. Department of Commerce under the Export Administration Act, as amended, and its implementing regulations as kept in force by the International Emergency Economic Powers Act of 1977, as amended. Some of our products may require the issuance of a license by the U.S. Department of State under the Arms Export Control Act and its implementing regulations, which licenses are generally harder to obtain and take longer to obtain than do Export Administration Act licenses.</w:t>
      </w:r>
    </w:p>
    <w:p>
      <w:pPr>
        <w:spacing w:after="0" w:line="9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Our business may require compliance with state or local laws designed to limit the uses of personal user information gathered online or require online services to establish privacy policies.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Availability</w:t>
      </w:r>
    </w:p>
    <w:p>
      <w:pPr>
        <w:spacing w:after="0" w:line="14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procure critical material and subsystems from both domestic and global supply partners. These supply sources may be single sources for certain components and the material provided may have extended lead times. To support our continuing customer needs, we have taken steps to mitigate sourcing risks. This includes working closely with our suppliers to ensure future material and subsystem availability to support our manufacturing plans. In some cases, we have elected to stock reserve material to ensure future availability.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48"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Our manufacturing operations are subject to many requirements under environmental laws. In the U.S., the U.S. Environmental Protection Agency and similar state agencies administer laws that restrict the emission of pollutants into the air, discharges of pollutants into bodies of water and disposal of pollutants in the ground. Violations of these laws can result in significant civil and criminal penalties and incarceration. The failure to obtain a permit for certain activities may be a violation of environmental law and subject the owner and operator to civil and criminal sanctions. Most environmental agencies also have the power to shut down an operation if it is operating in violation of environmental law. U.S. laws also typically allow citizens to bring private enforcement actions in some situations. Outside the U.S., the environmental laws and their enforcement vary and may be more burdensome. We have management programs and processes in place that are intended to minimize the potential for violations of these laws.</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Other environmental laws, primarily in the U.S., address the contamination of land and groundwater and require the clean-up of such contamination. These laws may apply not only to the owner or operator of an on-going business, but also to the owner of land contaminated by a prior owner or operator. In addition, if a parcel is contaminated by the release of a hazardous substance, such as through its historic use as a disposal site, any person or company that has contributed to that contamination, whether or not it has a legal interest in the land, may be subject to a requirement to clean up the parcel.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file reports with the Securities and Exchange Commission (“SEC”). We make available on our website under “Investor Relations/Financial Information/SEC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Times New Roman" w:cs="Times New Roman" w:eastAsia="Times New Roman" w:hAnsi="Times New Roman"/>
          <w:sz w:val="18"/>
          <w:szCs w:val="18"/>
          <w:i w:val="1"/>
          <w:iCs w:val="1"/>
          <w:color w:val="auto"/>
        </w:rPr>
        <w:t>www.kratosdefense.com</w:t>
      </w:r>
      <w:r>
        <w:rPr>
          <w:rFonts w:ascii="Times New Roman" w:cs="Times New Roman" w:eastAsia="Times New Roman" w:hAnsi="Times New Roman"/>
          <w:sz w:val="18"/>
          <w:szCs w:val="18"/>
          <w:color w:val="auto"/>
        </w:rPr>
        <w:t>. You may read and copy any materials we file with the SEC at the SEC’s Public Reference Room at 100 F Street, NE, Washington,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DC 20549. You may obtain information on the operation of the Public Reference Room by calling the SEC at 1-800-SEC-0330. The SEC also maintains an Internet site that contains our reports, proxy and information statements, and other information at www.sec.gov.</w:t>
      </w:r>
    </w:p>
    <w:p>
      <w:pPr>
        <w:spacing w:after="0" w:line="10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the related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provides a significant portion of our revenue, and our business could be adversely affected by changes in the fiscal policies of the U.S. Government and governmental entities.</w:t>
      </w:r>
    </w:p>
    <w:p>
      <w:pPr>
        <w:spacing w:after="0" w:line="159"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color w:val="auto"/>
        </w:rPr>
        <w:t>In fiscal 2013, 2014 and 2015, we generated 62%, 57% and 61%, respectively, of our total revenues from contracts with the U.S. Government (including all branches of the U.S. military and FMS), either as a prime contractor or a subcontractor. We expect to continue to derive most of our revenues from work performed under U.S. Government contracts. See the Industry Update section in Item 1 “Business” contained within this Annual Report for a discussion of the current budgetary and funding constraints on U.S. Government spending and legislation enacted to reduce the U.S. federal deficit. As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result, we have experienced and expect to continue to experience reduced or delayed awards on some of our programs, with a related negative impact to our revenues, earnings and cash flows. Competitor bid protests also have become more prevalent in the current competitive environment resulting from decreased government spending, which has led to further contract award delays. In addition, any future changes to the fiscal policies of the U.S. Government and foreign governmental entities may decrease overall government funding for defense and homeland security, result in delays in the procurement of our products and services due to lack of funding, cause the U.S. Government and government agencies to 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8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results of operations.</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design, develop, and manufacture technologically advanced and innovative products and services, which are applied by our customers in a variety of environments. Problems and delays in development or delivery as a result of issues with respect to design, technology, licensing and intellectual property rights, labor, inability to achieve learning curve assumptions, manufacturing materials or components could prevent us from meeting requirements. Either we or the customer may generally terminate a contract for material uncured breach by the other. If we breach a contract or fail to perform in accordance with contractual service levels, delivery schedules, performance specifications, or other contractual requirements we could be terminated for default, and we may be required to refund money previously paid to us by the customer or to pay penalties or other damages. Even if we have not breached, we may deal with various situations from time to time that may result in the amendment or termination of a contract. These steps can result in significant current period charges and/or reductions in current or future revenue. Other factors that may affect revenue and profitability include inaccurate cost estimates, design issues, unforeseen costs and expenses not covered by insurance or indemnification from the customer, diversion of management focus in responding to unforeseen problems, and loss of follow-on work.</w:t>
      </w:r>
    </w:p>
    <w:p>
      <w:pPr>
        <w:spacing w:after="0" w:line="18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a prime contractor, we often rely upon other companies as subcontractors to perform work we are obligated to perform for our customers. As we secure more work under certain of our contracts, we expect to require an increasing 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fails to satisfactorily perform the agreed-upon services on a timely basis or violates U.S. Government contracting policies, laws or regulations, our ability to perform our obligations as a prime contractor or meet our customers’ expectations may be compromised. In extreme cases, performance or other deficiencies on the part of our subcontractors could result in a customer terminating our contract for default. A termination for default could expose us to liability, including liability for the agency’s costs of re-procurement, could damage our reputation and could hurt our ability to compete for future contracts.</w:t>
      </w:r>
    </w:p>
    <w:p>
      <w:pPr>
        <w:spacing w:after="0" w:line="18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also are required to procure certain materials and parts from supply sources approved by the U.S. Government. The inability of a supplier to meet our needs or the appearance of counterfeit parts in our products could have a material adverse effect on our financial position, results of operations or cash flows.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operate in highly competitive markets and generally encounter intense competition to win contracts from many other firms, including mid-tier federal contractors with specialized capabilities, large defense contractors and IT services providers. Competition in our markets may increase as a result of a number of factors, such as the entrance of new or larger competitors, including those formed through alliances or consolidation, or the reduction in the overall number of government contracts. We may also face competition from prime contractors for whom we currently serve as subcontractors or teammates if those prime contractors choose to offer customer services of the type that we are currently providing. Recently, procurement awards have been based on lowest price, technically acceptable proposals. In addition, we may face competition from our subcontractors who, from time-to-time, seek to obtain prime contractor status on contracts for which they currently serve as a subcontractor to us.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Many of our competitors have greater financial, technical, marketing and public relations resources, larger customer bases and greater brand or name recognition than we do. Such competitors may be able to utilize their substantially greater resources and economies of scale to, among other things:</w:t>
      </w:r>
    </w:p>
    <w:p>
      <w:pPr>
        <w:spacing w:after="0" w:line="133" w:lineRule="exact"/>
        <w:rPr>
          <w:sz w:val="20"/>
          <w:szCs w:val="20"/>
          <w:color w:val="auto"/>
        </w:rPr>
      </w:pPr>
    </w:p>
    <w:p>
      <w:pPr>
        <w:ind w:left="1300" w:right="40" w:hanging="320"/>
        <w:spacing w:after="0" w:line="239" w:lineRule="exact"/>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sales from us by winning very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government contracts, a risk that is enhanced by the recent trend in government procurement practices to bundle services into larger contracts and the recent trend of awards on a lowest price, technically acceptable basis;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sales from us by the award of government contracts to our competitors who may be willing to bid at substantially lower prices;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us to charge lower prices; or</w:t>
      </w:r>
    </w:p>
    <w:p>
      <w:pPr>
        <w:spacing w:after="0" w:line="9" w:lineRule="exact"/>
        <w:rPr>
          <w:rFonts w:ascii="Times New Roman" w:cs="Times New Roman" w:eastAsia="Times New Roman" w:hAnsi="Times New Roman"/>
          <w:sz w:val="18"/>
          <w:szCs w:val="18"/>
          <w:color w:val="auto"/>
        </w:rPr>
      </w:pPr>
    </w:p>
    <w:p>
      <w:pPr>
        <w:ind w:left="1300" w:right="240" w:hanging="320"/>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relationships with current customers, including our ability to continue to win competitively awarded engagements in which we are the incumbent.</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market for products in our US segment 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If we lose business to our competitors or are forced to lower our prices, our revenue and operating profits could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upon our ability to keep pace with the latest technological changes.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for our services is characterized by rapid change and technological improvements. Failure to respond in a timely and cost-effective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customer preferences.</w:t>
      </w:r>
    </w:p>
    <w:p>
      <w:pPr>
        <w:spacing w:after="0" w:line="18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believe that, in order to remain competitive in the future, we will need to continue to invest significant financial resources to develop new offerings and technologies or to adapt or modify our existing offerings and technologies, including through internal research and development, acquisitions and joint ventures or other teaming arrangements. These expenditures could divert our attention and resources from other projects, and we cannot be sure that these expenditures will ultimately lead to the timely development of new offerings and technologies or identification of and expansion into new markets. Due to the design complexity of our products, we may, in the future, experience delays in completing the development and introduction of new products. Any delays could result in increased costs of development or deflect resources from other projects. In addition, there can be no assurance that the market for our products will develop or continue to expand or that we will be successful in newly identified markets as we currently anticipate. The failure of our technology to gain market acceptance could significantly reduce our revenues and harm our business. Furthermore, we cannot be sure that our competitors will not develop competing technologies that gain market acceptance in advance of our products.</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Additionally, the possibility exists that our competitors might develop new technology or offerings that might cause our existing technology and offerings to become obsolete. If we fail in our new product development efforts or our products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services fail to achieve market acceptance more rapidly as compared to our competitors, our ability to procure new contracts could be negatively impacted, which could negatively impact our results of operations and financial condition.</w:t>
      </w:r>
    </w:p>
    <w:p>
      <w:pPr>
        <w:spacing w:after="0" w:line="158" w:lineRule="exact"/>
        <w:rPr>
          <w:sz w:val="20"/>
          <w:szCs w:val="20"/>
          <w:color w:val="auto"/>
        </w:rPr>
      </w:pPr>
    </w:p>
    <w:p>
      <w:pPr>
        <w:ind w:right="2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UAS and UGS markets do not experience significant growth, if we cannot expand our customer base or if our products do not achieve broad acceptance, then we may not be able to achieve our anticipated level of growth.</w:t>
      </w:r>
    </w:p>
    <w:p>
      <w:pPr>
        <w:spacing w:after="0" w:line="159" w:lineRule="exact"/>
        <w:rPr>
          <w:sz w:val="20"/>
          <w:szCs w:val="20"/>
          <w:color w:val="auto"/>
        </w:rPr>
      </w:pPr>
    </w:p>
    <w:p>
      <w:pPr>
        <w:jc w:val="both"/>
        <w:ind w:right="2300" w:firstLine="648"/>
        <w:spacing w:after="0" w:line="272" w:lineRule="auto"/>
        <w:rPr>
          <w:sz w:val="20"/>
          <w:szCs w:val="20"/>
          <w:color w:val="auto"/>
        </w:rPr>
      </w:pPr>
      <w:r>
        <w:rPr>
          <w:rFonts w:ascii="Times New Roman" w:cs="Times New Roman" w:eastAsia="Times New Roman" w:hAnsi="Times New Roman"/>
          <w:sz w:val="17"/>
          <w:szCs w:val="17"/>
          <w:color w:val="auto"/>
        </w:rPr>
        <w:t>For the fiscal year ended December 27, 2015, our US segment accounted for 10.1% of our total revenue. We cannot accurately predict the future growth rate or size of this market. Demand for our products may not increase, or may decrease, either generally or in specific markets, for particular types of products or during particular time periods. There are only a</w:t>
      </w:r>
    </w:p>
    <w:p>
      <w:pPr>
        <w:spacing w:after="0" w:line="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limited number of major programs under which the U.S. military, our primary customer, is currently funding the development or purchase of our UAS and UGS products. Although we are seeking to expand our US customer base to include foreign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governments, domestic non-military agencies and commercial customers, we cannot assure that our efforts will be</w:t>
      </w:r>
    </w:p>
    <w:p>
      <w:pPr>
        <w:spacing w:after="0" w:line="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successful. The expansion of the UAS and UGS markets in general, and the market for our products in particular, depends on a number of factors, including the following:</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these types of systems as solutions;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performance and reliability of our products and products offered by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perceptions regarding the effectiveness and value of these types of systems;</w:t>
      </w:r>
    </w:p>
    <w:p>
      <w:pPr>
        <w:spacing w:after="0" w:line="9" w:lineRule="exact"/>
        <w:rPr>
          <w:rFonts w:ascii="Times New Roman" w:cs="Times New Roman" w:eastAsia="Times New Roman" w:hAnsi="Times New Roman"/>
          <w:sz w:val="18"/>
          <w:szCs w:val="18"/>
          <w:color w:val="auto"/>
        </w:rPr>
      </w:pPr>
    </w:p>
    <w:p>
      <w:pPr>
        <w:ind w:left="660" w:right="39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market our US products and services outside the U.S. due to U.S. government regulations;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efforts and publicity regarding these types of systems.</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Even if UAS and UGS gain wide market acceptance in general, our specific products may not adequately address market requirements or may not gain market acceptance. If these types of systems generally, or our products specifically, do not gain wide market acceptance, then we may not be able to achieve our anticipated level of growth and our revenue and results of operations may suffer.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our GSA contracts or GWACs could impair our ability to attract new business.</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 prime contractor under several GSA contracts and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customer’s discretion to extend the contract for one or more years. We cannot be assured that our government customers will continue to exercise the options remaining on our current contracts, nor can we be assured that our future customers will exercise options on any contracts we may receive in the future.</w:t>
      </w:r>
    </w:p>
    <w:p>
      <w:pPr>
        <w:spacing w:after="0" w:line="8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contracts differ materially from standard commercial contracts, involve competitive bidding and may be subject to cancellation or delay without penalty.</w:t>
      </w:r>
    </w:p>
    <w:p>
      <w:pPr>
        <w:spacing w:after="0" w:line="7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67"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existing contracts;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potential future income from our existing contracts;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some of the terms and conditions in our existing contracts;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permanently prohibit us from doing business with the U.S. Government or with any specific government agency;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and penalties;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criminal prosecution;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work under existing multiple year contracts and related task orders if the necessary funds are not appropriated by Congress;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exercise an option to extend an existing multiple year contract;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 technologies and systems invented, developed or produced by us.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government agency. Competitive procurements impose substantial costs and managerial time and effort in order to prepare bids and proposals for contracts that may not be awarded to us. In many cases, unsuccessful bidders</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00"/>
          </w:cols>
          <w:pgMar w:left="240" w:top="121" w:right="3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government contracts are provided the opportunity to formally protest certain contract awards through various agencies, administrative and judicial channels. We have experienced an increase in competitor bid protests on contracts on which we were the successful bidder due to the competitive environment resulting from decreased government spending.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the full amounts estimated under the contracts in our backlog, which could reduce our revenue in future periods below the levels anticipated. This makes backlog an uncertain indicator of future operating results.</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unfunded and total backlog as of any particular date may not be an accurate indicator of our future earnings.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preference for minority-owned, small and small disadvantaged businesses could impact our ability to be a prime contractor on certain governmental procurements.</w:t>
      </w:r>
    </w:p>
    <w:p>
      <w:pPr>
        <w:spacing w:after="0" w:line="15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Small Business Administration (“SBA”) set-aside program, the federal government may decide to restrict certain procurements only to bidders that qualify as minority-owned, small, or small disadvantaged businesses. As a result,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or restrict our ability to compete on incumbent work that is placed in the set-aside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in-sourcing could result in loss of business opportunities and personnel.</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could also be hired by the government. This loss of our employees would necessitate the need to retain and train new employees. Accordingly, the effect of in-sourcing or the continuation of in-sourcing at a faster-than-expected rate, could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security threats, including cybersecurity threats, and other disruptions.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of the systems we develop, install and maintain involve managing and protecting information involved in intelligence, national security and other sensitive or classified U.S. Government functions. We face various security threats, including cybersecurity threats, to gain unauthorized access to this sensitive information. Such threats can come from external as well as internal sources. We also face threats to the safety of our directors, officers, and employees; threats to the security of our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the loss of sensitive information, critical infrastructure, personnel or capabilities essential to our operations and prevent us from being eligible for further work on sensitive or classified systems for U.S. Government customers. Further, any losses we incur from such a security breach could exceed the policy limits under our errors and omissions and product liability insurance. Any losses we incur, any damage to our reputation or any limitations on our eligibility for additional work resulting from a security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could materially reduce our revenue and could have a material adverse effect on our business, financial condition and results of operations.</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Cybersecurity attacks in particular are evolving and include, but are not limited to, malicious software, attempts to gain unauthorized access to data, and other electronic security breaches that could lead to disruptions in mission critical systems, unauthorized release of confidential or otherwise protected information and corruption of data. We have experienced cybersecurity attacks and may experience them in the future. These events could damage our reputation and lead to financial losses from remedial actions, loss of business, loss of proprietary and trade secret information or potential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systems or service failure, our reputation could be harmed and our customers could assert claims against us for damages or refunds.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create, implement and maintain IT solutions that are often critical to our customers’ operations. We have experienced, and may in the future experience, some systems and service failures, schedule or delivery delays and other problems in connection with our work. If we experience these problems, we may:</w:t>
      </w:r>
    </w:p>
    <w:p>
      <w:pPr>
        <w:spacing w:after="0" w:line="176"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revenue due to adverse customer reaction;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provide additional services to a customer at no charge;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customers to postpone, cancel or fail to renew contracts;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negative publicity, which could damage our reputation and adversely affect our ability to attract or retain customers;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claims for substantial damages.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cannot ensure that provisions in our customer contracts will be legally sufficient to protect us if we are sued.</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may result in significant legal and other costs, be a distraction to our management and harm our reputation.</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are complex and could have unknown defects or errors, which may increase our costs, harm our reputation with customers, give rise to costly litigation, or divert our resources from other purposes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products, including but not limited to unmanned vehicles, aerial targets, and ballistic missile targets, are extremely complex and must operate successfully with complex products from other vendors.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diversion of our personnel’s attention from our product development efforts, exposure to liability for damages, damaged customer relationships, and harm to our reputation, any of which could materially harm our results of operations. In addition, increased development and warranty costs could be substantial and could reduce our operating margins.</w:t>
      </w:r>
    </w:p>
    <w:p>
      <w:pPr>
        <w:spacing w:after="0" w:line="1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existence of any defects, errors, or failures in our products or the misuse of our products could also lead to lawsuits against us, result in injury, death, or property damage, and significantly damage our reputation and support for our products in general.</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76" w:lineRule="exact"/>
        <w:rPr>
          <w:sz w:val="20"/>
          <w:szCs w:val="20"/>
          <w:color w:val="auto"/>
        </w:rPr>
      </w:pPr>
    </w:p>
    <w:p>
      <w:pPr>
        <w:ind w:right="2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development and manufacture of certain of our products involves the handling of a variety of explosive and flammable materials as well as high power equipment. From time to time, these activities may result in incidents that could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121" w:right="27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we cannot ensure that we will not experience such incidents in the future or that any such incidents will not result in production delays or otherwise have a material adverse effect on our business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 to quarter.</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year. The U.S. Government’s fiscal year end can also trigger increased purchase requests from customers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factors that may cause our financial results to fluctuate from quarter to quarter include those addressed elsewhere in this Item 1A “Risk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and the following factors, among others:</w:t>
      </w:r>
    </w:p>
    <w:p>
      <w:pPr>
        <w:spacing w:after="0" w:line="207"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customer contracts that affect the timing of revenue recognition;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demand for our services and solutions;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completion or termination of contracts during any particular quarter;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shipments and product deliveries;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award or performance incentive fee notices;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significant bid and proposal costs;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remediating unknown defects, errors or performance problems of our product offerings;</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GSA contracts, GWACs, blanket purchase agreements and other indefinite delivery or indefinite quantity contracts;</w:t>
      </w: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and delays related to the export of defense articles and services;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government inquiries;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and joint ventures;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or changes in business strategy;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extent to which we use subcontractors;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our staff utilization rates;</w:t>
      </w:r>
    </w:p>
    <w:p>
      <w:pPr>
        <w:spacing w:after="0" w:line="9" w:lineRule="exact"/>
        <w:rPr>
          <w:rFonts w:ascii="Times New Roman" w:cs="Times New Roman" w:eastAsia="Times New Roman" w:hAnsi="Times New Roman"/>
          <w:sz w:val="18"/>
          <w:szCs w:val="18"/>
          <w:color w:val="auto"/>
        </w:rPr>
      </w:pPr>
    </w:p>
    <w:p>
      <w:pPr>
        <w:ind w:left="1300" w:right="420" w:hanging="320"/>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including changes in our judgment as to the necessity of the valuation allowance recorded against our deferred tax assets; and</w:t>
      </w: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sales cycles.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Significant fluctuations in our operating results for a particular quarter could cause us to fall out of compliance with the financial covenants related to our debt, which if not waived, could restrict our access to capital and cause us to take extreme measures to pay down our debt under the Credit Agreement. In addition, fluctuations in our financial results could cause our stock price to decline. See the risks and uncertainties related to our ability to raise additional capital below in </w:t>
      </w:r>
      <w:r>
        <w:rPr>
          <w:rFonts w:ascii="Times New Roman" w:cs="Times New Roman" w:eastAsia="Times New Roman" w:hAnsi="Times New Roman"/>
          <w:sz w:val="18"/>
          <w:szCs w:val="18"/>
          <w:i w:val="1"/>
          <w:iCs w:val="1"/>
          <w:color w:val="auto"/>
        </w:rPr>
        <w:t>“We may need additional capital to fund the growth of our business, and financing may not be available on favorable terms or at all.”</w:t>
      </w:r>
    </w:p>
    <w:p>
      <w:pPr>
        <w:spacing w:after="0" w:line="151"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price contracts in our total contract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-223520</wp:posOffset>
            </wp:positionV>
            <wp:extent cx="6413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margins and generally are the least profitable of our contract types. Our U.S. Government customers typically determine what type of contract we enter into. Cost-plus-fee and fixed-price contracts in our federal business accounted for approximately 14% and 80%, respectively, of our federal business revenues for the year ended December 27, 2015. To the extent that we enter into more cost-plus-fee or less fixed-price contracts in proportion to our total contract mix in the future, our margins and operating results may suffer.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flow and profitability could be reduced if expenditures are incurred prior to the final receipt of a contract.</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provide various professional services, specialized products, and sometimes procure equipment and materials on behalf of our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another contractor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and negatively affecting our cash flow and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continue to incur goodwill impairment charges in our reporting entities, which could harm our profitability.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27, 2015, goodwill represented approximately 54% of our total assets. We periodically review the carrying values of our goodwill to determine whether such carrying values exceed the fair market value.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identification and measurement of impairment involves the estimation of the fair value of reporting units. Accounting for impairment contains uncertainty because management must use judgment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18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Given the current market conditions and continued economic uncertainty in the U.S. defense industry, including sequestration and issues surrounding the national debt ceiling, our future revenues, profits and cash flows could be substantially lower than our current projections.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 addition, market-based inputs to the calculations in the impairment test, such as weighted average cost of capital, and market multiples, could also be negatively impacted. Such circumstances may result in the future deterioration of the fair value of our reporting units and an impairment of our goodwill.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properly manage projects may result in additional costs or claims.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customers’ expectations could result in claims for substantial damages against us. Our contracts generally limit our liability for damages that arise from negligent acts, error, mistakes or omissions in rendering services to our customers.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adversely affected.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when accounting for contracts, and any changes in such estimates could have an adverse effect on our profitability and our overall financial performance.</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As a result of the restrictions under Section 382, the Company’s federal annual utilization of NOL carryforwards were limited to at least $27.0 million a year for the first five years succeeding the March 2010 ownership change and at least $11.6 million for each year thereafter subject to separate limitations for Acquired NOLs. If the entire limitation amount is not utilized in a year, the excess can be carried forward and utilized in future years. For the year ended December 27, 2015, there was no impact of such limitations on the income tax provision since the amount of taxable income did not exceed the cumulative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fund the growth of our business, and financing may not be available on favorable terms or at all.</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currently anticipate that our available capital resources, including our Credit Agreement and operating cash flow, will be sufficient to meet our expected working capital and capital expenditure requirements for at least the next 12 months. However, these resources may not be sufficient to fund the long-term growth of our business. If we determine that it is necessary to raise additional funds, either through an expansion or refinancing of our agreement or through public or private debt or equity financings, additional financing may not be available on terms favorable to us, or at all. Disruptions in the capital and credit markets may continue indefinitely or intensify, which could adversely affect our ability to access these markets. Limitations on our borrowing base contained in our Credit Agreement may limit our access to capital, and we could fall out of compliance with financial and other covenants contained in our Credit Agreement which, if not waived, would restrict our access to capital and could require us to pay down our existing debt under the Credit Agreement. Our lenders may not agree to extend additional or continuing credit under our Credit Agreement or waive restrictions on our access to capital.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Past acquisitions and future acquisitions could prove difficult to integrate, disrupt our business, dilute stockholder value and strain our resources.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have in the past and may, in the future, acquire additional businesses that we believe could complement or expand our business or increase our customer base. Integrating the operations of acquired businesses successfully or otherwise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180"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the operating synergies anticipated in the acquisitions;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ongoing business concerns to integration matters;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consolidating and rationalizing IT platforms and administrative infrastructures;</w:t>
      </w:r>
    </w:p>
    <w:p>
      <w:pPr>
        <w:spacing w:after="0" w:line="9" w:lineRule="exact"/>
        <w:rPr>
          <w:rFonts w:ascii="Times New Roman" w:cs="Times New Roman" w:eastAsia="Times New Roman" w:hAnsi="Times New Roman"/>
          <w:sz w:val="18"/>
          <w:szCs w:val="18"/>
          <w:color w:val="auto"/>
        </w:rPr>
      </w:pPr>
    </w:p>
    <w:p>
      <w:pPr>
        <w:ind w:left="1300" w:right="80" w:hanging="320"/>
        <w:spacing w:after="0" w:line="25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the geographic separation of the combined businesses and consolidating multiple physical locations where management may determine consolidation is desirable;</w:t>
      </w:r>
    </w:p>
    <w:p>
      <w:pPr>
        <w:ind w:left="1300" w:hanging="320"/>
        <w:spacing w:after="0" w:line="25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personnel from different corporate cultures while maintaining focus on providing consistent, high quality customer service;</w:t>
      </w: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transitioning U.S. Government contracts pursuant to federal acquisition regulations;</w:t>
      </w:r>
    </w:p>
    <w:p>
      <w:pPr>
        <w:spacing w:after="0" w:line="9" w:lineRule="exact"/>
        <w:rPr>
          <w:rFonts w:ascii="Times New Roman" w:cs="Times New Roman" w:eastAsia="Times New Roman" w:hAnsi="Times New Roman"/>
          <w:sz w:val="18"/>
          <w:szCs w:val="18"/>
          <w:color w:val="auto"/>
        </w:rPr>
      </w:pPr>
    </w:p>
    <w:p>
      <w:pPr>
        <w:ind w:left="1300" w:right="240" w:hanging="320"/>
        <w:spacing w:after="0" w:line="25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demonstrating to customers of Kratos and to customers of acquired businesses that the acquisition will not result in adverse changes in customer service standards or business focus;</w:t>
      </w: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cash flow interruption or loss of revenue as a result of change of ownership transitional matters;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costs.</w:t>
      </w:r>
    </w:p>
    <w:p>
      <w:pPr>
        <w:spacing w:after="0" w:line="207"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U.S. Government or other customers, we, as the successor owner, may be financially responsible for these violations and failures and may suffer reputational harm or otherwise be adversely affected. Acquisitions also frequently result in the recording of goodwill and other intangible assets that are subject to potential impairment in the future that could harm our financial results. In addition, if we finance acquisitions by issuing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otherwise to realize any of the anticipated benefits of the acquisition could seriously harm our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our business and financial results could suffer.</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senior management could impair our relationships with U.S. Government customers and disrupt the management of our business.</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growth of our business and revenue depends in large part upon our ability to attract and retain sufficient numbers of highly qualified individuals who have advanced IT and/or engineering skills. These employees are in great demand and are likely to remain a limited resource in the foreseeable future. In addition, certain U.S. Government contracts require us, and some of our employees, to maintain national security clearances. Obtaining and maintaining national security clearances for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employees involves a lengthy process, and it is difficult to identify, recruit and retain employees who already hold national security clearances. Further, some of our contracts contain provisions requiring us to staff an engagement with personnel that the customer considers key to our successful performance under the contract. In the event we are unable to provide these key personnel or acceptable substitutions, the customer may terminate the contract. As a result, if we are unable to recruit and retain a sufficient number of qualified employees, we may lose revenue and our ability to maintain and grow our business could be limited.</w:t>
      </w:r>
    </w:p>
    <w:p>
      <w:pPr>
        <w:spacing w:after="0" w:line="18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7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requirements of the National Industrial Security Program Operating Manual for our facility security clearance, which is a prerequisite to our ability to perform on classified contracts for the U.S. Government.</w:t>
      </w:r>
    </w:p>
    <w:p>
      <w:pPr>
        <w:spacing w:after="0" w:line="118" w:lineRule="exact"/>
        <w:rPr>
          <w:sz w:val="20"/>
          <w:szCs w:val="20"/>
          <w:color w:val="auto"/>
        </w:rPr>
      </w:pPr>
    </w:p>
    <w:p>
      <w:pPr>
        <w:ind w:right="700" w:firstLine="648"/>
        <w:spacing w:after="0" w:line="261" w:lineRule="auto"/>
        <w:rPr>
          <w:sz w:val="20"/>
          <w:szCs w:val="20"/>
          <w:color w:val="auto"/>
        </w:rPr>
      </w:pPr>
      <w:r>
        <w:rPr>
          <w:rFonts w:ascii="Times New Roman" w:cs="Times New Roman" w:eastAsia="Times New Roman" w:hAnsi="Times New Roman"/>
          <w:sz w:val="18"/>
          <w:szCs w:val="18"/>
          <w:color w:val="auto"/>
        </w:rPr>
        <w:t>A facility security clearance is required for a company to perform on classified contracts for the DoD and certain other agencies of the U.S. Government. Security clearances are subject to regulations and requirements including the National Industrial Security Program Operating Manual (“NISPOM”), which specifies the requirements for the protection of classified information released or disclosed in connection with classified U.S. Government contracts.</w:t>
      </w:r>
    </w:p>
    <w:p>
      <w:pPr>
        <w:spacing w:after="0" w:line="14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require certain facility and personnel security clearances to perform our classified U.S. Government related business. As such, we must comply with the requirements of the NISPOM and any other applicable U.S. Government industrial security regulations. If we were to violate the terms and requirements of the NISPOM or any other applicable U.S. Government industrial security regulations (which apply to us under the terms of classified contracts), any of our cleared facilities could lose its facility security clearance. We cannot be certain that we will be able to maintain our facility security clearances. If for some reason one or more of our facility security clearances is invalidated or terminated, we would not be able to continue to perform on classified contracts at that facility and would not be able to enter into new classified contracts, which could adversely affect our revenues. Failure to comply with the NISPOM or other security requirements may subject us to civil or criminal penalties, loss of access to classified information, loss of a U.S. Government contract, or potentially debarment as a government contractor.</w:t>
      </w:r>
    </w:p>
    <w:p>
      <w:pPr>
        <w:spacing w:after="0" w:line="14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realize any benefit from our cost reduction and restructuring effort and our profitability may be hurt or our business otherwise might be adversely affected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have engaged in cost reduction and restructuring activities in the past, including the recent dispositions of the U.S. and U.K. operations of our Electronic Products Division and the Herley Entities, and we may engage in other cost reduction restructuring activities in the future. These types of cost reduction and restructuring activities are complex. If we do not successfully manage our current cost reduction and restructuring activities, or any other cost reduction and restructuring activities that we may take in the future, any expected efficiencies and benefits might be delayed or not realized, and our operations and business could be disrupted. In addition, the costs associated with implementing cost reduction and restructuring activities might exceed expectations, which could result in additional future charges.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derived from our international business could be subject to global economic downturn and hardship.</w:t>
      </w:r>
    </w:p>
    <w:p>
      <w:pPr>
        <w:spacing w:after="0" w:line="229" w:lineRule="exact"/>
        <w:rPr>
          <w:sz w:val="20"/>
          <w:szCs w:val="20"/>
          <w:color w:val="auto"/>
        </w:rPr>
      </w:pPr>
    </w:p>
    <w:p>
      <w:pPr>
        <w:ind w:left="80" w:firstLine="648"/>
        <w:spacing w:after="0" w:line="256" w:lineRule="auto"/>
        <w:rPr>
          <w:sz w:val="20"/>
          <w:szCs w:val="20"/>
          <w:color w:val="auto"/>
        </w:rPr>
      </w:pPr>
      <w:r>
        <w:rPr>
          <w:rFonts w:ascii="Times New Roman" w:cs="Times New Roman" w:eastAsia="Times New Roman" w:hAnsi="Times New Roman"/>
          <w:sz w:val="18"/>
          <w:szCs w:val="18"/>
          <w:color w:val="auto"/>
        </w:rPr>
        <w:t>Our international business represents 11% of our total revenue,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 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additional risks.</w:t>
      </w:r>
    </w:p>
    <w:p>
      <w:pPr>
        <w:spacing w:after="0" w:line="31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operations outside of the U.S. are subject to risks that are inherent in conducting business under non-U.S. laws, regulations and customs, including those related to:</w:t>
      </w:r>
    </w:p>
    <w:p>
      <w:pPr>
        <w:spacing w:after="0" w:line="243"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potentially reducing the U.S. dollars we receive for sales denominated in foreign currency;</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unfriendly nations or groups could boycott our solutions;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in the markets in which we operate;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increased costs associated with overlapping tax structures;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import-export control;</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limited protection for intellectual property rights in some countries;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staffing and managing foreign operations;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of compliance with a wide variety of foreign laws and regulations;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cycles in certain foreign countries, whether due to cultural differences, exchange rate fluctuation or other factors;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transfer restrictions;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distribution networks;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w:t>
      </w:r>
    </w:p>
    <w:p>
      <w:pPr>
        <w:spacing w:after="0" w:line="207" w:lineRule="exact"/>
        <w:rPr>
          <w:sz w:val="20"/>
          <w:szCs w:val="20"/>
          <w:color w:val="auto"/>
        </w:rPr>
      </w:pPr>
    </w:p>
    <w:p>
      <w:pPr>
        <w:ind w:left="80" w:right="120" w:firstLine="648"/>
        <w:spacing w:after="0" w:line="254" w:lineRule="auto"/>
        <w:rPr>
          <w:sz w:val="20"/>
          <w:szCs w:val="20"/>
          <w:color w:val="auto"/>
        </w:rPr>
      </w:pPr>
      <w:r>
        <w:rPr>
          <w:rFonts w:ascii="Times New Roman" w:cs="Times New Roman" w:eastAsia="Times New Roman" w:hAnsi="Times New Roman"/>
          <w:sz w:val="18"/>
          <w:szCs w:val="18"/>
          <w:color w:val="auto"/>
        </w:rPr>
        <w:t>These risks, individually or in the aggregate, could have an adverse effect on our results of operations and financial condition. For example, we are subject to compliance with the Foreign Corrupt Practices Act and similar anti-bribery laws, which generally prohibit companies and their intermediaries from making improper payments to foreign government officials for the purpose of obtaining or retaining business. While our employees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 we fail to meet such requirements. The impact of these factors is difficult to predict, but one or more of them could adversely affect our financial position, results of operations, or cash flows.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Violations of the International Traffic in Arms Regulations (“ITAR”) or other applicable trade compliance regulations could result in significant sanctions including fines, more onerous compliance requirements and debarments from export privileges or loss of authorizations needed to conduct aspects of our international business. A violation of ITAR or other applicable trade regulations could materially adversely affect our business,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indebtedness, which could adversely affect our cash flow, financial condition and business.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December 27, 2015, we had approximately $445.1 million of total indebtedness outstanding, which includes $3.3 million of unamortized original issue discount and $4.3 million of unamortized debt issuance costs. As a result of this indebtedness, our interest payment obligations are significant. The degree to which we are leveraged could have adverse effects on our business, including the following:</w:t>
      </w:r>
    </w:p>
    <w:p>
      <w:pPr>
        <w:spacing w:after="0" w:line="176"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flexibility in planning for, or reacting to, changes in our business and the industries in which we operate;</w:t>
      </w:r>
    </w:p>
    <w:p>
      <w:pPr>
        <w:spacing w:after="0" w:line="27" w:lineRule="exact"/>
        <w:rPr>
          <w:rFonts w:ascii="Times New Roman" w:cs="Times New Roman" w:eastAsia="Times New Roman" w:hAnsi="Times New Roman"/>
          <w:sz w:val="18"/>
          <w:szCs w:val="18"/>
          <w:color w:val="auto"/>
        </w:rPr>
      </w:pPr>
    </w:p>
    <w:p>
      <w:pPr>
        <w:ind w:left="1300" w:right="180" w:hanging="320"/>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restrict us from making strategic acquisitions or exploiting business opportunities;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place us at a competitive disadvantage compared to our competitors that have less debt;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ability to borrow additional funds;</w:t>
      </w:r>
    </w:p>
    <w:p>
      <w:pPr>
        <w:spacing w:after="0" w:line="9"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prevent us from raising the funds necessary to repurchase our outstanding Notes tendered to us if there is a change of control, which would constitute a default under the Indenture governing such notes and under our Credit Agreement; and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decrease our ability to compete effectively or operate successfully under adverse economic and industry conditions.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high level of indebtedness increases the risk that we may default on our debt obligations. We may be unable to generate sufficient cash flow to pay the interest on our debt. If we are unable to service our indebtedness, we will be forced to adopt an alternative strategy that may include actions such as reducing capital expenditures, reducing internal investments in research and development efforts,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84"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acceleration or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 rights between the relevant agreements. In addition, our lenders could compel us to apply all of our available cash to repay our borrowings or they could prevent us from making payments on our indebtedness. If the amounts outstanding under any of our indebtedness were to be accelerated, our assets may not be sufficient to repay in full the money owed to the lenders or to our other debt holders.</w:t>
      </w:r>
    </w:p>
    <w:p>
      <w:pPr>
        <w:spacing w:after="0" w:line="19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may incur more debt, which may increase the risks associated with our substantial leverage, including our ability to service our indebtedness.</w:t>
      </w:r>
    </w:p>
    <w:p>
      <w:pPr>
        <w:spacing w:after="0" w:line="15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agreements governing our debt permit us, under some circumstances, to incur certain additional indebtedness or obligations. To the extent that we incur additional indebtedness or such other obligations, the risks associated with our substantial leverage described above, including our possible inability to service our debt, would increase.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ratings or macroeconomic conditions may affect our liquidity, increasing borrowing costs and limiting our financing options.</w:t>
      </w:r>
    </w:p>
    <w:p>
      <w:pPr>
        <w:spacing w:after="0" w:line="18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Macroeconomic conditions, such as increased volatility or disruption in the credit markets, could adversely affect our ability to refinance existing debt or obtain additional financing at terms satisfactory to us, thereby affecting our resources to support operations or to fund new initiatives. In addition, if our credit ratings are lowered, borrowing costs for future long-term debt or short-term credit facilities may increase and our financing options, including our access to the unsecured credit market, could be limited. We may also be subject to restrictive covenants that would reduce our flexibility.</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As of December 27, 2015, approximately 12% of our consolidated assets, based on book value, and 11% of our consolidated revenues for the year ended December 27, 2015, were held by foreign subsidiaries, which do not guarantee the Notes (as defined below). Our ability to meet our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general, when an entity in a foreign jurisdiction repatriates cash to the U.S., the amount of such cash is treated as a dividend taxable at current U.S. tax rates. Accordingly, upon the distribution of cash to us from our foreign subsidiaries, we will be subject to U.S. income taxes. Although foreign tax credits may be available to reduce the amount of the additional tax liability, these credits may be limited and only offset the tax paid in the foreign jurisdiction, not the excess of the U.S. tax rate over the foreign tax rate. Therefore, to the extent that we must use cash generated in foreign jurisdictions to make principal or interest payments on our debt, there may be a cost associated with repatriating the cash to the U.S.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121" w:right="29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5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Indenture and the Credit Agreement subject us, and our subsidiaries, to several financial and other restrictive covenants, including limitations on liens or indebtedness, payment of dividends, transactions with affiliates, and mergers, sales or other dispositions of our assets.</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Credit Agreement also requires us to comply with specified financial ratios, including a borrowing base availability and minimum fixed charge coverage ratio which is required to be maintained if borrowing levels, as defined, under the Credit Agreement, occur under the line of credit. Many factors, including events beyond our control, may affect our ability to comply with these covenants and financial ratios. We cannot be sure we will meet our debt-related obligations or that lenders will waive any failure to meet those obligations. Any failure to meet those debt-related obligations could result in an event of default under our other indebtedness and the acceleration of such indebtedness.</w:t>
      </w:r>
    </w:p>
    <w:p>
      <w:pPr>
        <w:spacing w:after="0" w:line="184"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restrictions contained in the Indenture and in our Credit Agreement could also limit the ability of the Company and its subsidiaries to plan for or react to market conditions, meet capital needs or otherwise restrict their activities or business plans and adversely affect the ability to finance their operations, enter into acquisitions or to engage in other business activities that would be in their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intellectual property rights.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remain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harmed by intellectual property infringement claims.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may become subject to claims from our employees or third parties who assert that software and other forms of intellectual property that we use in delivering services and solutions to our customers infringe upon intellectual property rights of such employees or third parties. Our employees develop some of the software and other forms of intellectual property that we use to provide our services and solutions to our customers, but we also license technology from other vendors. If our employees, vendors, or other third parties assert claims that we or our customers are infringing on their intellectual property rights, we could incur substantial costs to defend those claims. If any such infringement claims were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trade secrets could cause harm to our business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Environmental and Legal Issues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complex procurement laws and regulations could cause us to lose business and subject us to a variety of penalties.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must comply with laws and regulations relating to the formation, administration and performance of U.S. Government contracts, which affect how we do business with our customers, prime contractors, subcontractors and vendors and may impose added costs on us. New regulations or procurement requirements (including, for example regulations regarding counterfeit and corrupt parts, supply chain diligence and cyber 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18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our: control environment and overall accounting system, general IT system, budget and planning system, purchasing system, material management and accounting system, compensation system, labor system, indirect and other direct costs system, and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 During the course of its current audits, the DCAA is closely examining and questioning several of our established and disclosed practices that it had previously audited and accepted, increasing the uncertainty as to the ultimate conclusion that will be reached.</w:t>
      </w:r>
    </w:p>
    <w:p>
      <w:pPr>
        <w:spacing w:after="0" w:line="18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 finding of significant control deficiencies in our system audits or other reviews can result in decremented billing rates to our U.S. Government customers until the control deficiencies are corrected and our corrections are accepted by Defense Contract Management Agency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our changes to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186"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We have submitted incurred cost claims through 2014. The actual indirect cost audits by the DCAA have been completed for our subsidiaries for fiscal 2010. Although we have recorded contract revenues subsequent to fiscal 2010 based upon costs that we believe will be approved upon final audit or review, we do not know the outcome of any ongoing or future audits or reviews and, if future adjustments exceed our estimates, our profitability would be adversely affected.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or others acting on our behalf may engage in misconduct or other improper activities, which could cause us to lose contracts.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 or prevent fraud.</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27, 2015. However, although we continue to devote substantial time and resources to the documentation and testing of our controls, there can be no assurance that our controls over financial processes and reporting 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stock.</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5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regulations requiring disclosures of specified minerals, known as conflict minerals, that are necessary to the functionality or production of products manufactured or contracted to be manufactured by public companies. The rule requires companies to perform due diligence, disclose and report whether or not such minerals originate from the Democratic Republic of the Congo or an adjoining country. The rule can affect sourcing at competitive prices and availability in sufficient quantities of certain minerals used in the manufacture of our products, including tantalum, tin, gold and tungsten. The number of suppliers who provide conflict-free minerals is limited. In addition, there are costs associated with complying with the disclosure requirements, such as costs related to determining the source of certain minerals used in our products, as well as costs of changes to products, processes, or sources of supply as a consequence of such verification activities. Since our supply chain is complex, we are not always able to sufficiently verify the origins of the relevant minerals used in our products through the due diligence procedures we implemented,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distract us from operating our business.</w:t>
      </w:r>
    </w:p>
    <w:p>
      <w:pPr>
        <w:spacing w:after="0" w:line="229"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 See Note 14 of the Notes to Consolidated Financial Statements contained within this Annual Report on Form 10-K for a further discussion of our legal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severe weather conditions could disrupt our business and result in loss of revenue or higher expenses.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contracts with the U.S. Government are classified, which may limit investor insight into portions of our business.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investors and others might have less insight into our classified programs than our other businesses and, therefore, less ability to fully evaluate the risks related to our classified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price of our stock has been in the past, and will continue to be, subject to fluctuations as a result of a number of factors, including: our operating results fail to meet market or analysts’ expectations; general fluctuations in the stock market; actual or anticipated fluctuations in our operating results based on reduced and/or delayed government spending or the threat thereof; fluctuations in the stock prices of companies in our industry; changes in earnings estimated by securities analysts or our ability to meet those estimates; and domestic and foreign economic conditions. Such volatility has had a significant effect on the market prices of many companies’ securities for reasons unrelated to their operating performance and, in the past, has led to securities class action litigation. Securities litigation against us could result in substantial costs and a diversion of our management’s attention and resources, which could have an adverse effect on our business.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us may be diluted in the future.</w:t>
      </w:r>
    </w:p>
    <w:p>
      <w:pPr>
        <w:spacing w:after="0" w:line="17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amended and restated certificate of incorporation and second amended and restated bylaws, as amended, and of Delaware law, may prevent or delay an acquisition of our company, which could decrease the trading price of our common stock.</w:t>
      </w:r>
    </w:p>
    <w:p>
      <w:pPr>
        <w:spacing w:after="0" w:line="159"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Our amended and restated certificate of incorporation, our second amended and restated bylaws, as amended,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185" w:lineRule="exact"/>
        <w:rPr>
          <w:sz w:val="20"/>
          <w:szCs w:val="20"/>
          <w:color w:val="auto"/>
        </w:rPr>
      </w:pPr>
    </w:p>
    <w:p>
      <w:pPr>
        <w:ind w:left="1360" w:hanging="380"/>
        <w:spacing w:after="0"/>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stockholders to call a special meeting;</w:t>
      </w:r>
    </w:p>
    <w:p>
      <w:pPr>
        <w:spacing w:after="0" w:line="49" w:lineRule="exact"/>
        <w:rPr>
          <w:rFonts w:ascii="Times New Roman" w:cs="Times New Roman" w:eastAsia="Times New Roman" w:hAnsi="Times New Roman"/>
          <w:sz w:val="18"/>
          <w:szCs w:val="18"/>
          <w:color w:val="auto"/>
        </w:rPr>
      </w:pPr>
    </w:p>
    <w:p>
      <w:pPr>
        <w:ind w:left="1960" w:right="2480" w:hanging="980"/>
        <w:spacing w:after="0" w:line="274"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stockholders may present proposals or nominate directors for election at stockholder meetings;</w:t>
      </w:r>
    </w:p>
    <w:p>
      <w:pPr>
        <w:ind w:left="1360" w:hanging="380"/>
        <w:spacing w:after="0"/>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issue preferred stock without stockholder approval;</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super-majority requirement to amend our certificate of incorporation or bylaws; and</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directors, and not stockholders, to fill vacancies on our board of directors.</w:t>
      </w:r>
    </w:p>
    <w:p>
      <w:pPr>
        <w:spacing w:after="0" w:line="23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Delaware law also imposes some restrictions on mergers and other business combinations between us and any holder of 15% or more of our outstanding common stock.</w:t>
      </w:r>
    </w:p>
    <w:p>
      <w:pPr>
        <w:spacing w:after="0" w:line="16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believe these provisions may help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 team by making it more difficult for stockholders to replace members of our board, which is responsible for appointing the members of our management.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At December 27, 2015, we owned or leased approximately 1.7 million square feet of floor space at approximately 85 separate locations, primarily in the U.S., for manufacturing, warehousing, research and development, administration and various other uses. At December 27, 2015, we leased to third parties approximately 147,159 square feet of our leased facilities, and had vacant floor space of approximately 20,000 square feet.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major operations at the following locations:</w:t>
      </w:r>
    </w:p>
    <w:p>
      <w:pPr>
        <w:spacing w:after="0" w:line="140"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Kratos Government Solutions</w:t>
      </w:r>
      <w:r>
        <w:rPr>
          <w:rFonts w:ascii="Times New Roman" w:cs="Times New Roman" w:eastAsia="Times New Roman" w:hAnsi="Times New Roman"/>
          <w:sz w:val="18"/>
          <w:szCs w:val="18"/>
          <w:color w:val="auto"/>
        </w:rPr>
        <w:t>: Huntsville, AL; San Diego, CA; Colorado Springs, CO; Orlando, FL; Baltimore and Lanham, MD; Dallastown, PA;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Charleston and Walterboro, SC; and Dahlgren, Alexandria and Chantilly, VA. Locations outside the U.S. include France, Israel and the United Kingdom.</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Unmanned Systems: </w:t>
      </w:r>
      <w:r>
        <w:rPr>
          <w:rFonts w:ascii="Times New Roman" w:cs="Times New Roman" w:eastAsia="Times New Roman" w:hAnsi="Times New Roman"/>
          <w:sz w:val="18"/>
          <w:szCs w:val="18"/>
          <w:color w:val="auto"/>
        </w:rPr>
        <w:t>San Diego and Sacramento, CA; and Fort Walton Beach, FL.</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Public Safety and Security</w:t>
      </w:r>
      <w:r>
        <w:rPr>
          <w:rFonts w:ascii="Times New Roman" w:cs="Times New Roman" w:eastAsia="Times New Roman" w:hAnsi="Times New Roman"/>
          <w:sz w:val="18"/>
          <w:szCs w:val="18"/>
          <w:color w:val="auto"/>
        </w:rPr>
        <w:t>: Fullerton, CA; Newport, DE; Chicago, IL; Indianapolis, IN; Fairlawn, NJ; and Houston, TX.</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Corporate and other locations</w:t>
      </w:r>
      <w:r>
        <w:rPr>
          <w:rFonts w:ascii="Times New Roman" w:cs="Times New Roman" w:eastAsia="Times New Roman" w:hAnsi="Times New Roman"/>
          <w:sz w:val="18"/>
          <w:szCs w:val="18"/>
          <w:color w:val="auto"/>
        </w:rPr>
        <w:t>: San Diego, CA.</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floor space at December 27, 2015:</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Square feet (in thousands)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1,315</w:t>
            </w:r>
          </w:p>
        </w:tc>
      </w:tr>
      <w:tr>
        <w:trPr>
          <w:trHeight w:val="243"/>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Unmanned Systems</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Public Safety and Security</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(includes San Diego operations of KGS, US and PSS segments)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1,713</w:t>
            </w:r>
          </w:p>
        </w:tc>
      </w:tr>
      <w:tr>
        <w:trPr>
          <w:trHeight w:val="20"/>
        </w:trPr>
        <w:tc>
          <w:tcPr>
            <w:tcW w:w="8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See Note 5 of the Notes to Consolidated Financial Statements contained within this Annual Report on Form 10-K for information regarding commitments under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See Note 14 of Notes to Consolidated Financial Statements contained within this Annual Report on Form 10-K for a further discussion of our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and is traded under the symbol “KTOS”.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high and low sales prices for our common stock for the periods indicated, as reported by NASDAQ:</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400" w:type="dxa"/>
            <w:vAlign w:val="bottom"/>
          </w:tcPr>
          <w:p>
            <w:pPr>
              <w:spacing w:after="0"/>
              <w:rPr>
                <w:sz w:val="13"/>
                <w:szCs w:val="13"/>
                <w:color w:val="auto"/>
              </w:rPr>
            </w:pPr>
          </w:p>
        </w:tc>
        <w:tc>
          <w:tcPr>
            <w:tcW w:w="11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
        </w:trPr>
        <w:tc>
          <w:tcPr>
            <w:tcW w:w="5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27, 2015:</w:t>
            </w: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3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7"/>
        </w:trPr>
        <w:tc>
          <w:tcPr>
            <w:tcW w:w="5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362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7.11</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7"/>
        </w:trPr>
        <w:tc>
          <w:tcPr>
            <w:tcW w:w="5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362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December 28, 2014:</w:t>
            </w:r>
          </w:p>
        </w:tc>
        <w:tc>
          <w:tcPr>
            <w:tcW w:w="3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362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3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r>
      <w:tr>
        <w:trPr>
          <w:trHeight w:val="27"/>
        </w:trPr>
        <w:tc>
          <w:tcPr>
            <w:tcW w:w="5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62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3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On March 4, 2016, the closing sale price of our common stock as reported by the NASDAQ Global Select Market was $3.87 per share. On March 4, 2016, there were 407 shareholders of record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have not declared any cash dividends since becoming a public company. We currently intend to retain any future earnings to finance the growth and development of the business and, therefore, do not anticipate paying any cash dividends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foreseeable future. In addition, our ability to pay dividends is restricted by both the Indenture and the Credit Agreement, each as discussed in the section entitled “Liquidity and Capital Resources” in Item 7 “Management’s Discussion and Analysis of Financial Condition and Results of Operations” and Note 4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121" w:right="29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7" w:lineRule="exact"/>
        <w:rPr>
          <w:sz w:val="20"/>
          <w:szCs w:val="20"/>
          <w:color w:val="auto"/>
        </w:rPr>
      </w:pPr>
    </w:p>
    <w:p>
      <w:pPr>
        <w:jc w:val="both"/>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performance graph presents a comparison of the five year cumulative stockholder return on our common stock against the cumulative total return of a broad equity market index, the Russell 2000 Stock Index, and two customized peer groups consisting of the companies listed below, for the period commencing December 27, 2010 and ending December 27, 2015. The performance graph assumes an initial investment of $100 in our common stock and in each of the Russell 2000 Stock Index and the peer groups, and further assumes that all dividends were reinvested and all returns are market-cap weighted. The historical information set forth below is not necessarily indicative of future stock price performance.</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5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Among Kratos Defense &amp; Security Solutions, Inc. the Russell 2000 Index,</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Old Peer Group (1), and New Peer Group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12065</wp:posOffset>
            </wp:positionV>
            <wp:extent cx="5145405" cy="3430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*$100 invested on 12/31/10 in stock or index, including reinvestment of dividends.</w:t>
      </w:r>
    </w:p>
    <w:p>
      <w:pPr>
        <w:spacing w:after="0" w:line="19"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Fiscal year ending December 31.</w:t>
      </w:r>
    </w:p>
    <w:p>
      <w:pPr>
        <w:spacing w:after="0" w:line="200" w:lineRule="exact"/>
        <w:rPr>
          <w:sz w:val="20"/>
          <w:szCs w:val="20"/>
          <w:color w:val="auto"/>
        </w:rPr>
      </w:pPr>
    </w:p>
    <w:p>
      <w:pPr>
        <w:spacing w:after="0" w:line="345" w:lineRule="exact"/>
        <w:rPr>
          <w:sz w:val="20"/>
          <w:szCs w:val="20"/>
          <w:color w:val="auto"/>
        </w:rPr>
      </w:pPr>
    </w:p>
    <w:p>
      <w:pPr>
        <w:ind w:left="340" w:right="8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included in the Company’s Old Peer Group are: AAR Corp., AeroVironment Inc., American Science &amp; Engineering Inc., API Technologies Corp., Comtech Telecommunications Corp., iRobot Corp., and Mercury Systems Inc.</w:t>
      </w:r>
    </w:p>
    <w:p>
      <w:pPr>
        <w:spacing w:after="0" w:line="161" w:lineRule="exact"/>
        <w:rPr>
          <w:rFonts w:ascii="Times New Roman" w:cs="Times New Roman" w:eastAsia="Times New Roman" w:hAnsi="Times New Roman"/>
          <w:sz w:val="18"/>
          <w:szCs w:val="18"/>
          <w:color w:val="auto"/>
        </w:rPr>
      </w:pPr>
    </w:p>
    <w:p>
      <w:pPr>
        <w:ind w:left="340" w:right="12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included in the Company’s New Peer Group are: AAR Corp., AeroVironment Inc., American Science &amp; Engineering Inc., API Technologies Corp., Arotech Corp., Comtech Telecommunications Corp., CPI Aerostructures Inc., Ducommun Inc., Frequency Electronics Inc., iRobot Corp., and Sparton Corp.</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60"/>
          </w:cols>
          <w:pgMar w:left="240" w:top="121" w:right="29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our Consolidated Financial Statements and related notes thereto and with Item 7 “Management’s Discussion and Analysis of Financial Condition and Results of Operations” contained within this Annual Report. Our historical results are not necessarily indicative of operating results to be expected in the future.</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Pr>
          <w:p>
            <w:pPr>
              <w:spacing w:after="0"/>
              <w:rPr>
                <w:sz w:val="14"/>
                <w:szCs w:val="14"/>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60" w:type="dxa"/>
            <w:vAlign w:val="bottom"/>
          </w:tcPr>
          <w:p>
            <w:pPr>
              <w:spacing w:after="0"/>
              <w:rPr>
                <w:sz w:val="14"/>
                <w:szCs w:val="14"/>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6"/>
                <w:szCs w:val="16"/>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Consolidated Statements of Operations Data:</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657.1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179.4</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161.8</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from continuing operations per common share:</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0.90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57.6</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488"/>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Pr>
          <w:p>
            <w:pPr>
              <w:spacing w:after="0"/>
              <w:rPr>
                <w:sz w:val="24"/>
                <w:szCs w:val="24"/>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60" w:type="dxa"/>
            <w:vAlign w:val="bottom"/>
          </w:tcPr>
          <w:p>
            <w:pPr>
              <w:spacing w:after="0"/>
              <w:rPr>
                <w:sz w:val="24"/>
                <w:szCs w:val="24"/>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6"/>
                <w:szCs w:val="16"/>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Consolidated Balance Sheet Data:</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Working capital</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147.1</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148.0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1,131.2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903.3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Short-term debt</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655.4</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444.1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premium</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324.1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254.2</w:t>
            </w:r>
          </w:p>
        </w:tc>
        <w:tc>
          <w:tcPr>
            <w:tcW w:w="0" w:type="dxa"/>
            <w:vAlign w:val="bottom"/>
          </w:tcPr>
          <w:p>
            <w:pPr>
              <w:spacing w:after="0"/>
              <w:rPr>
                <w:sz w:val="1"/>
                <w:szCs w:val="1"/>
                <w:color w:val="auto"/>
              </w:rPr>
            </w:pPr>
          </w:p>
        </w:tc>
      </w:tr>
      <w:tr>
        <w:trPr>
          <w:trHeight w:val="33"/>
        </w:trPr>
        <w:tc>
          <w:tcPr>
            <w:tcW w:w="4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2011 and 2012 Consolidated Statements of Operations Data and Consolidated Balance Sheet Data were impacted by the acquisitions we completed in those periods. The Consolidated Statements of Operations Data reflect the results from operations for each of the acquired companies from the date of acquisition and forward, which contributed an aggregate $261.3 million increase in revenues from 2011 to 2012. We incurred acquisition related expenses of $12.5 million and $0.2 million for fiscal 2011, and 2014, respectively, and a benefit of $2.7 million and $3.8 million related to acquisition items for fiscal 2012 and 2013 respectively. In 2012, we incurred an impairment of goodwill and intangible assets of $96.6 million. The 2014 Consolidated Statement of Operations Data includes a loss on extinguishment of debt of $39.1 million related to the refinance of the $625.0 million 10% Senior Secured Notes (the “10% Notes”) due in 2017 with the $625.0 million 7.00% Senior Secured Notes due in 2019 (the “7% Notes”). The 2015 Consolidated Financial Statements Data includes an $80.8 million gain on the disposal of discontinued operations before taxes and a loss of $3.4 million on extinguishment of debt.</w:t>
      </w:r>
    </w:p>
    <w:p>
      <w:pPr>
        <w:spacing w:after="0" w:line="18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2011 and 2012 Consolidated Balance Sheet Data reflects the impact of our acquisitions as well as the issuance of $625.0 million in 10% Senior Secured Notes and the issuance of approximately 39.3 million common shares which were used to fund the acquisitions. The 2014 Consolidated Balance Sheet Data reflects the refinancing of the $625.0 million 10% Notes with $625.0 million of 7% Notes. The net proceeds of the 7% Notes was $618.5 million after an original issue discount of $6.5 million. The Company utilized the net proceeds from the 7% Notes, a $41.0 million draw on a Credit Agreement, as well as cash from operations to extinguish the 10% Senior Secured Notes. The 2015 Consolidated Balance Sheet Data includes repayment of $41.0 million outstanding on the Company’s $110.0 million Credit Agreement and the repurchase of $175.0 million of the 7% Notes at par.</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Consolidated Financial Statements Data has been recast to reflect the disposition of the Herley Entities which are reported in discontinued operations. See Note 8 of the Notes to Consolidated Financial Statements for a further discussion of our discontinued operations. The Consolidated Balance Sheet Data has also been recast to reflect the adoption of Accounting Standards Update No. 2015-03 (“ASU 2015-03”), </w:t>
      </w:r>
      <w:r>
        <w:rPr>
          <w:rFonts w:ascii="Times New Roman" w:cs="Times New Roman" w:eastAsia="Times New Roman" w:hAnsi="Times New Roman"/>
          <w:sz w:val="18"/>
          <w:szCs w:val="18"/>
          <w:i w:val="1"/>
          <w:iCs w:val="1"/>
          <w:color w:val="auto"/>
        </w:rPr>
        <w:t>Interest - Imputation of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835-30): Simplifying the Presentation of Debt Issuance Costs</w:t>
      </w:r>
      <w:r>
        <w:rPr>
          <w:rFonts w:ascii="Times New Roman" w:cs="Times New Roman" w:eastAsia="Times New Roman" w:hAnsi="Times New Roman"/>
          <w:sz w:val="18"/>
          <w:szCs w:val="18"/>
          <w:color w:val="auto"/>
        </w:rPr>
        <w:t>. ASU 2015-03 requires that debt issuance costs related to a recognized debt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presented in the balance sheet as a direct deduction from the carrying amount of that debt liability, consistent with debt discounts. See Note 1 of the Notes to Consolidated Financial Statements for a further discussion of ASU 2015-03.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 addition to historical information, the following discussion contains forward-looking statements that are subject to risks and uncertainties. Our actual results may differ substantially from those expressed in or implied by any forward-looking statements herein due to a number of factors, including but not limited to the risks and uncertainties described in this Item 7, in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80" w:lineRule="exact"/>
        <w:rPr>
          <w:sz w:val="20"/>
          <w:szCs w:val="20"/>
          <w:color w:val="auto"/>
        </w:rPr>
      </w:pPr>
    </w:p>
    <w:p>
      <w:pPr>
        <w:ind w:right="6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Kratos is a mid-tier government contractor at the forefront of the DoD’s Third Offset Strategy. Kratos is a leading technology, intellectual property and proprietary product and solution company focused on the U.S. and its allies’ national security. Kratos’ primary focus areas are unmanned systems, satellite communications, microwave electronics, cyber security/warfare, missile defense and combat systems. We believe that our technology, intellectual property, proprietary products and designed in positions on our customers’ platforms and systems is a competitive advantage and high barrier to entry into our markets. Our work force is primarily technically oriented and highly skilled with a significant number holding national security clearances. Our entire organization is focused on executing our strategy of becoming the leading technology and intellectual property based company in our industry.</w:t>
      </w:r>
    </w:p>
    <w:p>
      <w:pPr>
        <w:spacing w:after="0" w:line="188"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18"/>
          <w:szCs w:val="18"/>
          <w:color w:val="auto"/>
        </w:rPr>
        <w:t>Our primary end customers are U.S. Government agencies, including the DoD, classified agencies, intelligence agencies, other national security agencies and homeland security related agencies. We also conduct business with local, state and foreign governments and domestic and international commercial customers. In fiscal 2013, 2014 and 2015, we generated 62%, 57% and 61%, respectively, of our total revenues from contracts with the U.S. Government (including all branches of the U.S. military), either as a prime contractor or a subcontractor. We believe our stable customer base, strong customer relationships, intellectual property, specialized and differentiated products, broad array of contract vehicles, “designed in” positions on strategic national security platforms, our targeted investments in strategic growth areas, large employee base</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possessing specialized skills, security clearances, specialized manufacturing facilities and equipment, extensive list of past performance qualifications, and significant management and operational capabilities position us for success.</w:t>
      </w:r>
    </w:p>
    <w:p>
      <w:pPr>
        <w:spacing w:after="0" w:line="16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New York on December 19, 1994 and began operations in March 1995. We reincorporated in the state of Delaware in 1998.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Background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Faced with significant budget pressures, in recent years the U.S. Government has implemented reductions in government spending, including reductions in appropriations for the DoD and other federal agencies, pursuant to the BCA, as amended by the American Taxpayer Relief Act of 2012 and the Bipartisan Budget Act of 2013. Pursuant to the terms of the BCA, a sequestration went into effect in March 2013 resulting in a 7.8% reduction to the DoD budget for FY 2013 to $495.5 billion, excluding funding for military personnel. The DoD budget was approximately $496.0 billion in FY 2014 and remains at a similar level in FY 2015. The DoD base budget excludes funding for overseas contingency operations, such as Afghanistan, Iraq and Syria, which are appropriated separately and are not currently subject to the BCA.</w:t>
      </w:r>
    </w:p>
    <w:p>
      <w:pPr>
        <w:spacing w:after="0" w:line="14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November 2, 2015, President Obama signed the Bipartisan Budget Act of 2015, formalizing the terms of a two year budget agreement which raises the U.S. debt ceiling and lifts the sequestration spending caps by $80.0 billion. Under the budget agreement, the total federal spending increase over the BCA topline funding caps will be $50.0 billion in FY 2016 and $30.0 billion in FY 2017, with the amounts divided equally between defense and domestic priorities. The overall discretionary budget will be $1.067 trillion in FY 2016 and $1.07 trillion in FY 2017. The FY 2016 discretionary defense budget will be $548.1 billion, a $25.0 billion increase over the BCA topline funding caps.</w:t>
      </w:r>
    </w:p>
    <w:p>
      <w:pPr>
        <w:spacing w:after="0" w:line="184"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Under the Bipartisan Budget Act of 2015, the Obama Administration will receive $33.0 billion of the $38.0 billion national defense spending increase it sought in FY 2016. In summary the budget agreement:</w:t>
      </w:r>
    </w:p>
    <w:p>
      <w:pPr>
        <w:spacing w:after="0" w:line="162"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BCA out to 2025;</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suspends the U.S. debt limit/ceiling until March 2017;</w:t>
      </w:r>
    </w:p>
    <w:p>
      <w:pPr>
        <w:spacing w:after="0" w:line="9" w:lineRule="exact"/>
        <w:rPr>
          <w:rFonts w:ascii="Times New Roman" w:cs="Times New Roman" w:eastAsia="Times New Roman" w:hAnsi="Times New Roman"/>
          <w:sz w:val="18"/>
          <w:szCs w:val="18"/>
          <w:color w:val="auto"/>
        </w:rPr>
      </w:pPr>
    </w:p>
    <w:p>
      <w:pPr>
        <w:ind w:left="1300" w:right="80" w:hanging="320"/>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spending caps for FY 2016 and FY 2017, by $80.0 billion, including $50.0 billion in FY 2016 and $30.0 billion in FY 2017, split evenly between defense and domestic priorities; and</w:t>
      </w: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FY 2016 DoD base budget of $548.0 billion; and includes a FY 2016 overseas contingency operation budget of $59.0 billion.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Reporting Segments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in three reportable segments. The KGS reportable segment is comprised of an aggregation of KGS operating segments, including our microwave electronic products, satellite communications, modular systems and rocket support operating segments. The US reportable segment consists of our unmanned aerial system and unmanned ground and seaborne system businesses. The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For additional information regarding our reportable segments, see Note 13 of the Notes to Consolidated Financial Statements. From a customer and solutions perspective, we view our business as an integrated whole, leveraging skills and assets wherever possible.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On August 21, 2015, the Company completed the sale of the U.S. and U.K. operations of its Electronic Products Division to Ultra and the Buyer in the Transaction. Pursuant to the terms of the Purchase Agreement, the Company sold to the Buyer all of the issued and outstanding capital stock of its wholly owned subsidiary Herley and the Herley Entities, for $260.0 million and $5.0 million for taxes incurred as part of the Transaction, less a $2.0 million escrow to satisfy any purchase price adjustments and a working capital adjustment of approximately $8.3 million.</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November 2015, the Company and Ultra settled the working capital adjustment at $8.1 million, and the net cash position at closing, resulting in a net payment to the Company of $2.7 million. This represents the payment from escrow to the Company of $2.0 million, as well as the payment from Ultra of $0.7 million, reflecting the difference in the estimated working capital and actual working capital and the net cash position at the close of the Transaction. In December 2015, the Company submitted to Ultra for reimbursement the maximum $5.0 million for taxes incurred as part of the Transaction, which was reimbursed in January 2016.</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Company’s December 27, 2015 consolidated financial statements have been recast for all periods presented to reflect the disposition of the Herley Entities which are reported in discontinued operations. The Company’s Comparison of Results and Liquidity and Capital Resources in its Management’s Discussion and Analysis of Financial Condition and Results of Operations for the years ended December 29, 2013, December 28, 2014 and December 27, 2015 also reflect the recast. See Note 8 of the Notes to Consolidated Financial Statements for a further discussion of our discontinued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Statement Concepts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27, 2015, we consider the following factors to be important in understanding our financial statements.</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KGS’ and US’ business with the U.S. Government and prime contractors is generally performed under fixed-price, cost reimbursable, or time and materials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U.S. Government and provided to our PSS segment customers under fixed-price contracts, we utilize both cost-to-cost and units delivered measures under the percentage-of-completion method of accounting in accordance with the provisions of </w:t>
      </w:r>
      <w:r>
        <w:rPr>
          <w:rFonts w:ascii="Times New Roman" w:cs="Times New Roman" w:eastAsia="Times New Roman" w:hAnsi="Times New Roman"/>
          <w:sz w:val="18"/>
          <w:szCs w:val="18"/>
          <w:i w:val="1"/>
          <w:iCs w:val="1"/>
          <w:color w:val="auto"/>
        </w:rPr>
        <w:t>Financial Accounting Standards Board</w:t>
      </w:r>
      <w:r>
        <w:rPr>
          <w:rFonts w:ascii="Times New Roman" w:cs="Times New Roman" w:eastAsia="Times New Roman" w:hAnsi="Times New Roman"/>
          <w:sz w:val="18"/>
          <w:szCs w:val="18"/>
          <w:color w:val="auto"/>
        </w:rPr>
        <w:t xml:space="preserve"> (“FASB”)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(“ASC”)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Under the units delivered measure of the percentage-of-completion method of accounting, sales are recognized as the units are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91"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DCAA.</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manage and assess the performance of our businesses based on our performance on individual contracts and programs obtained generally from government organizations with consideration given to our Critical Accounting Principles and Estimates discussed below.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Year Ended December 28, 2014 to the Year ended December 27, 2015</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by reportable segment for the years ended December 28, 2014 and December 27, 2015 are as follows (in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Unmanned Systems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Unmanned Systems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485.1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446.1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Public Safety &amp; Security</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91"/>
        </w:trPr>
        <w:tc>
          <w:tcPr>
            <w:tcW w:w="50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service revenues</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763.0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657.1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Revenues decreased $105.9 million from $763.0 million in 2014 to $657.1 million in 2015. The decrease in revenues was primarily attributable to our PSS business due in part to a one-time shipment of sophisticated communication equipment of $13.0 million that occurred in the second quarter of 2014, as well as due to the completion or wind-down of certain security installation projects and due to the Company’s change in strategic direction in the fourth quarter of 2014 to capture higher margin work and only selectively bid on larger security integration projects that traditionally generate lower margins, resulting in aggregate reduced service revenues in the PSS segment of $38.7 million for the year ended December 27, 2015. In addition, for the year ended December 27, 2015, KGS segment revenue decreased by $39.0 million due primarily to reduced shipments of our specialized ground equipment products of $38.6 million, delays in orders and awards as a result of the challenging federal government and DoD funding environment, and continued reduction in our legacy government services business of $14.7 million, which includes reset work on legacy weapons systems, all of which adversely impacted the timing of new contract awards, bookings and our revenues, offset partially by growth in our simulation and training business and in technical government services where we support directed energy weapons and electromagnetic railgun efforts, which aggregated a net increase of $16.4 million. Revenues in our US segment decreased by $15.2 million primarily as a result of a reduction in shipments of certain of our aerial target products due to delays in the timing of follow-on and new international contract awards.</w:t>
      </w:r>
    </w:p>
    <w:p>
      <w:pPr>
        <w:spacing w:after="0" w:line="19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Product sales decreased $69.3 million from $372.2 million for the year ended December 28, 2014 to $302.9 million for the year ended December 27, 2015, primarily as a result of the decline in product shipments due to the factors discussed above in our KGS, PSS and US segments. As a percentage of total revenue, product revenues were 48.8% for the year ended December 28, 2014 as compared to 46.1% for the year ended December 27, 2015. Service revenues decreased by $36.6 million from $390.8 million for the year ended December 28, 2014 to $354.2 million for the year ended December 27, 2015. The decrease was primarily related to the change in strategic direction and the completion of larger security installation projects in our PSS segment as well as the continued reduction in our legacy government services business as discussed above.</w:t>
      </w:r>
    </w:p>
    <w:p>
      <w:pPr>
        <w:spacing w:after="0" w:line="18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our “Critical Accounting Principles and Estimates” below and in the Notes to Consolidated Financial Statements contained within this Annual Report, we utilize both the cost-to-cost and units delivered measures under the percentage-of-completion method of accounting for recognizing revenue as provided for in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on certain projects based on the aforementioned factors, but the effect of such adjustments, both positive and negative, when evaluated in total were determined to be immaterial to our Consolidated Financial Statements.</w:t>
      </w:r>
    </w:p>
    <w:p>
      <w:pPr>
        <w:spacing w:after="0" w:line="182"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decreased from $583.6 million for the year ended December 28, 2014 to $495.3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27, 2015. The $88.3 million decrease in cost of revenues was primarily a result of decreased revenue discussed above.</w:t>
      </w:r>
    </w:p>
    <w:p>
      <w:pPr>
        <w:spacing w:after="0" w:line="16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Gross margin percentage increased from 23.5% for the year ended December 28, 2014 compared to 24.6% for the year ended December 27, 2015. Margins on services increased from 22.1% for the year ended December 28, 2014 to 24.8% for the year ended December 27, 2015, due primarily to a more favorable mix of revenues. Margins on product sales decreased for the year ended December 28, 2014 as compared to December 27, 2015 from 25.0% to 24.5%, respectively, primarily as a result of a change in mix of products sold. Margins in the KGS segment increased from 25.3% for the year ended December 28, 2014 to 25.4% for the year ended December 27, 2015, primarily as a result of change in the mix of products sold. Margins in the US segment decreased from 23.2% for the year ended December 28, 2014 to 16.3% for the year ended December 27, 2015, primarily due to a less favorable mix of products produced and shipped and due to increased contract costs primarily reflecting retrofits required to conform to required design configuration changes identified in recent successful demonstration test flights recorded on certain international aerial target projects in the year ended December 27, 2015. Margins in the PSS segment increased from 19.3% for the year ended December 28, 2014 to 26.0% for the year ended December 27, 2015 as a result of a more favorable mix of revenues, resulting from the strategic shift in focus on smaller sized, higher margin projects and only selectively bidding on larger sized lower margin projects, the completion of certain lower margin projects, as well as the impact of cost reduction actions that were taken during the year ended December 27, 2015.</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SG&amp;A decreased $2.9 million from $153.6 million for the year ended December 28,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$150.7 million for the year ended December 27, 2015. The decrease was primarily the result of a $6.1 million reduction of amortization of intangibles in 2015, as a result of certain intangible assets being fully amortized, as well as cost reduction actions taken by the Company, offset partially by increased discretionary investments to pursue business opportunities in the unmanned tactical aircraft market. As a percentage of revenues, SG&amp;A increased from 20.1% for fiscal 2014 to 22.9% for fiscal 2015. Excluding amortization of intangibles of $19.1 million for the year ended December 28, 2014 and amortization of intangibles of $13.0 million for the year ended December 27, 2015, SG&amp;A increased as a percentage of revenues from 17.6% to 21.0% for the year ended December 28, 2014 and December 27, 2015, respectively, due primarily to the decline in revenues discussed previously, as well as the impact of the public company corporate SG&amp;A costs which are not allocable to the Herley Entities which have been classified as discontinued operations. In addition, due to contract award delays specifically in our unmanned and modular systems businesses, the reduced volumes have resulted in increased unabsorbed overhead costs.</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Internal research and development (IR&amp;D) expenses. </w:t>
      </w:r>
      <w:r>
        <w:rPr>
          <w:rFonts w:ascii="Times New Roman" w:cs="Times New Roman" w:eastAsia="Times New Roman" w:hAnsi="Times New Roman"/>
          <w:sz w:val="18"/>
          <w:szCs w:val="18"/>
          <w:color w:val="auto"/>
        </w:rPr>
        <w:t>IR&amp;D expenses decreased from $18.6 million for the year ended December 28, 2014 to $16.2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27, 2015. As a percentage of revenues, IR&amp;D increased from 2.4% of revenues for the year ended December 28, 2014 to 2.5% of revenues for the year ended December 27, 2015. IR&amp;D expenditures are primarily related to investments we are making in conjunction with our customers and prospective customers, with the objectives of the Company’s products being the new platform for or “designed in” to certain new long term program opportunities and the Company owning certain intellectual property rights for products that support these programs primarily in our unmanned systems and microwave electronic businesses as well as technology upgrades and refresh activities that are necessary for the next generation of our existing product lines primarily in our satellite communications business.</w:t>
      </w:r>
    </w:p>
    <w:p>
      <w:pPr>
        <w:spacing w:after="0" w:line="18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Unused office space and other restructuring. </w:t>
      </w:r>
      <w:r>
        <w:rPr>
          <w:rFonts w:ascii="Times New Roman" w:cs="Times New Roman" w:eastAsia="Times New Roman" w:hAnsi="Times New Roman"/>
          <w:sz w:val="18"/>
          <w:szCs w:val="18"/>
          <w:color w:val="auto"/>
        </w:rPr>
        <w:t>The expense of $1.7 million for the year ended December 28, 2014 was primarily due to an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facility accrual of office space at our Sacramento, California administrative facilities, and employee termination costs related to personnel reduction actions taken during the year. The benefit of $0.7 million for the year ended December 27, 2015 was due to a reduction of the liability for unused office space at our Columbia, Maryland facility resulting from the execution of a recent sublease arrangement, partially offset by an impairment of leasehold improvements and office furniture and equipment at that location, and employee termination costs related to personnel reduction actions taken during the year.</w:t>
      </w:r>
    </w:p>
    <w:p>
      <w:pPr>
        <w:spacing w:after="0" w:line="183"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decreased from $77.1 million to $40.1 million for the years ended December 28, 2014 and December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respectively. The decrease in expense of $37.0 million was primarily related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$39.1 million loss on the extinguishment of the 10% Notes in the second quarter of 2014 and a reduction in interest expense as a result of the refinancing of our 10% Notes with our 7% Notes.</w:t>
      </w:r>
    </w:p>
    <w:p>
      <w:pPr>
        <w:spacing w:after="0" w:line="16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The provision for income taxes changed from a provision of $3.9 million on a loss of $71.8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continuing operations before income taxes for the year ended December 28, 2014 to a benefit of $11.4 million on a loss before income taxes of $44.6 million for the year ended December 27, 2015. The provision for the year ended December 28, 2014 was primarily comprised of a provision for foreign and state taxes increased by the change in the indefinite life deferred tax liability. The benefit for the year ended December 27, 2015 was primarily due to the intra-period allocation rules in ASC </w:t>
      </w:r>
      <w:r>
        <w:rPr>
          <w:rFonts w:ascii="Times New Roman" w:cs="Times New Roman" w:eastAsia="Times New Roman" w:hAnsi="Times New Roman"/>
          <w:sz w:val="18"/>
          <w:szCs w:val="18"/>
          <w:i w:val="1"/>
          <w:iCs w:val="1"/>
          <w:color w:val="auto"/>
        </w:rPr>
        <w:t>Topic 740, Income Taxes.</w:t>
      </w:r>
      <w:r>
        <w:rPr>
          <w:rFonts w:ascii="Times New Roman" w:cs="Times New Roman" w:eastAsia="Times New Roman" w:hAnsi="Times New Roman"/>
          <w:sz w:val="18"/>
          <w:szCs w:val="18"/>
          <w:color w:val="auto"/>
        </w:rPr>
        <w:t xml:space="preserve"> Intra-period allocation rules require the Company to allocate its provision for income taxes between continuing operations and other categories of earnings, such as discontinued operations. In periods in which there is a pre-tax loss from continuing operations and pre-tax income in other categories of earnings, such as discontinued operations, the Company must allocate the tax provision to other categories of earnings. A related tax benefit is then recorded in continuing operations. See Note 7 of Notes to Consolidated Financial Statements for a further discussion of our income taxes.</w:t>
      </w:r>
    </w:p>
    <w:p>
      <w:pPr>
        <w:spacing w:after="0" w:line="189"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(loss) from discontinued operations. </w:t>
      </w:r>
      <w:r>
        <w:rPr>
          <w:rFonts w:ascii="Times New Roman" w:cs="Times New Roman" w:eastAsia="Times New Roman" w:hAnsi="Times New Roman"/>
          <w:sz w:val="18"/>
          <w:szCs w:val="18"/>
          <w:color w:val="auto"/>
        </w:rPr>
        <w:t>Revenue from discontinued operations decreased from $108.9 million to $59.7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28, 2014 and December 27, 2015, respectively. The reduction is primarily due to the sale of the Herley Entities which occurred on August 21, 2015, and therefore reflects the operating performance through the date of sale compared to a full year’s operating results for the comparable prior year. The net loss from discontinued operations was $2.3 million for the year ended December 27, 2014 and net income was $53.0 million for the year ended December 27, 2015 which includes the gain on sale of the Herley Entities of $80.8 million. The loss and income for the two years also reflects interest expense allocated to discontinued operations of $15.0 million and $9.1 million for the year ended December 28, 2014 and December 27, 2015,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Year Ended December 29, 2013 to the Year ended December 28, 2014</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by reportable segment for the years ended December 29, 2013 and December 28, 2014 are as follows (in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Unmanned Systems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Unmanned Systems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Public Safety &amp; Security</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318"/>
        </w:trPr>
        <w:tc>
          <w:tcPr>
            <w:tcW w:w="50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service revenue</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844.1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763.0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Revenues decreased $81.1 million from $844.1 million in 2013 to $763.0 million in 2014. The decrease in revenues was primarily due to contract delays as a result of competitor protests on awards made to Kratos, a decline in shipments of our defense products, and delays in orders and awards as a result of the challenging federal government and DoD funding environment, all of which adversely impacted the timing of new contract awards, bookings and the Company’s revenues. Additionally, revenues in our KGS Segment were also adversely impacted by a decrease resulting from the expected completion of two sizable satellite communications projects as the scope of work completed its natural contract life cycle transitioning from production to sustainment, which impacted revenue by approximately $18.5 million, and continued ongoing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weakness and increased competition and commoditization in our legacy government services businesses of approximately $26.1 million. Revenues in our US Segment were impacted by the reduction of shipments of certain of our aerial target products due primarily to delays in the timing of follow-on and new international contract awards. These reductions in our KGS and US segments were partially offset by growth in our simulation and training business of $18.8 million in our KGS Segment. PSS segment revenue decreased by $13.3 million, which was primarily due to the delay in contract awards and project starts in 2014 offset by the delivery of security related communication equipment of $13.0 million.</w:t>
      </w:r>
    </w:p>
    <w:p>
      <w:pPr>
        <w:spacing w:after="0" w:line="18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Product sales decreased $28.3 million from $400.5 million for the year ended December 29, 2013 to $372.2 million for the year ended December 28, 2014, primarily as a result of the decline in product shipments due to the factors discussed above. As a percentage of total revenue, product revenues were 47.4% for the year ended December 29, 2013 as compared to 48.8% for the year ended December 28, 2014. Service revenues decreased by $52.8 million from $443.6 million for the year ended December 29, 2013 to $390.8 million for the year ended December 28, 2014. The decrease was primarily related to reductions in the legacy government service revenues and other service contracts in the KGS segment, which reductions were being experienced industry wide as a result of declining DoD budgets, changes in certain DoD procurement rules and other factors, as well as due to the expected completion of two sizable satellite communications projects.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described in our “Critical Accounting Principles and Estimates” below and in the Notes to Consolidated Financial Statements contained within this Annual Report, we utilize both the cost-to-cost and units delivered measures under the percentage-of-completion method of accounting for recognizing revenue as provided for in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on certain projects based on the aforementioned factors, but the effect of such adjustments, both positive and negative, when evaluated in total were determined to be immaterial to our Consolidated Financial Statements contained within this Annual Report.</w:t>
      </w:r>
    </w:p>
    <w:p>
      <w:pPr>
        <w:spacing w:after="0" w:line="184"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decreased from $639.6 million for the year ended December 29, 2013 to $583.6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28, 2014. The $56.0 million decrease in cost of revenues was primarily a result of decreased revenue discussed above.</w:t>
      </w:r>
    </w:p>
    <w:p>
      <w:pPr>
        <w:spacing w:after="0" w:line="16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Gross margin percentage declined from 24.2% for the year ended December 29, 2013 compared to 23.5% for the year ended December 28, 2014. Margins on services decreased from 24.4% for the year ended December 29, 2013 to 22.1% for the year ended December 28, 2014, due primarily to an unfavorable mix of revenues and decreased margins in our PSS segment. Margins on product sales increased for the year ended December 29, 2013 as compared to December 28, 2014 from 24.0% to 25.0%, respectively, primarily as a result of a change in mix of products sold. Margins in the KGS segment increased from 24.7% for the year ended December 29, 2013 to 25.3% for the year ended December 28, 2014, primarily as a result of change in the mix of products sold. Margins in the US segment increased from 19.4% for the year ended December 29, 2013 to 23.2% for the year ended December 28, 2014, primarily as a result of increased costs recorded of approximately $5.5 million on certain aerial target contracts to reflect retrofits necessary to address design changes recorded in the year ended December 29, 2013, compared to net increased costs recorded of $3.1 million for similar retrofit related matters and a contract conversion adjustment on certain of our unmanned aerial platforms recorded in the year ended December 28, 2014. Margins in the PSS segment decreased from 25.8% for the year ended December 29, 2013 to 19.3% for the year ended December 28, 2014 as a result of decreased service margins and due to costs incurred on two sizable projects, which were completed in 2014 or were near-completion, under which we were in the process of submitting or had submitted change orders to customers to reimburse us for the work we performed at our customers’ request, but for which we had not completed negotiations for such change orders, and therefore had not reflected the estimated value of these change orders in our revenues.</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decreased $19.2 million from $172.8 million for the year ended December 29, 2013 to $153.6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28, 2014. The decrease was primarily the result of a $13.7 million reduction of amortization of intangibles in 2014, as a result of certain intangible assets being fully amortized, as well as cost reduction actions taken by the Company. As a percentage of revenues, SG&amp;A decreased from 20.5% for fiscal 2013 to 20.1% for fiscal 2014. Excluding amortization of intangibles of $32.8 million for the year ended December 29, 2013 and amortization of intangibles of $19.1 million for the year ended December 28, 2014, SG&amp;A increased as a percentage of revenues from 16.6% to 17.6% for the year ended December 29, 2013 and December 28, 2014, respectively, primarily as a result of the decline in revenues discussed previously, and increased compliance costs including internal cyber security costs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to protect the Company’s assets, and Sarbanes Oxley Act of 2002 and audit compliance costs including internal audit and external audit costs.</w:t>
      </w:r>
    </w:p>
    <w:p>
      <w:pPr>
        <w:spacing w:after="0" w:line="223"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Merger and acquisition related items. </w:t>
      </w:r>
      <w:r>
        <w:rPr>
          <w:rFonts w:ascii="Times New Roman" w:cs="Times New Roman" w:eastAsia="Times New Roman" w:hAnsi="Times New Roman"/>
          <w:sz w:val="18"/>
          <w:szCs w:val="18"/>
          <w:color w:val="auto"/>
        </w:rPr>
        <w:t>Merger and acquisition expenses increased $4.0 million from a benefit of $3.8 million to $0.2 million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years ended December 29, 2013 and December 28, 2014, respectively. The benefit of $3.8 million in 2013 was due to the reduction in a $3.1 million liability as a result of our final settlement of our obligations related to former officers and directors of Integral Systems, Inc. (“Integral”) on July 1, 2013, as well as a $2.7 million settlement, net of associated legal fees, arising from a contract dispute with a former subcontractor of the Company pursuant to a settlement agreement executed in December 2013. Both of these benefits were offset partially by legal fees and settlements related to prior acquisitions.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 research and development (IR&amp;D) expenses. </w:t>
      </w:r>
      <w:r>
        <w:rPr>
          <w:rFonts w:ascii="Times New Roman" w:cs="Times New Roman" w:eastAsia="Times New Roman" w:hAnsi="Times New Roman"/>
          <w:sz w:val="18"/>
          <w:szCs w:val="18"/>
          <w:color w:val="auto"/>
        </w:rPr>
        <w:t>IR&amp;D expenses decreased from $19.7 million for the year ended December 29, 2013 to $18.6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28, 2014. As a percentage of revenues, IR&amp;D increased from 2.3% of revenues for the year ended December 29, 2013 to 2.4% of revenues for the year ended December 28, 2014 as a result of certain investments the Company made primarily related to new programs and platforms in the electronic products business, the unmanned systems area, and the satellite communications business.</w:t>
      </w:r>
    </w:p>
    <w:p>
      <w:pPr>
        <w:spacing w:after="0" w:line="180"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Unused office space and other restructuring. </w:t>
      </w:r>
      <w:r>
        <w:rPr>
          <w:rFonts w:ascii="Times New Roman" w:cs="Times New Roman" w:eastAsia="Times New Roman" w:hAnsi="Times New Roman"/>
          <w:sz w:val="18"/>
          <w:szCs w:val="18"/>
          <w:color w:val="auto"/>
        </w:rPr>
        <w:t>The benefit of $2.4 million for the year ended December 29, 2013 was due to a reduction in the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accrual of office space at the Columbia, Maryland administrative facilities, partially offset by expenses related to workforce reductions as a result of cost reduction initiatives we implemented across the Company. The expense of $1.7 million for the year ended December 28, 2014 was primarily due to an estimated excess facility accrual of office space at our Sacramento, California administrative facilities, as well as due to employee termination costs related to personnel reduction actions taken during the year.</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expenses, net. </w:t>
      </w:r>
      <w:r>
        <w:rPr>
          <w:rFonts w:ascii="Times New Roman" w:cs="Times New Roman" w:eastAsia="Times New Roman" w:hAnsi="Times New Roman"/>
          <w:sz w:val="18"/>
          <w:szCs w:val="18"/>
          <w:color w:val="auto"/>
        </w:rPr>
        <w:t>Other expense, net increased from $46.6 million to $77.1 million for the years ended December 29, 2013 and December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respectively. The increase in expense of $30.5 million was primarily related to $39.1 million loss on the extinguishment of the Company’s 10% Senior Secured Notes due 2017, offset by a $7.0 million reduction in interest expense, resulting from the refinance of the Company’s 10% Senior Secured Notes to the 7% Senior Secured Notes.</w:t>
      </w:r>
    </w:p>
    <w:p>
      <w:pPr>
        <w:spacing w:after="0" w:line="18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The provision for income taxes changed from a provision of $1.1 million on a loss of $28.4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operations before income taxes for the year ended December 29, 2013 to a provision of $3.9 million on a loss before income taxes of $71.8 million for the year ended December 28, 2014. The provision for the year ended December 29, 2013 was primarily comprised of a provision for foreign and state taxes offset by a tax benefit related to a statute of limitations expiration of unrecognized tax benefits. The provision for the year ended December 28, 2014 was primarily comprised of a provision for foreign and state taxes increased by the change in the indefinite life deferred tax liability. See Note 7 of the Notes to Consolidated Financial Statements for a further discussion of our income taxes.</w:t>
      </w:r>
    </w:p>
    <w:p>
      <w:pPr>
        <w:spacing w:after="0" w:line="183"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Loss from discontinued operations. </w:t>
      </w:r>
      <w:r>
        <w:rPr>
          <w:rFonts w:ascii="Times New Roman" w:cs="Times New Roman" w:eastAsia="Times New Roman" w:hAnsi="Times New Roman"/>
          <w:sz w:val="18"/>
          <w:szCs w:val="18"/>
          <w:color w:val="auto"/>
        </w:rPr>
        <w:t>The loss from discontinued operations of $7.7 million for the year ended December 29, 2013 and the loss of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28, 2014 is primarily attributable to interest expense allocated to discontinued operations of $17.5 million and $15.0 million for the years ended December 29, 2013 and December 28, 2014, respectively. Revenue from discontinued operations decreased from $114.5 million to $108.9 million for the year ended December 30, 2013 and December 29, 2014, respectively. See Note 8 of the Notes to Consolidated Financial Statements for a further discussion of our discontinued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27, 2015, we had cash and cash equivalents of $28.5 million compared with cash and cash equivalents of $33.5 million as of December 28, 2014, which includes $10.8 million and $10.3 million, respectively, of cash and cash equivalents held by our foreign subsidiaries. We are not presently aware of any restrictions on the repatriation of these funds, however, they are essentially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total debt, including capital lease obligations, principal due on the Notes, other term debt, the discount of $3.3 million on the Notes issued, and debt issuance costs of $4.3 million decreased by $211.4 million from $656.5 million as of December 28, 2014 to $445.1 million as of December 27, 2015. The decrease in debt was due to the repurchase of $175.0 million of Notes and the repayment of $41.0 million on the Credit Agreement.</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use our operating cash flow to finance trade accounts receivable, fund necessary increases in inventory, fund capital expenditures, our IR&amp;D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Our days sales outstanding on our receivables can be impacted and can fluctuate due to contractual billing milestones under which we are unable to bill and collect certain amounts until the milestones have been satisfied.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 summary of our net cash provided by (used in) operating activities from continuing operations from our Consolidated Statements of Cash Flows is as follows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14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27, 2015</w:t>
            </w:r>
          </w:p>
        </w:tc>
      </w:tr>
      <w:tr>
        <w:trPr>
          <w:trHeight w:val="242"/>
        </w:trPr>
        <w:tc>
          <w:tcPr>
            <w:tcW w:w="6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 activities from continuing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7"/>
        </w:trPr>
        <w:tc>
          <w:tcPr>
            <w:tcW w:w="6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cash provided by operating activities was impacted by interest expense we paid related to our Senior Secured Notes. We paid $63.8 million, $57.1 million, and $43.8 million in interest expense in 2013, 2014, and 2015, respectively. Cash provided by operating activities in 2014 and 2015 was also negatively impacted by reduced operating income which reflected discretionary investments we have made in internally funded research and development and increased SG&amp;A expenditures primarily related to business capture pursuits in the tactical unmanned aircraft systems initiatives, as well as changes in working capital accounts.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used in investing activities from continuing operations is summarized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6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6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160" w:type="dxa"/>
            <w:vAlign w:val="bottom"/>
          </w:tcPr>
          <w:p>
            <w:pPr>
              <w:spacing w:after="0"/>
              <w:rPr>
                <w:sz w:val="22"/>
                <w:szCs w:val="22"/>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27, 2015</w:t>
            </w:r>
          </w:p>
        </w:tc>
      </w:tr>
      <w:tr>
        <w:trPr>
          <w:trHeight w:val="249"/>
        </w:trPr>
        <w:tc>
          <w:tcPr>
            <w:tcW w:w="6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56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6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5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7"/>
        </w:trPr>
        <w:tc>
          <w:tcPr>
            <w:tcW w:w="6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6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primarily driven by capital expenditures in 2013, 2014, and 2015 which reflects investments we made for certain machinery, test equipment, and demonstration units in our unmanned aerial systems business, and to a lesser degree, investments we made in our microwave electronic products business, and our satellite communications business.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in financing activities from continuing operations is summarized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8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18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27, 2015</w:t>
            </w: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Extinguishment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contingent acquisition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under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restricted stock units, employee stock options, and</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1"/>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r>
      <w:tr>
        <w:trPr>
          <w:trHeight w:val="20"/>
        </w:trPr>
        <w:tc>
          <w:tcPr>
            <w:tcW w:w="6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28, 2014 reflects refinancing $625.0 million of our 10% Senior Secured Notes due in 2017 with $625.0 million of 7.00% Senior Secured Notes due in 2019 as well as a $41.0 million borrowing on our new Credit Agreement. We utilized the net proceeds from the 7% Notes of $618.5 million, and the $41.0 million draw on our Credit Agreement to retire the 10% Notes for $661.5 million. Net cash flows used in financing activities from continuing operations for the year ended December 27, 2015 was primarily due to the repurchase of $175.0 million of our 7% Notes and the repayment of $41.0 million outstanding on our Credit Agreement.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provided by (used in) discontinued operations is summarized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8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180" w:type="dxa"/>
            <w:vAlign w:val="bottom"/>
          </w:tcPr>
          <w:p>
            <w:pPr>
              <w:spacing w:after="0"/>
              <w:rPr>
                <w:sz w:val="22"/>
                <w:szCs w:val="22"/>
                <w:color w:val="auto"/>
              </w:rPr>
            </w:pP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27, 2015</w:t>
            </w: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operating cash flows provided by (used in) discontinued operations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investing cash flows provided by (used in) discontinued operations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242.5</w:t>
            </w:r>
          </w:p>
        </w:tc>
      </w:tr>
    </w:tbl>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operating cash flow from discontinued operations for the years ended December 29, 2013, December 28, 2014 and December 27, 2015 is substantially related to Herley Industries, Inc. and certain of Herley’s subsidiaries. The investing cash flow from discontinued operations for the year ended December 27, 2015 reflects cash provided of $243.2 million which is related to the sale of the Herley Entities, net of related transaction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7.00% Senior Secured Notes due 2019</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2014, we refinanced our $625.0 million 10% Notes with $625.0 million of newly issued 7% Notes. The net proceeds from the issuance of the 7% Notes was $618.5 million after an original issue discount of $6.5 million. We incurred debt issuance costs of $8.8 million associated with the new 7% Notes. We utilized the net proceeds from the 7% Notes, a $41.0 million draw on our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completed the offering of the 7% Notes (hereafter the “Notes”) in a private placement conducted pursuant to Rule 144A and Regulation S under the Securities Act of 1933, as amended (the “Act”). The Notes are governed by the Indenture among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(c) we exercised our legal defeasance option or its covenant defeasance option; or (d) upon satisfaction and discharge of the Indenture or payment in full in cash of the principal of, premium, if any, accrued and unpaid interest.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the Notes have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Notes have a second priority lien to the Company’s $110.0 million Credit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pay interest on the Notes semi-annually, in arrears, on May 15 and November 15 of each year.</w:t>
      </w:r>
    </w:p>
    <w:p>
      <w:pPr>
        <w:spacing w:after="0" w:line="27"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27, 2015, we were in compliance with the covenants contained in the Indenture governing the Notes.</w:t>
      </w:r>
    </w:p>
    <w:p>
      <w:pPr>
        <w:spacing w:after="0" w:line="187"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On or after May 15, 2016, we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we may redeem up to 35% of the Notes at 107% of the aggregate principal amount of such notes plus accrued and unpaid interest before May 15, 2016 with the net proceeds of certain equity offerings. We may also redeem some or all of the Notes before May 15, 2016 at a redemption price of 100% of the principal amount thereof plus accrued and unpaid interest, if any, to the redemption date, plus a “make whole” premium. In addition, at one time prior to May 15, 2016, we may redeem up to 10% of the original aggregate principal amount of the Notes issued under the Indenture at a redemption price of 103% of the principal amount thereof, plus accrued and unpaid interest to the date of redemption.</w:t>
      </w:r>
    </w:p>
    <w:p>
      <w:pPr>
        <w:spacing w:after="0" w:line="17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October 16, 2014, the Company exchanged the outstanding Notes for an equal amount of new Notes that have been registered under the Act. The terms of the Notes issued in the exchange offer are identical in all material respects to the terms of the Notes, except the Notes issued in the exchange offer have been registered under the Act.</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terms of the Indenture requires that the net cash proceeds from asset dispositions be either utilized to (i) repay or prepay amounts outstanding under the Company’s Credit Agreement unless such amounts are reinvested in similar collateral, (ii) make an investment in assets that replace the collateral of the Notes or (iii) a combination of both (i) and (ii). To the extent there are any remaining net proceeds from the asset disposition after application of (i) and (ii), such amounts are required to be utilized to repurchase Notes at par after 360 days following the asset disposition.</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Following the sale of the Company’s U.S. and U.K. Electronic Products Division (see Note 8 of the Notes to Consolidated Financial Statements), the Company, on September 22, 2015, repurchased $175.0 million of the Notes at par, in accordance with the Indenture and on August 21, 2015 paid down the $41.0 million outstanding on the Company’s $110.0 million Credit Agreement.</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total reacquisition price of the Notes was $178.4 million including the write off of $1.8 million of unamortized issue costs, $1.4 million of unamortized discount, along with $0.2 million of legal fees, which resulted in a loss on extinguishment of $3.4 million.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the extent there are any unapplied net proceeds from the asset disposition 360 days following the sale, such amounts are required to be utilized to repurchase Notes at par at that time. At December 27, 2015, the Company has approximately $4.0 million to $6.0 million of estimated remaining net proceeds that it intends to invest in replacement collateral under the Indenture within the 360 days following the asset disposition.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Indebtedness</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$110.0 Million Credit Agreement</w:t>
      </w:r>
    </w:p>
    <w:p>
      <w:pPr>
        <w:spacing w:after="0" w:line="2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14, 2014, the Company replaced its credit facility with KeyBank National Association and entered into the Credit Agreement.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the amount not to exceed $50.0 million, as well as a swingline loan in an aggregate principal amount at any time outstanding not to exceed $10.0 million. The Credit Agreement is secured by a lien on substantially all of our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or any representation, warranty or statement made in or pursuant to the Credit Agreement or any related writing or any other material information furnished by the Company or any of its subsidiaries to the Agent or the lenders shall prove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shall automatically and immediately terminate and the principal of, and interest then outstanding on, all of the loans shall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At December 27, 2015 and December 28, 2014, no event of default had occurred and the Company believed that events or conditions having a material adverse effect, giving rise to an acceleration of any amounts outstanding under the Credit Agreement, had not occurred and was remote.</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receivables, then-held eligible raw materials inventory, work-in-process inventory, and applicable reserves.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Additionally, the measurement of the fixed charge coverage ratio of 1.15:1 was modified as follows: (i) the fixed charge coverage ratio will not be measured as of the quarterly reporting period ending on or about June 30, 2015, or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will be applied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coverage ratio of 1.10:1 will be applied if the aforementioned percentage is equal to or greater than 15.00% but less than 25.00%. In all other instances, the fixed charge coverage ratio remains at 1.15:1. For purposes of computing the fixed charge coverage ratio, consolidated interest expense in connection with the repurchase of Notes with proceeds from the sale of the Herley Entities shall be deemed to have occurred on the first day of the most recently completed four quarterly reporting period.</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terms of the Third Amendment also included the establishment of a reserve (the “Herley Disposition Proceeds Reinvestment Reserve”), that will reduce the maximum $110.0 million total borrowing base on the credit facility. With the sale of the Herley Entities, this reserve will be based upon the collateral carrying value under the Credit Agreement of the Herley Entities disposed. The reserve and therefore the maximum borrowing base will be adjusted monthly for the subsequent cumulative reinvestment in similar collateral assets over a period not to exceed 360 days from the sale of the Herley Entities. As of December 27, 2015, the reserve on the maximum borrowings, adjusted for cumulative reinvestment in similar collateral assets since the sale of the Herley Entities was $4.9 million, resulting in a reduced maximum facility of $105.1 million. To the extent that reinvestment occurs in similar collateral assets, the facility will be reinstated accordingly up to a maximum of $110.0 million. The Company expects to make investments in assets that will replace the collateral which will reinstate the maximum facility to the full $110.0 million.</w:t>
      </w:r>
    </w:p>
    <w:p>
      <w:pPr>
        <w:spacing w:after="0" w:line="18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August 19,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84" w:lineRule="exact"/>
        <w:rPr>
          <w:sz w:val="20"/>
          <w:szCs w:val="20"/>
          <w:color w:val="auto"/>
        </w:rPr>
      </w:pPr>
    </w:p>
    <w:p>
      <w:pPr>
        <w:ind w:right="340" w:firstLine="648"/>
        <w:spacing w:after="0" w:line="313" w:lineRule="auto"/>
        <w:rPr>
          <w:sz w:val="20"/>
          <w:szCs w:val="20"/>
          <w:color w:val="auto"/>
        </w:rPr>
      </w:pPr>
      <w:r>
        <w:rPr>
          <w:rFonts w:ascii="Times New Roman" w:cs="Times New Roman" w:eastAsia="Times New Roman" w:hAnsi="Times New Roman"/>
          <w:sz w:val="17"/>
          <w:szCs w:val="17"/>
          <w:color w:val="auto"/>
        </w:rPr>
        <w:t>As of December 27, 2015, there were no borrowings outstanding on the Credit Agreement and $11.1 million was outstanding on letters of credit, resulting in net borrowing base availability of $60.1 million. The Company was in compliance with the financial covenants as of December 27, 2015.</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Acquired in Acquisition of Herley</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assumed a $10.0 million ten-year term loan with a bank in Israel that Herley entered into on September 16, 2008 in connection with the acquisition of one of its wholly owned subsidiaries. The balance as of December 27, 2015 was $2.7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December 27, 2015.</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off-balance sheet arrangements as defined in Regulation S-K, Item 303(a)(4)(ii).</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and other commitments at December 27, 2015, and the effect such obligations could have on our liquidity and cash flow in future periods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2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Payments due/forecast by Period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5"/>
        </w:trPr>
        <w:tc>
          <w:tcPr>
            <w:tcW w:w="354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2017 - 2018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2019 - 2020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 and After</w:t>
            </w: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net of interest(1)</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interest on debt(2)</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orders(3)</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leases(4)</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3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61"/>
        </w:trPr>
        <w:tc>
          <w:tcPr>
            <w:tcW w:w="3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penalties(5)</w:t>
            </w:r>
          </w:p>
        </w:tc>
        <w:tc>
          <w:tcPr>
            <w:tcW w:w="9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commitments and recorded liabilities</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728.5</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in the aggregate outstanding principal amount of $450.0 million are due May 15, 2019. See Note 4 in the Notes to Consolidated Financial Statements contained within this Annual Report for further details.</w:t>
      </w:r>
    </w:p>
    <w:p>
      <w:pPr>
        <w:spacing w:after="0" w:line="161" w:lineRule="exact"/>
        <w:rPr>
          <w:rFonts w:ascii="Times New Roman" w:cs="Times New Roman" w:eastAsia="Times New Roman" w:hAnsi="Times New Roman"/>
          <w:sz w:val="18"/>
          <w:szCs w:val="18"/>
          <w:color w:val="auto"/>
        </w:rPr>
      </w:pPr>
    </w:p>
    <w:p>
      <w:pPr>
        <w:ind w:left="660" w:right="3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payments based on current interest rates for variable rate debt and the Notes. See Note 4 in the Notes to Consolidated Financial Statements contained within in this Annual Report for further details.</w:t>
      </w:r>
    </w:p>
    <w:p>
      <w:pPr>
        <w:spacing w:after="0" w:line="161" w:lineRule="exact"/>
        <w:rPr>
          <w:rFonts w:ascii="Times New Roman" w:cs="Times New Roman" w:eastAsia="Times New Roman" w:hAnsi="Times New Roman"/>
          <w:sz w:val="18"/>
          <w:szCs w:val="18"/>
          <w:color w:val="auto"/>
        </w:rPr>
      </w:pPr>
    </w:p>
    <w:p>
      <w:pPr>
        <w:ind w:left="660" w:right="60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include commitments in which a written purchase order has been issued to a vendor, but the goods have not been received or services have not been performed.</w:t>
      </w:r>
    </w:p>
    <w:p>
      <w:pPr>
        <w:spacing w:after="0" w:line="161"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or acquired various non-cancelable operating lease agreements that expire on various dates through 2025. The amounts include $5.5 million in excess facility costs and exclude expected sublease income. See Note 5 in the Notes to Consolidated Financial Statements contained within this Annual Report for further details.</w:t>
      </w:r>
    </w:p>
    <w:p>
      <w:pPr>
        <w:spacing w:after="0" w:line="176"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Balance Sheet at December 27, 2015 included a $3.6 million noncurrent liability for uncertain tax positions, all of which may result in cash payments. The future payments related to uncertain tax positions have not been presented in the table above due to the uncertainty of the amounts and timing of cash settlements with the taxing authorities.</w:t>
      </w:r>
    </w:p>
    <w:p>
      <w:pPr>
        <w:spacing w:after="0" w:line="17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As of December 27, 2015, we have $11.1 million of standby letters of credit outstanding. Our letters of credit are primarily related to milestone payments received from foreign customers for which the customer has not yet received the product. Additional information regarding our financial commitments at December 27, 2015 is provided in the Notes to Consolidated Financial Statements contained in this Annual Report, specifically Note 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Liquidity Matters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intend to fund our cash requirements with cash flows from operating activities and borrowings under the Credit Agreement. We believe these sources should be sufficient to meet our cash needs for at least the next 12 months.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have identified the following critical accounting policies that affect our more significant judgments and estimates used in the preparation of our Consolidated Financial Statements. The preparation of our Consolidated Financial Statements in conformity with GAAP requires us to make estimates and judgments that affect the reported amounts of assets and liabilities, stockholders’ equity, revenues and expenses, and related disclosures of contingent assets and liabilities. On a periodic basis, as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deemed necessary, we evaluate our estimates, including those related to revenue recognition, allowance for doubtful accounts, valuation of inventory including the reserves for excess and obsolete inventory, valuation of long-lived assets including identifiable intangibles and goodwill, accounting for income taxes including the related valuation allowance, warranties, contingencies and litigation, contingent acquisition consideration, stock-based compensation, and losses on unused office space. We explain these accounting policies in the Notes to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generate our revenue from three different types of contractual arrangements: cost-plus-fee contracts, time-and-materials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and fixed-price contracts. Revenue on cost-plus-fee contracts is recognized to the extent of allowable costs incurred plus an estimate of the applicable fees earned. We consider fixed fees under cost-plus-fee contracts to be earned in proportion to the allowable costs incurred in performance of the contract. We recognize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three basic categories of fixed-price contracts: fixed unit price, fixed-price level of effort, and fixed-price completion. Revenue recognition methods on fixed-price contracts will vary depending on the nature of the work and the contract terms. Revenues on fixed-price service contracts are recorded as work is performed in accordance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generally requires revenue to be deferred until all of the following have occurred: (1) there is a contract in place, (2) delivery has occurred or services have been provided, (3) the price is fixed or determinable, and (4) collectability is reasonably assured. Revenues on fixed-price contracts that require delivery of specific items may be recorded based on a price per unit as units are delivered. Revenue for fixed-price contracts in which we are paid a specific amount to provide services for a stated period of time is recognized ratably over the service period.</w:t>
      </w:r>
    </w:p>
    <w:p>
      <w:pPr>
        <w:spacing w:after="0" w:line="18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A portion of our fixed-price completion contracts are within the scope of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For these contracts, revenue is recognized using the percentage-of-completion method based on the ratio of total costs incurred to date compared to estimated total costs to complete the contract. Estimates of costs to complete include material, direct labor, overhead, and allowable indirect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accounting for our long-term contracts for production of products provided to the U.S. Government, we utilize both cost-to-cost and units delivered measures under the percentage-of-completion method of accounting under the provisions of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Under the units delivered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units delivered or as computed on the basis of the estimated final average unit costs plus profit. We classify contract revenues as product sales or service revenues depending upon the predominant attributes of the relevant underlying contracts. Significant management judgments and estimates, including but not limited to the estimated costs to complete projects, must be made and used in connection with the revenue recognized in any accounting period. A cancellation, schedule delay, or modification of a fixed-price contract that is accounted for using the percentage-of-completion method may adversely affect our gross margins for the period in which the contract is modified or canceled.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 Material differences may result in the amount and timing of our revenue for any period if management made different judgments or utilized different estimates.</w:t>
      </w:r>
    </w:p>
    <w:p>
      <w:pPr>
        <w:spacing w:after="0" w:line="19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It is our policy to review any arrangement containing software or software deliverables and services against the criteria contained in FASB ASC </w:t>
      </w:r>
      <w:r>
        <w:rPr>
          <w:rFonts w:ascii="Times New Roman" w:cs="Times New Roman" w:eastAsia="Times New Roman" w:hAnsi="Times New Roman"/>
          <w:sz w:val="18"/>
          <w:szCs w:val="18"/>
          <w:i w:val="1"/>
          <w:iCs w:val="1"/>
          <w:color w:val="auto"/>
        </w:rPr>
        <w:t xml:space="preserve">Topic 985, Software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Topic 985</w:t>
      </w:r>
      <w:r>
        <w:rPr>
          <w:rFonts w:ascii="Times New Roman" w:cs="Times New Roman" w:eastAsia="Times New Roman" w:hAnsi="Times New Roman"/>
          <w:sz w:val="18"/>
          <w:szCs w:val="18"/>
          <w:color w:val="auto"/>
        </w:rPr>
        <w:t>”) and related technical practice aids. Under the provisions of</w:t>
      </w:r>
      <w:r>
        <w:rPr>
          <w:rFonts w:ascii="Times New Roman" w:cs="Times New Roman" w:eastAsia="Times New Roman" w:hAnsi="Times New Roman"/>
          <w:sz w:val="18"/>
          <w:szCs w:val="18"/>
          <w:i w:val="1"/>
          <w:iCs w:val="1"/>
          <w:color w:val="auto"/>
        </w:rPr>
        <w:t xml:space="preserve"> Topic 985</w:t>
      </w:r>
      <w:r>
        <w:rPr>
          <w:rFonts w:ascii="Times New Roman" w:cs="Times New Roman" w:eastAsia="Times New Roman" w:hAnsi="Times New Roman"/>
          <w:sz w:val="18"/>
          <w:szCs w:val="18"/>
          <w:color w:val="auto"/>
        </w:rPr>
        <w:t>, we review the contract value of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deliverables and services and determine allocations of the contract value based on Vendor Specific Objective Evidence (“VSOE”). All software arrangements requiring significant production, modification, or customization of the software are accounted for in conformity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contracts may include the provision of more than one of our services (“multiple element arrangements”). In these situations, we apply the guidance of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Accordingly, for applicable arrangements, revenue recognition includes the proper identification of separate units of accounting and the allocation of revenue across all elements based on relative fair values, with proper consideration given to the guidance provided by other authoritative literature.</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multiple element arrangements that include hardware products containing software essential to the hardware products’ functionality and undelivered non-software services, we allocate revenue to all deliverables based on their relative selling prices. In such circumstances, we use a hierarchy to determine the selling price to be used for allocating revenue to deliverables: (i) VSOE, (ii) third-party evidence of selling price (“TPE”), and (iii) best estimate of the selling price (“ESP”).</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VSOE generally exists only when we sell the deliverable separately and is the price actually charged by us for that deliverable. TPE is determined based on competitor prices for similar deliverables when sold separately. Generally, our offerings contain significant differentiation such that comparable pricing of products with similar functionality cannot be obtained. Furthermore, we are unable to reliably determine what similar competitor products’ selling prices are on a stand-alone basis. Therefore, we typically are not able to obtain TPE of selling price. ESP reflects our best estimates of what the selling prices of elements would be if they were sold regularly on a stand-alone basis. We determine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our management, taking into consideration our marketing strategy.</w:t>
      </w:r>
    </w:p>
    <w:p>
      <w:pPr>
        <w:spacing w:after="0" w:line="18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account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we cannot objectively determine the fair value of any undelivered element included in such multiple element arrangements, we defer revenue until all elements are delivered and services have been performed, or until fair value can objectively be determined for any remaining undelivered elements. Under certain of our contractual arrangements, we may also recognize revenue for out-of-pocket expenses in accordance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Depending on the contractual arrangement, these expenses may be reimbursed with or without a fee.</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Under certain of our contracts, we provide supplier procurement services and materials for our customers. We record revenue on these arrangements on a gross or net basis in accordance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Depending on the specific circumstances of the arrangement we consider the following criteria, among others, for recording revenue on a gross or net basis:</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act as a principal in the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take title to the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assume risks and rewards of ownership, such as risk of loss for collection, delivery or returns;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serve as an agent or broker, with compensation on a commission or fee basis;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assume the credit risk for the amount billed to the customer subsequent to delivery.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our federal contracts, we follow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8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proceed with work based on customer direction prior to the completion and signing of formal contract documents. We have a formal review process for approving any such work. Revenue associated with such work is recognized only when it can be reliably estimated and realization is probable. We base our estimates on previous experiences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60"/>
          </w:cols>
          <w:pgMar w:left="240" w:top="121" w:right="29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customer, communications with the customer regarding funding status, and our knowledge of available funding for the contract or program.</w:t>
      </w:r>
    </w:p>
    <w:p>
      <w:pPr>
        <w:spacing w:after="0" w:line="22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We maintain an allowance for doubtful accounts for estimated losses resulting from the potential inability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collectability.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189" w:lineRule="exact"/>
        <w:rPr>
          <w:sz w:val="20"/>
          <w:szCs w:val="20"/>
          <w:color w:val="auto"/>
        </w:rPr>
      </w:pPr>
    </w:p>
    <w:p>
      <w:pPr>
        <w:jc w:val="both"/>
        <w:ind w:right="120"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Long-lived and Intangible Assets. </w:t>
      </w:r>
      <w:r>
        <w:rPr>
          <w:rFonts w:ascii="Times New Roman" w:cs="Times New Roman" w:eastAsia="Times New Roman" w:hAnsi="Times New Roman"/>
          <w:sz w:val="17"/>
          <w:szCs w:val="17"/>
          <w:color w:val="auto"/>
        </w:rPr>
        <w:t>We account for long-lived assets in accordance with the provisions of FASB ASC</w:t>
      </w:r>
      <w:r>
        <w:rPr>
          <w:rFonts w:ascii="Times New Roman" w:cs="Times New Roman" w:eastAsia="Times New Roman" w:hAnsi="Times New Roman"/>
          <w:sz w:val="17"/>
          <w:szCs w:val="17"/>
          <w:i w:val="1"/>
          <w:iCs w:val="1"/>
          <w:color w:val="auto"/>
        </w:rPr>
        <w:t xml:space="preserve"> Topic 360 Property, Plant, and Equipment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Topic 360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Topic 360 </w:t>
      </w:r>
      <w:r>
        <w:rPr>
          <w:rFonts w:ascii="Times New Roman" w:cs="Times New Roman" w:eastAsia="Times New Roman" w:hAnsi="Times New Roman"/>
          <w:sz w:val="17"/>
          <w:szCs w:val="17"/>
          <w:color w:val="auto"/>
        </w:rPr>
        <w:t>addresses financial accounting and reporting for the impairment or disposal of long-lived assets and requires that long-lived assets be reviewed for impairment whenever events or changes in circumstances indicate that the carrying amount of an asset may not be recoverable.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w:t>
      </w:r>
      <w:r>
        <w:rPr>
          <w:rFonts w:ascii="Times New Roman" w:cs="Times New Roman" w:eastAsia="Times New Roman" w:hAnsi="Times New Roman"/>
          <w:sz w:val="18"/>
          <w:szCs w:val="18"/>
          <w:i w:val="1"/>
          <w:iCs w:val="1"/>
          <w:color w:val="auto"/>
        </w:rPr>
        <w:t>Topic 360</w:t>
      </w:r>
      <w:r>
        <w:rPr>
          <w:rFonts w:ascii="Times New Roman" w:cs="Times New Roman" w:eastAsia="Times New Roman" w:hAnsi="Times New Roman"/>
          <w:sz w:val="18"/>
          <w:szCs w:val="18"/>
          <w:color w:val="auto"/>
        </w:rPr>
        <w:t xml:space="preserve">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85"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Topic 360</w:t>
      </w:r>
      <w:r>
        <w:rPr>
          <w:rFonts w:ascii="Times New Roman" w:cs="Times New Roman" w:eastAsia="Times New Roman" w:hAnsi="Times New Roman"/>
          <w:sz w:val="18"/>
          <w:szCs w:val="18"/>
          <w:color w:val="auto"/>
        </w:rPr>
        <w:t>,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176"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expected historical or projected future operating results;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of our use of the acquired assets or the strategy for our overall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our stock price for a sustained period;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capitalization relative to net book value.</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and Purchased Intangibles. </w:t>
      </w:r>
      <w:r>
        <w:rPr>
          <w:rFonts w:ascii="Times New Roman" w:cs="Times New Roman" w:eastAsia="Times New Roman" w:hAnsi="Times New Roman"/>
          <w:sz w:val="18"/>
          <w:szCs w:val="18"/>
          <w:color w:val="auto"/>
        </w:rPr>
        <w:t>The purchase price of an acquired business is allocated to the underlying tangible and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and liabilities assumed based upon their respective fair market values, with the excess recorded as goodwill. Such fair market value assessments require judgments and estimates that can be affected by contract performance and other factors over time, which may cause final amounts to differ materially from original estimates.</w:t>
      </w:r>
    </w:p>
    <w:p>
      <w:pPr>
        <w:spacing w:after="0" w:line="18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have established certain accruals in connection with indemnities and other contingencies from our acquisitions. These accruals and subsequent adjustments have been recorded during the purchase price allocation period for acquisitions.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 Any changes to recorded estimates will be recognized through earnings.</w:t>
      </w:r>
    </w:p>
    <w:p>
      <w:pPr>
        <w:spacing w:after="0" w:line="182"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We perform our impairment test for goodwill in accordance with </w:t>
      </w:r>
      <w:r>
        <w:rPr>
          <w:rFonts w:ascii="Times New Roman" w:cs="Times New Roman" w:eastAsia="Times New Roman" w:hAnsi="Times New Roman"/>
          <w:sz w:val="18"/>
          <w:szCs w:val="18"/>
          <w:i w:val="1"/>
          <w:iCs w:val="1"/>
          <w:color w:val="auto"/>
        </w:rPr>
        <w:t>Topic 350</w:t>
      </w:r>
      <w:r>
        <w:rPr>
          <w:rFonts w:ascii="Times New Roman" w:cs="Times New Roman" w:eastAsia="Times New Roman" w:hAnsi="Times New Roman"/>
          <w:sz w:val="18"/>
          <w:szCs w:val="18"/>
          <w:color w:val="auto"/>
        </w:rPr>
        <w:t>.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121" w:right="27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KGS has four operating segments: Defense Rocket Support Services (“DRSS”), Microwave Electronics Division (“ME”), Technical and Training Solutions (“TTS”), and Modular Systems (“MS”) that provide technology based defense solutions, involving products and services, primarily for mission critical U.S. National Security priorities, with the primary focus relating to the nation’s C5ISR requirements. The PSS operating segment provides integrated solutions for advanced homeland security, public safety, critical infrastructure security, and security and surveillance systems for government, industrial and commercial customers. The US reportable segment provides unmanned aerial systems and unmanned ground and seaborne systems. The Company has identified its reporting units to be the DRSS, ME, TTS, and MS operating segments, within its KGS reportable segment, the US reportable segment, and the PSS reportable segment to be tested for potential impairment in its fiscal year 2015 annual test.</w:t>
      </w:r>
    </w:p>
    <w:p>
      <w:pPr>
        <w:spacing w:after="0" w:line="14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also perform impairment tests for goodwill whenever evidence of potential impairment exists. When it is determined that impairment has occurred, a charge to operations is recorded. In order to test for potential impairment, we estimate the fair value of each of our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 We reconcile the fair value of our reporting units to our market capitalization on the last business day of fiscal October and assume a control premium.</w:t>
      </w:r>
    </w:p>
    <w:p>
      <w:pPr>
        <w:spacing w:after="0" w:line="18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testing for impairment of our goodwill, we make assumptions about the amount and timing of future expected cash flows, terminal growth rates, appropriate discount rates, market multiples, and the control premium a controlling shareholder could be expected to pay:</w:t>
      </w:r>
    </w:p>
    <w:p>
      <w:pPr>
        <w:spacing w:after="0" w:line="162" w:lineRule="exact"/>
        <w:rPr>
          <w:sz w:val="20"/>
          <w:szCs w:val="20"/>
          <w:color w:val="auto"/>
        </w:rPr>
      </w:pPr>
    </w:p>
    <w:p>
      <w:pPr>
        <w:ind w:left="980" w:right="80" w:hanging="324"/>
        <w:spacing w:after="0" w:line="313" w:lineRule="auto"/>
        <w:tabs>
          <w:tab w:leader="none" w:pos="9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w:t>
      </w:r>
    </w:p>
    <w:p>
      <w:pPr>
        <w:spacing w:after="0" w:line="138" w:lineRule="exact"/>
        <w:rPr>
          <w:rFonts w:ascii="Times New Roman" w:cs="Times New Roman" w:eastAsia="Times New Roman" w:hAnsi="Times New Roman"/>
          <w:sz w:val="17"/>
          <w:szCs w:val="17"/>
          <w:color w:val="auto"/>
        </w:rPr>
      </w:pPr>
    </w:p>
    <w:p>
      <w:pPr>
        <w:ind w:left="980" w:right="1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terminal growth rate is used to calculate the value of cash flows beyond the last projected period in our DCF analysis and reflects our best estimates for stable, perpetual growth of our reporting units.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58"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historical market multiples are used to estimate future market pricing.</w:t>
      </w:r>
    </w:p>
    <w:p>
      <w:pPr>
        <w:spacing w:after="0" w:line="225" w:lineRule="exact"/>
        <w:rPr>
          <w:rFonts w:ascii="Times New Roman" w:cs="Times New Roman" w:eastAsia="Times New Roman" w:hAnsi="Times New Roman"/>
          <w:sz w:val="18"/>
          <w:szCs w:val="18"/>
          <w:color w:val="auto"/>
        </w:rPr>
      </w:pPr>
    </w:p>
    <w:p>
      <w:pPr>
        <w:ind w:left="980" w:right="60" w:hanging="324"/>
        <w:spacing w:after="0" w:line="258"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use an estimated control premium in reconciling the aggregate value of our reporting units to our market capitalization. As discussed in </w:t>
      </w:r>
      <w:r>
        <w:rPr>
          <w:rFonts w:ascii="Times New Roman" w:cs="Times New Roman" w:eastAsia="Times New Roman" w:hAnsi="Times New Roman"/>
          <w:sz w:val="18"/>
          <w:szCs w:val="18"/>
          <w:i w:val="1"/>
          <w:iCs w:val="1"/>
          <w:color w:val="auto"/>
        </w:rPr>
        <w:t>Topic 350</w:t>
      </w:r>
      <w:r>
        <w:rPr>
          <w:rFonts w:ascii="Times New Roman" w:cs="Times New Roman" w:eastAsia="Times New Roman" w:hAnsi="Times New Roman"/>
          <w:sz w:val="18"/>
          <w:szCs w:val="18"/>
          <w:color w:val="auto"/>
        </w:rPr>
        <w:t>, control premiums may effectively cause a company’s aggregate fair value of its reporting unit(s) to exceed its current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due to the ability of a controlling shareholder to benefit from synergies and other intangible assets that arise from such control. As a result, the measurement of fair value of an entity with a collection of assets and liabilities that operate together to produce cash flows is different from the fair value measurement of that entity’s individual securities, hence, the reason a control premium is paid.</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review intangible assets subject to amortization for impairment whenever events or changes in circumstances indicate that the carrying amount of the asset may not be recoverable. Impairment losses, where identified, are determined as the excess of the carrying value over the estimated fair value of the long-lived asset. We assess the recoverability of the carrying value of assets held for use based on a review of projected undiscounted cash flows.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goodwill of the PSS, US, and KGS reportable segments are $35.6 million, $97.3 million and $350.5 million, respectively, at December 27, 2015.</w:t>
      </w:r>
    </w:p>
    <w:p>
      <w:pPr>
        <w:spacing w:after="0" w:line="23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our reporting units, there are key assumptions related to our future operating performance and revenue growth. If the actual operating performance and financial results are not consistent with our assumptions an impairment in our $483.4 million goodwill and $36.5 million long-lived intangibles could occur in future periods. In particular, the US reporting unit fair value includes assumptions that the development of the high performance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Unmanned Combat Aerial System (“UCAS”) product is successful and we are awarded future contracts for the UCAS product and other new tactical unmanned aircraft systems. Additionally, the US reporting unit fair value assumes that we will receive follow on orders for the Sub-Sonic Aerial Target (“SSAT”), which is currently under contract with the US Navy. For certain of our reporting units, the fair value includes assumptions of the entry to new international markets for which we have not yet penetrated. Additional risks for goodwill across all reporting units include, but not limited to the risks discussed in Item 1A “Risk Factors” contained within this Annual Report and:</w:t>
      </w:r>
    </w:p>
    <w:p>
      <w:pPr>
        <w:spacing w:after="0" w:line="184" w:lineRule="exact"/>
        <w:rPr>
          <w:sz w:val="20"/>
          <w:szCs w:val="20"/>
          <w:color w:val="auto"/>
        </w:rPr>
      </w:pPr>
    </w:p>
    <w:p>
      <w:pPr>
        <w:ind w:left="980" w:right="2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 and resulting market capitalization, if we determine the decline is sustained and is indicative of a reduction in the fair value below the carrying value of our reporting units;</w:t>
      </w:r>
    </w:p>
    <w:p>
      <w:pPr>
        <w:ind w:left="980" w:right="720" w:hanging="324"/>
        <w:spacing w:after="0" w:line="25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available government funding, including budgetary constraints affecting U.S. Government spending generally, or specific departments or agencies;</w:t>
      </w: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programs or requirements, including the increased use of small business providers;</w:t>
      </w:r>
    </w:p>
    <w:p>
      <w:pPr>
        <w:spacing w:after="0" w:line="9" w:lineRule="exact"/>
        <w:rPr>
          <w:rFonts w:ascii="Times New Roman" w:cs="Times New Roman" w:eastAsia="Times New Roman" w:hAnsi="Times New Roman"/>
          <w:sz w:val="18"/>
          <w:szCs w:val="18"/>
          <w:color w:val="auto"/>
        </w:rPr>
      </w:pPr>
    </w:p>
    <w:p>
      <w:pPr>
        <w:ind w:left="980" w:right="580" w:hanging="324"/>
        <w:spacing w:after="0" w:line="25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reach our internal forecasts could impact our ability to achieve our forecasted levels of cash flows and reduce the estimated discounted value of our reporting units;</w:t>
      </w: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equity and debt markets resulting in higher discount rates;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political factors that could impact the success of new products, especially related to new unmanned systems platforms.</w:t>
      </w:r>
    </w:p>
    <w:p>
      <w:pPr>
        <w:spacing w:after="0" w:line="20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It is not possible at this time to determine if an impairment charge would result from these factors, or, if it does, whether such charge would be material. We will continue to monitor our goodwill for potential impairment indicators.</w:t>
      </w:r>
    </w:p>
    <w:p>
      <w:pPr>
        <w:spacing w:after="0" w:line="16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and tax contingencies. </w:t>
      </w:r>
      <w:r>
        <w:rPr>
          <w:rFonts w:ascii="Times New Roman" w:cs="Times New Roman" w:eastAsia="Times New Roman" w:hAnsi="Times New Roman"/>
          <w:sz w:val="18"/>
          <w:szCs w:val="18"/>
          <w:color w:val="auto"/>
        </w:rPr>
        <w:t>FASB ASC</w:t>
      </w:r>
      <w:r>
        <w:rPr>
          <w:rFonts w:ascii="Times New Roman" w:cs="Times New Roman" w:eastAsia="Times New Roman" w:hAnsi="Times New Roman"/>
          <w:sz w:val="18"/>
          <w:szCs w:val="18"/>
          <w:i w:val="1"/>
          <w:iCs w:val="1"/>
          <w:color w:val="auto"/>
        </w:rPr>
        <w:t xml:space="preserve"> Topic 740 Income Taxes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Topic 740</w:t>
      </w:r>
      <w:r>
        <w:rPr>
          <w:rFonts w:ascii="Times New Roman" w:cs="Times New Roman" w:eastAsia="Times New Roman" w:hAnsi="Times New Roman"/>
          <w:sz w:val="18"/>
          <w:szCs w:val="18"/>
          <w:color w:val="auto"/>
        </w:rPr>
        <w:t>”) provides the accounting treatment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uncertainty in income taxes recognized in an enterprise’s financial statements. </w:t>
      </w:r>
      <w:r>
        <w:rPr>
          <w:rFonts w:ascii="Times New Roman" w:cs="Times New Roman" w:eastAsia="Times New Roman" w:hAnsi="Times New Roman"/>
          <w:sz w:val="18"/>
          <w:szCs w:val="18"/>
          <w:i w:val="1"/>
          <w:iCs w:val="1"/>
          <w:color w:val="auto"/>
        </w:rPr>
        <w:t>Topic 740</w:t>
      </w:r>
      <w:r>
        <w:rPr>
          <w:rFonts w:ascii="Times New Roman" w:cs="Times New Roman" w:eastAsia="Times New Roman" w:hAnsi="Times New Roman"/>
          <w:sz w:val="18"/>
          <w:szCs w:val="18"/>
          <w:color w:val="auto"/>
        </w:rPr>
        <w:t xml:space="preserve"> prescribes a recognition threshold and measurement attribute for the financial statement recognition and measurement of a tax position taken or expected to be taken in a tax return. </w:t>
      </w:r>
      <w:r>
        <w:rPr>
          <w:rFonts w:ascii="Times New Roman" w:cs="Times New Roman" w:eastAsia="Times New Roman" w:hAnsi="Times New Roman"/>
          <w:sz w:val="18"/>
          <w:szCs w:val="18"/>
          <w:i w:val="1"/>
          <w:iCs w:val="1"/>
          <w:color w:val="auto"/>
        </w:rPr>
        <w:t>Topic 740</w:t>
      </w:r>
      <w:r>
        <w:rPr>
          <w:rFonts w:ascii="Times New Roman" w:cs="Times New Roman" w:eastAsia="Times New Roman" w:hAnsi="Times New Roman"/>
          <w:sz w:val="18"/>
          <w:szCs w:val="18"/>
          <w:color w:val="auto"/>
        </w:rPr>
        <w:t xml:space="preserve"> also provides guidance on derecognizing, classification, interest and penalties, accounting in interim periods, disclosure and transition.</w:t>
      </w:r>
    </w:p>
    <w:p>
      <w:pPr>
        <w:spacing w:after="0" w:line="18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and included in our Consolidated Balance Sheets.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a valuation allowance at December 27, 2015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2015 effective tax rate at December 27, 2015 for annual and interim reporting periods could be impacted if uncertain tax positions that are not recognized at December 27, 2015 are settled at an amount which differs from our estimate. Finally, during 2015 and thereafter, if we are impacted by a change in the valuation allowance as of December 27, 2015 resulting from a change in judgment regarding the realizability of deferred tax assets beyond December 27, 2015, such effect will be recognized in the interim period in which the change occurs.</w:t>
      </w:r>
    </w:p>
    <w:p>
      <w:pPr>
        <w:spacing w:after="0" w:line="178"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Contingencies and litigation. </w:t>
      </w:r>
      <w:r>
        <w:rPr>
          <w:rFonts w:ascii="Times New Roman" w:cs="Times New Roman" w:eastAsia="Times New Roman" w:hAnsi="Times New Roman"/>
          <w:sz w:val="18"/>
          <w:szCs w:val="18"/>
          <w:color w:val="auto"/>
        </w:rPr>
        <w:t>We are currently involved in certain legal proceedings. We estimate a range of liability related to pending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where the amount and range of loss can be estimated. We record our estimate of a loss when the loss is considered probable and reasonably estimable. Where a liability is probable and there is a range of estimated loss and no amount in the range is more likely than any other number in the range, we record the minimum estimated liability related to the claim in accordance with FASB ASC </w:t>
      </w:r>
      <w:r>
        <w:rPr>
          <w:rFonts w:ascii="Times New Roman" w:cs="Times New Roman" w:eastAsia="Times New Roman" w:hAnsi="Times New Roman"/>
          <w:sz w:val="18"/>
          <w:szCs w:val="18"/>
          <w:i w:val="1"/>
          <w:iCs w:val="1"/>
          <w:color w:val="auto"/>
        </w:rPr>
        <w:t>Topic 450 Contingencies.</w:t>
      </w:r>
      <w:r>
        <w:rPr>
          <w:rFonts w:ascii="Times New Roman" w:cs="Times New Roman" w:eastAsia="Times New Roman" w:hAnsi="Times New Roman"/>
          <w:sz w:val="18"/>
          <w:szCs w:val="18"/>
          <w:color w:val="auto"/>
        </w:rPr>
        <w:t xml:space="preserve"> As additional information becomes available, we assess the potential liability related to our pending litigation and revise our estimates. Revisions in our estimates of potential liability</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materially impact our results of operations. See Item 3 “Legal Proceedings” contained within this Annual Report for additional information.</w:t>
      </w:r>
    </w:p>
    <w:p>
      <w:pPr>
        <w:spacing w:after="0" w:line="223" w:lineRule="exact"/>
        <w:rPr>
          <w:sz w:val="20"/>
          <w:szCs w:val="20"/>
          <w:color w:val="auto"/>
        </w:rPr>
      </w:pPr>
    </w:p>
    <w:p>
      <w:pPr>
        <w:jc w:val="both"/>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We account for stock-based compensation arrangements in accordance with the provisions of FASB ASC</w:t>
      </w:r>
      <w:r>
        <w:rPr>
          <w:rFonts w:ascii="Times New Roman" w:cs="Times New Roman" w:eastAsia="Times New Roman" w:hAnsi="Times New Roman"/>
          <w:sz w:val="18"/>
          <w:szCs w:val="18"/>
          <w:i w:val="1"/>
          <w:iCs w:val="1"/>
          <w:color w:val="auto"/>
        </w:rPr>
        <w:t xml:space="preserve"> Topic 718, Compensation-Stock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requires the measurement and recognition of compensation expense for all stock-based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to employees and directors based on estimated fair values.</w:t>
      </w:r>
    </w:p>
    <w:p>
      <w:pPr>
        <w:spacing w:after="0" w:line="17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valuation provisions of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xml:space="preserve"> apply to new awards and to awards that are outstanding on the effective date and subsequently modified or canceled. We use the Black-Scholes option pricing model and a lattice options pricing model for market condition options to estimate the fair value of our stock options at the grant date. The Black-Scholes option pricing model was developed for use in estimating the fair value of traded options which have no vesting restrictions and are fully transferable. The lattice options pricing model breaks down the time to expiration into potentially a very large number of time intervals, or steps which makes it possible to check at every point in an option’s life for the possibility of early exercise. Our employee stock options are generally subject to vesting restrictions and are generally not transferable.</w:t>
      </w:r>
    </w:p>
    <w:p>
      <w:pPr>
        <w:spacing w:after="0" w:line="18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Valuing options requires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w:t>
      </w:r>
    </w:p>
    <w:p>
      <w:pPr>
        <w:spacing w:after="0" w:line="18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Estimates of stock-based compensation expenses are significant to our Consolidated Financial Statements, but these expenses are based on option valuation models and will never result in the payment of cash by us. For this reason, and because we do not view stock-based compensation to be significant as related to our operational performance, we exclude estimated stock-based compensation expense when evaluating the business performance of our operating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Consolidated Financial Statements contained within this Annual Report on Form 10-K for a discussion of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and Foreign Currency Risks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 primarily related to interest rates and foreign currency exchange rates.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Exposure to market risk for changes in interest rates relates to our outstanding debt. We are exposed to interest rate risk, primarily through our borrowing activities under the Credit Agreement discussed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Liquidity and Capital Resources” above. Based on our current outstanding balances, a 1% change in the LIBOR rate would not materially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w:t>
      </w:r>
    </w:p>
    <w:p>
      <w:pPr>
        <w:spacing w:after="0" w:line="188"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Exposure to market risk for foreign currency exchange rate risk is related to receipts from customers, payments to suppliers and intercompany loans denominated in foreign currencies. Accordingly, a strengthening of the U.S. dollar (“USD”) will negatively impact revenues and gross margins expressed in consolidated USD terms. We currently enter into limited foreign currency forward contracts to manage foreign currency exchange rate risk because exchange rate fluctuations have had, and we expect will have, minimal impact on our operating results and cash flows.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as of December 27, 2015 were $28.5 million and are primarily invested in money market interest bearing accounts. A hypothetical 10% adverse change in the average interest rate on our money market cash investments and short-term investments would have had no material effect on our net loss for the year ended December 27, 2015.</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 Management</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supplementary data required by this item are set forth at the pages indicated in Item 15(a) (1) and 15(a) (2),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8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at the reasonable assurance level as of December 27, 2015.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that the degree of compliance with the policies and procedures may deteriorate.</w:t>
      </w:r>
    </w:p>
    <w:p>
      <w:pPr>
        <w:spacing w:after="0" w:line="18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the 2013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Based on the results of our evaluation, our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our internal control over financial reporting was effective at the reasonable assurance level as of December 27, 2015.</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internal control over financial reporting has been audited by Deloitte &amp; Touche LLP, an independent registered public accounting firm, as stated in their report appearing below, which expresses an unqualified opinion on the effectiveness of our internal control over financial reporting as of December 27,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accounting and reporting (as defined in Rules 13a-15(f) and 15d-15(f) of the Exchange Act) during the fourth quarter of the fiscal year ended December 27, 2015 that have materially affected, or are reasonably likely to materially affect, our internal control over financial reporting.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filed in connection with our 2016 Annual Meeting of Stockholders or an amendment to this Annual Report to be filed with the SEC within 120 days after the close of our fiscal year ended December 27, 2015.</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filed in connection with our 2016 Annual Meeting of Stockholders or an amendment to this Annual Report to be filed with the SEC within 120 days after the close of our fiscal year ended December 27, 2015.</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filed in connection with our 2016 Annual Meeting of Stockholders or an amendment to this Annual Report to be filed with the SEC within 120 days after the close of our fiscal year ended December 27, 2015.</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filed in connection with our 2016 Annual Meeting of Stockholders or an amendment to this Annual Report to be filed with the SEC within 120 days after the close of our fiscal year ended December 27, 2015.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filed in connection with our 2016 Annual Meeting of Stockholders or an amendment to this Annual Report to be filed with the SEC within 120 days after the close of our fiscal year ended December 27, 2015.</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Statements Schedules.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(a)(1)</w:t>
        <w:tab/>
        <w:t>Financial Statements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Kratos Defense &amp; Security Solutions, Inc. and Report of Deloitte &amp; Touche LLP, Independent Registered Public Accounting Firm, are included in a separate section of this Annual Report beginning on page F-1.</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(a)(2)</w:t>
        <w:tab/>
        <w:t>Financial Statement Schedules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applicable or are not required or the information required to be set forth therein is included in the Consolidated Financial Statements or the notes thereto.</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20"/>
          </w:cols>
          <w:pgMar w:left="240" w:top="121" w:right="3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(3).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 and Plan of Merger, dated February 7, 2011,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and among Kratos Defense &amp; Security Solutions,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Lanza Acquisition, Co. and Herley Industries,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Annex A to the Prospectus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 dated February 8, 2011, pursuant to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S-3 of Kratos Defense &amp;</w:t>
            </w: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Solutions, Inc.)</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and Plan of Merger, dated May 15, 2011,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among Kratos Defense &amp; Security Solutions,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Integral Systems, Inc., IRIS Merger Sub Inc., and IRIS</w:t>
            </w: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Sub LLC.</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Agreement, dated May 31, 2015, by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Kratos Defense &amp; Security Solutions, Inc., Herley</w:t>
            </w: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Industries, Inc., Ultra</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of</w:t>
            </w: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Kratos Defense &amp; Security Solutions, Inc</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Ownership and Merger of Kratos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&amp; Security Solutions, Inc. into Wireless</w:t>
            </w: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Inc.</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Amendment to Amended and Restated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Incorporation of Kratos Defense &amp; Security</w:t>
            </w: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Solutions, Inc.</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Designations, Preferences and Rights of</w:t>
            </w: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Designations, Preferences and Rights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 (included as Exhibit A to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Purchase Agreement dated as of May 16,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2002 among the Company, Meritech Capital Partners II</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 Meritech Capital Affiliates II L.P., MCP</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Entrepreneur Partners II L.P., Oak Investment Partners 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 Oak X Affiliates Fund, L.P., Oak Investment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IX, L.P., Oak IX Affiliates Fund, L.P., Oak IX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 Fund-A, L.P., and the KLS Trust dated July 14,</w:t>
            </w: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486"/>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Designation of Series C Preferred Stock.</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Amended and Restated Bylaws of Kratos</w:t>
            </w: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&amp; Security Solutions, Inc.</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the Second Amended and Restated</w:t>
            </w: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Bylaws of Kratos Defense &amp; Security Solutions, Inc.</w:t>
            </w:r>
          </w:p>
        </w:tc>
        <w:tc>
          <w:tcPr>
            <w:tcW w:w="0" w:type="dxa"/>
            <w:vAlign w:val="bottom"/>
          </w:tcPr>
          <w:p>
            <w:pPr>
              <w:spacing w:after="0"/>
              <w:rPr>
                <w:sz w:val="1"/>
                <w:szCs w:val="1"/>
                <w:color w:val="auto"/>
              </w:rPr>
            </w:pPr>
          </w:p>
        </w:tc>
      </w:tr>
      <w:tr>
        <w:trPr>
          <w:trHeight w:val="486"/>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Specimen Stock Certificate.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Reference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2"/>
                <w:szCs w:val="12"/>
                <w:color w:val="auto"/>
              </w:rPr>
            </w:pPr>
          </w:p>
        </w:tc>
        <w:tc>
          <w:tcPr>
            <w:tcW w:w="2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 (File No.)  Exhibit</w:t>
            </w:r>
          </w:p>
        </w:tc>
        <w:tc>
          <w:tcPr>
            <w:tcW w:w="1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5"/>
        </w:trPr>
        <w:tc>
          <w:tcPr>
            <w:tcW w:w="13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940" w:type="dxa"/>
            <w:vAlign w:val="bottom"/>
            <w:gridSpan w:val="4"/>
            <w:vMerge w:val="continue"/>
          </w:tcPr>
          <w:p>
            <w:pPr>
              <w:spacing w:after="0"/>
              <w:rPr>
                <w:sz w:val="16"/>
                <w:szCs w:val="16"/>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02/08/2011</w:t>
            </w:r>
          </w:p>
        </w:tc>
        <w:tc>
          <w:tcPr>
            <w:tcW w:w="660" w:type="dxa"/>
            <w:vAlign w:val="bottom"/>
          </w:tcPr>
          <w:p>
            <w:pPr>
              <w:spacing w:after="0"/>
              <w:rPr>
                <w:sz w:val="18"/>
                <w:szCs w:val="18"/>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424</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(333-161340)</w:t>
            </w: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0"/>
              </w:rPr>
              <w:t>n/a</w:t>
            </w:r>
          </w:p>
        </w:tc>
      </w:tr>
      <w:tr>
        <w:trPr>
          <w:trHeight w:val="684"/>
        </w:trPr>
        <w:tc>
          <w:tcPr>
            <w:tcW w:w="76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05/18/2011</w:t>
            </w:r>
          </w:p>
        </w:tc>
        <w:tc>
          <w:tcPr>
            <w:tcW w:w="66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2.1</w:t>
            </w:r>
          </w:p>
        </w:tc>
      </w:tr>
      <w:tr>
        <w:trPr>
          <w:trHeight w:val="468"/>
        </w:trPr>
        <w:tc>
          <w:tcPr>
            <w:tcW w:w="76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08/06/2015</w:t>
            </w:r>
          </w:p>
        </w:tc>
        <w:tc>
          <w:tcPr>
            <w:tcW w:w="66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10-Q</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2.4</w:t>
            </w:r>
          </w:p>
        </w:tc>
      </w:tr>
      <w:tr>
        <w:trPr>
          <w:trHeight w:val="252"/>
        </w:trPr>
        <w:tc>
          <w:tcPr>
            <w:tcW w:w="76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11/13/2001</w:t>
            </w:r>
          </w:p>
        </w:tc>
        <w:tc>
          <w:tcPr>
            <w:tcW w:w="660" w:type="dxa"/>
            <w:vAlign w:val="bottom"/>
          </w:tcPr>
          <w:p>
            <w:pPr>
              <w:spacing w:after="0"/>
              <w:rPr>
                <w:sz w:val="21"/>
                <w:szCs w:val="21"/>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10-Q</w:t>
            </w:r>
          </w:p>
        </w:tc>
        <w:tc>
          <w:tcPr>
            <w:tcW w:w="18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(000-27231)</w:t>
            </w: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4.1</w:t>
            </w:r>
          </w:p>
        </w:tc>
      </w:tr>
      <w:tr>
        <w:trPr>
          <w:trHeight w:val="468"/>
        </w:trPr>
        <w:tc>
          <w:tcPr>
            <w:tcW w:w="76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09/14/2007</w:t>
            </w:r>
          </w:p>
        </w:tc>
        <w:tc>
          <w:tcPr>
            <w:tcW w:w="66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(000-27231)</w:t>
            </w: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3.1</w:t>
            </w:r>
          </w:p>
        </w:tc>
      </w:tr>
      <w:tr>
        <w:trPr>
          <w:trHeight w:val="468"/>
        </w:trPr>
        <w:tc>
          <w:tcPr>
            <w:tcW w:w="76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11/03/2009</w:t>
            </w:r>
          </w:p>
        </w:tc>
        <w:tc>
          <w:tcPr>
            <w:tcW w:w="66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10-Q</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3.1</w:t>
            </w:r>
          </w:p>
        </w:tc>
      </w:tr>
      <w:tr>
        <w:trPr>
          <w:trHeight w:val="252"/>
        </w:trPr>
        <w:tc>
          <w:tcPr>
            <w:tcW w:w="76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11/13/2001</w:t>
            </w:r>
          </w:p>
        </w:tc>
        <w:tc>
          <w:tcPr>
            <w:tcW w:w="660" w:type="dxa"/>
            <w:vAlign w:val="bottom"/>
          </w:tcPr>
          <w:p>
            <w:pPr>
              <w:spacing w:after="0"/>
              <w:rPr>
                <w:sz w:val="21"/>
                <w:szCs w:val="21"/>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10-Q</w:t>
            </w:r>
          </w:p>
        </w:tc>
        <w:tc>
          <w:tcPr>
            <w:tcW w:w="18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(000-27231)</w:t>
            </w: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06/05/2002</w:t>
            </w:r>
          </w:p>
        </w:tc>
        <w:tc>
          <w:tcPr>
            <w:tcW w:w="680" w:type="dxa"/>
            <w:vAlign w:val="bottom"/>
          </w:tcPr>
          <w:p>
            <w:pPr>
              <w:spacing w:after="0"/>
              <w:rPr>
                <w:sz w:val="18"/>
                <w:szCs w:val="18"/>
                <w:color w:val="auto"/>
              </w:rPr>
            </w:pPr>
          </w:p>
        </w:tc>
      </w:tr>
      <w:tr>
        <w:trPr>
          <w:trHeight w:val="234"/>
        </w:trPr>
        <w:tc>
          <w:tcPr>
            <w:tcW w:w="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8-K/A</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2"/>
        </w:trPr>
        <w:tc>
          <w:tcPr>
            <w:tcW w:w="86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12/17/2004</w:t>
            </w:r>
          </w:p>
        </w:tc>
        <w:tc>
          <w:tcPr>
            <w:tcW w:w="680" w:type="dxa"/>
            <w:vAlign w:val="bottom"/>
          </w:tcPr>
          <w:p>
            <w:pPr>
              <w:spacing w:after="0"/>
              <w:rPr>
                <w:sz w:val="21"/>
                <w:szCs w:val="21"/>
                <w:color w:val="auto"/>
              </w:rPr>
            </w:pPr>
          </w:p>
        </w:tc>
      </w:tr>
      <w:tr>
        <w:trPr>
          <w:trHeight w:val="234"/>
        </w:trPr>
        <w:tc>
          <w:tcPr>
            <w:tcW w:w="8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8-K</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2"/>
        </w:trPr>
        <w:tc>
          <w:tcPr>
            <w:tcW w:w="86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03/15/2011</w:t>
            </w:r>
          </w:p>
        </w:tc>
        <w:tc>
          <w:tcPr>
            <w:tcW w:w="680" w:type="dxa"/>
            <w:vAlign w:val="bottom"/>
          </w:tcPr>
          <w:p>
            <w:pPr>
              <w:spacing w:after="0"/>
              <w:rPr>
                <w:sz w:val="21"/>
                <w:szCs w:val="21"/>
                <w:color w:val="auto"/>
              </w:rPr>
            </w:pPr>
          </w:p>
        </w:tc>
      </w:tr>
      <w:tr>
        <w:trPr>
          <w:trHeight w:val="234"/>
        </w:trPr>
        <w:tc>
          <w:tcPr>
            <w:tcW w:w="8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8-K</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2"/>
        </w:trPr>
        <w:tc>
          <w:tcPr>
            <w:tcW w:w="86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11/07/2014</w:t>
            </w:r>
          </w:p>
        </w:tc>
        <w:tc>
          <w:tcPr>
            <w:tcW w:w="680" w:type="dxa"/>
            <w:vAlign w:val="bottom"/>
          </w:tcPr>
          <w:p>
            <w:pPr>
              <w:spacing w:after="0"/>
              <w:rPr>
                <w:sz w:val="21"/>
                <w:szCs w:val="21"/>
                <w:color w:val="auto"/>
              </w:rPr>
            </w:pPr>
          </w:p>
        </w:tc>
      </w:tr>
      <w:tr>
        <w:trPr>
          <w:trHeight w:val="234"/>
        </w:trPr>
        <w:tc>
          <w:tcPr>
            <w:tcW w:w="8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10-Q</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2"/>
        </w:trPr>
        <w:tc>
          <w:tcPr>
            <w:tcW w:w="86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03/02/2011</w:t>
            </w:r>
          </w:p>
        </w:tc>
        <w:tc>
          <w:tcPr>
            <w:tcW w:w="680" w:type="dxa"/>
            <w:vAlign w:val="bottom"/>
          </w:tcPr>
          <w:p>
            <w:pPr>
              <w:spacing w:after="0"/>
              <w:rPr>
                <w:sz w:val="21"/>
                <w:szCs w:val="21"/>
                <w:color w:val="auto"/>
              </w:rPr>
            </w:pPr>
          </w:p>
        </w:tc>
      </w:tr>
      <w:tr>
        <w:trPr>
          <w:trHeight w:val="234"/>
        </w:trPr>
        <w:tc>
          <w:tcPr>
            <w:tcW w:w="8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10-K</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2">
            <w:col w:w="5500" w:space="120"/>
            <w:col w:w="5800"/>
          </w:cols>
          <w:pgMar w:left="240" w:top="121"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4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Indenture, dated as of May 14, 2014, among Kratos</w:t>
            </w: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Defense &amp; Security Solutions, Inc., as Issuer, the</w:t>
            </w:r>
          </w:p>
        </w:tc>
        <w:tc>
          <w:tcPr>
            <w:tcW w:w="1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Guarantors as named therein and party thereto, and</w:t>
            </w:r>
          </w:p>
        </w:tc>
        <w:tc>
          <w:tcPr>
            <w:tcW w:w="1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Wilmington Trust, National Association, as Trustee and</w:t>
            </w:r>
          </w:p>
        </w:tc>
        <w:tc>
          <w:tcPr>
            <w:tcW w:w="1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Collateral Agent (including the Form of 7.00% Senior</w:t>
            </w:r>
          </w:p>
        </w:tc>
        <w:tc>
          <w:tcPr>
            <w:tcW w:w="14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05/15/2014</w:t>
            </w:r>
          </w:p>
        </w:tc>
        <w:tc>
          <w:tcPr>
            <w:tcW w:w="780" w:type="dxa"/>
            <w:vAlign w:val="bottom"/>
          </w:tcPr>
          <w:p>
            <w:pPr>
              <w:spacing w:after="0"/>
              <w:rPr>
                <w:sz w:val="18"/>
                <w:szCs w:val="18"/>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Secured Notes due 2019).</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4.1</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May 14,</w:t>
            </w:r>
          </w:p>
        </w:tc>
        <w:tc>
          <w:tcPr>
            <w:tcW w:w="1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2014, among Kratos Defense &amp; Security Solutions, Inc.,</w:t>
            </w:r>
          </w:p>
        </w:tc>
        <w:tc>
          <w:tcPr>
            <w:tcW w:w="1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as Issuer, and SunTrust Robinson Humphrey, Inc., as</w:t>
            </w:r>
          </w:p>
        </w:tc>
        <w:tc>
          <w:tcPr>
            <w:tcW w:w="14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05/15/2014</w:t>
            </w:r>
          </w:p>
        </w:tc>
        <w:tc>
          <w:tcPr>
            <w:tcW w:w="780" w:type="dxa"/>
            <w:vAlign w:val="bottom"/>
          </w:tcPr>
          <w:p>
            <w:pPr>
              <w:spacing w:after="0"/>
              <w:rPr>
                <w:sz w:val="18"/>
                <w:szCs w:val="18"/>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of the Initial Purchasers.</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10.1</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Commitment Letter, dated February 7, 2011, by and</w:t>
            </w:r>
          </w:p>
        </w:tc>
        <w:tc>
          <w:tcPr>
            <w:tcW w:w="1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among Kratos Defense &amp; Security Solutions, Inc.,</w:t>
            </w:r>
          </w:p>
        </w:tc>
        <w:tc>
          <w:tcPr>
            <w:tcW w:w="1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Jefferies Group, Inc., Key Capital Corporation and OPY</w:t>
            </w:r>
          </w:p>
        </w:tc>
        <w:tc>
          <w:tcPr>
            <w:tcW w:w="14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02/07/2011</w:t>
            </w:r>
          </w:p>
        </w:tc>
        <w:tc>
          <w:tcPr>
            <w:tcW w:w="780" w:type="dxa"/>
            <w:vAlign w:val="bottom"/>
          </w:tcPr>
          <w:p>
            <w:pPr>
              <w:spacing w:after="0"/>
              <w:rPr>
                <w:sz w:val="18"/>
                <w:szCs w:val="18"/>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Credit Corp.</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10.1</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Indemnification Agreement by and between</w:t>
            </w:r>
          </w:p>
        </w:tc>
        <w:tc>
          <w:tcPr>
            <w:tcW w:w="1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Kratos Defense &amp; Security Solutions, Inc. and its</w:t>
            </w:r>
          </w:p>
        </w:tc>
        <w:tc>
          <w:tcPr>
            <w:tcW w:w="14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08/04/2011</w:t>
            </w:r>
          </w:p>
        </w:tc>
        <w:tc>
          <w:tcPr>
            <w:tcW w:w="780" w:type="dxa"/>
            <w:vAlign w:val="bottom"/>
          </w:tcPr>
          <w:p>
            <w:pPr>
              <w:spacing w:after="0"/>
              <w:rPr>
                <w:sz w:val="18"/>
                <w:szCs w:val="18"/>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executive officers.</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10-Q</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10.8</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08/18/1999</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1999 Employee Stock Purchase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S-1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(333-85515)</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10.5</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11/14/2000</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2000 Nonstatutory Stock Option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10-Q</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(000-27231)</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10.2</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 Option Agreement and Form of Stock</w:t>
            </w:r>
          </w:p>
        </w:tc>
        <w:tc>
          <w:tcPr>
            <w:tcW w:w="1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Option Grant Notice used in connection with the 2000</w:t>
            </w:r>
          </w:p>
        </w:tc>
        <w:tc>
          <w:tcPr>
            <w:tcW w:w="14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11/14/2000</w:t>
            </w:r>
          </w:p>
        </w:tc>
        <w:tc>
          <w:tcPr>
            <w:tcW w:w="780" w:type="dxa"/>
            <w:vAlign w:val="bottom"/>
          </w:tcPr>
          <w:p>
            <w:pPr>
              <w:spacing w:after="0"/>
              <w:rPr>
                <w:sz w:val="18"/>
                <w:szCs w:val="18"/>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Nonstatutory Stock Option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10-Q</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(000-27231)</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10.3</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11/24/2004</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(000-27231)</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10.44</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08/01/2005</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2005 Equity Incentive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(333-127060)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99.2</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 Option Agreement pursuant to the 2005</w:t>
            </w: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08/01/2005</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Equity Incentive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(333-127060)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99.1</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Agreement and Form of</w:t>
            </w:r>
          </w:p>
        </w:tc>
        <w:tc>
          <w:tcPr>
            <w:tcW w:w="1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Notice of Grant of Restricted Stock Units under the 2005</w:t>
            </w:r>
          </w:p>
        </w:tc>
        <w:tc>
          <w:tcPr>
            <w:tcW w:w="14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01/17/2007</w:t>
            </w:r>
          </w:p>
        </w:tc>
        <w:tc>
          <w:tcPr>
            <w:tcW w:w="780" w:type="dxa"/>
            <w:vAlign w:val="bottom"/>
          </w:tcPr>
          <w:p>
            <w:pPr>
              <w:spacing w:after="0"/>
              <w:rPr>
                <w:sz w:val="18"/>
                <w:szCs w:val="18"/>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Equity Incentive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(000-27231)</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99.3</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04/08/2011</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Herley Industries, Inc. 1996 Stock Option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(333-173383)</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4.10</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04/08/2011</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Herley Industries, Inc. 1997 Stock Option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(333-173383)</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5"/>
              </w:rPr>
              <w:t>4.11</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04/08/2011</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Herley Industries, Inc. 1998 Stock Option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(333-173383)</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4.12</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04/08/2011</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Herley Industries, Inc. 2000 Stock Option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(333-173383)</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4.13</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04/08/2011</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Herley Industries, Inc. 2003 Stock Option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(333-173383)</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4.14</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Herley Industries, Inc. Amended and Restated 2006 New</w:t>
            </w: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04/08/2011</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Option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(333-173383)</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4.15</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04/15/2011</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2011 Equity Incentive Plan.</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DEF 14A</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Form of Notice of Grant of Restricted Stock Units and</w:t>
            </w:r>
          </w:p>
        </w:tc>
        <w:tc>
          <w:tcPr>
            <w:tcW w:w="1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 Award Agreement pursuant to the</w:t>
            </w:r>
          </w:p>
        </w:tc>
        <w:tc>
          <w:tcPr>
            <w:tcW w:w="14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11/18/2011</w:t>
            </w:r>
          </w:p>
        </w:tc>
        <w:tc>
          <w:tcPr>
            <w:tcW w:w="780" w:type="dxa"/>
            <w:vAlign w:val="bottom"/>
          </w:tcPr>
          <w:p>
            <w:pPr>
              <w:spacing w:after="0"/>
              <w:rPr>
                <w:sz w:val="18"/>
                <w:szCs w:val="18"/>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2011 Equity Incentive Plan.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10.2</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04/11/2014</w:t>
            </w:r>
          </w:p>
        </w:tc>
        <w:tc>
          <w:tcPr>
            <w:tcW w:w="780" w:type="dxa"/>
            <w:vAlign w:val="bottom"/>
          </w:tcPr>
          <w:p>
            <w:pPr>
              <w:spacing w:after="0"/>
              <w:rPr>
                <w:sz w:val="21"/>
                <w:szCs w:val="21"/>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2014 Equity Incentive Plan.</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DEF 14A</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w:t>
            </w:r>
          </w:p>
        </w:tc>
      </w:tr>
      <w:tr>
        <w:trPr>
          <w:trHeight w:val="486"/>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55</w:t>
            </w: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108" w:right="1440"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414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Grant &amp; Notice and Form</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of Restricted Stock Unit Award Agreement pursuant to</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the 2014 Equity Incentive Plan.</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July 22, 2010, by</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and between Kratos Government Solutions, Inc. and</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David Carter.</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w w:val="99"/>
              </w:rPr>
              <w:t>First Amendment to Employment Agreement, dated as of</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August 4, 2011, by and between Kratos Defense</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Solutions, Inc. and David Carter.</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Executive Employment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Agreement, dated as of August 4, 2011, by and between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Kratos Defense &amp; Security Solutions, Inc. and Eric</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DeMarco.</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Second Amended and Restated Severance and Change of</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Control Agreement, dated as of August 4, 2011, by and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between Kratos Defense &amp; Security Solutions, Inc. and</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Deanna Lund.</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w w:val="99"/>
              </w:rPr>
              <w:t>Amended and Restated Severance and Change of Control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Agreement, dated as of August 4, 2011, by and between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Kratos Defense &amp; Security Solutions, Inc. and Deborah</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 Butera.</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August 4, 2011, by</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and between Kratos Public Safety &amp; Security</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Solutions, Inc. and Ben Goodwin.</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Sublease Agreement, dated as of December 17, 2009, by</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and between Amylin Pharmaceuticals, Inc., as Sublessor,</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and Kratos Defense &amp; Security Solutions, Inc., as</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Sublessee.</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Purchase Agreement, dated as of May 12, 2010, by and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among Kratos Defense &amp; Security Solutions, Inc., the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Subsidiary Guarantors set forth therein, Jefferies &amp;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Company, Inc., B. Riley &amp; Co., LLC, Imperial Capital,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LLC, Keybanc Capital Markets Inc. and Noble</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Investments, Inc.</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Security Agreement, dated as of May 19, 2010, by and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among Kratos Defense &amp; Security Solutions, Inc., the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Guarantors set forth therein and Wilmington Trust FSB,</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as Collateral Agent.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Intercreditor Agreement, dated as of May 19, 2010, by</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and among Wilmington Trust FSB, as Indenture Agent,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and KeyBank National Association, as Credit Facility</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Agent.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dated as of March 3, 2010, among</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Kratos Defense &amp; Security Solutions, Inc., KeyBank</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National Association, as Administrative Agent and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Lender, Bank of America, N.A., as Syndication Agent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and Lender, and the other financial institutions parties,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thereto with Keybanc Capital Markets and Banc of</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America Securities, LLC as Co-Lead Arrangers and</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Book Runners.</w:t>
            </w:r>
          </w:p>
        </w:tc>
      </w:tr>
    </w:tbl>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11/07/2014</w:t>
            </w:r>
          </w:p>
        </w:tc>
        <w:tc>
          <w:tcPr>
            <w:tcW w:w="80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8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10.1</w:t>
            </w:r>
          </w:p>
        </w:tc>
      </w:tr>
      <w:tr>
        <w:trPr>
          <w:trHeight w:val="468"/>
        </w:trPr>
        <w:tc>
          <w:tcPr>
            <w:tcW w:w="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03/02/2011</w:t>
            </w:r>
          </w:p>
        </w:tc>
        <w:tc>
          <w:tcPr>
            <w:tcW w:w="8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8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10.15</w:t>
            </w:r>
          </w:p>
        </w:tc>
      </w:tr>
      <w:tr>
        <w:trPr>
          <w:trHeight w:val="468"/>
        </w:trPr>
        <w:tc>
          <w:tcPr>
            <w:tcW w:w="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11/04/2011</w:t>
            </w:r>
          </w:p>
        </w:tc>
        <w:tc>
          <w:tcPr>
            <w:tcW w:w="8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8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10.9</w:t>
            </w:r>
          </w:p>
        </w:tc>
      </w:tr>
      <w:tr>
        <w:trPr>
          <w:trHeight w:val="684"/>
        </w:trPr>
        <w:tc>
          <w:tcPr>
            <w:tcW w:w="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08/04/2011</w:t>
            </w:r>
          </w:p>
        </w:tc>
        <w:tc>
          <w:tcPr>
            <w:tcW w:w="8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8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10.3</w:t>
            </w:r>
          </w:p>
        </w:tc>
      </w:tr>
      <w:tr>
        <w:trPr>
          <w:trHeight w:val="684"/>
        </w:trPr>
        <w:tc>
          <w:tcPr>
            <w:tcW w:w="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08/04/2011</w:t>
            </w:r>
          </w:p>
        </w:tc>
        <w:tc>
          <w:tcPr>
            <w:tcW w:w="8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8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10.4</w:t>
            </w:r>
          </w:p>
        </w:tc>
      </w:tr>
      <w:tr>
        <w:trPr>
          <w:trHeight w:val="684"/>
        </w:trPr>
        <w:tc>
          <w:tcPr>
            <w:tcW w:w="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08/04/2011</w:t>
            </w:r>
          </w:p>
        </w:tc>
        <w:tc>
          <w:tcPr>
            <w:tcW w:w="8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8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10.8</w:t>
            </w:r>
          </w:p>
        </w:tc>
      </w:tr>
      <w:tr>
        <w:trPr>
          <w:trHeight w:val="468"/>
        </w:trPr>
        <w:tc>
          <w:tcPr>
            <w:tcW w:w="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11/04/2011</w:t>
            </w:r>
          </w:p>
        </w:tc>
        <w:tc>
          <w:tcPr>
            <w:tcW w:w="8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8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10.10</w:t>
            </w:r>
          </w:p>
        </w:tc>
      </w:tr>
      <w:tr>
        <w:trPr>
          <w:trHeight w:val="684"/>
        </w:trPr>
        <w:tc>
          <w:tcPr>
            <w:tcW w:w="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03/11/2010</w:t>
            </w:r>
          </w:p>
        </w:tc>
        <w:tc>
          <w:tcPr>
            <w:tcW w:w="80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8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10.26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05/25/2010</w:t>
            </w:r>
          </w:p>
        </w:tc>
        <w:tc>
          <w:tcPr>
            <w:tcW w:w="7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84"/>
        </w:trPr>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05/25/2010</w:t>
            </w:r>
          </w:p>
        </w:tc>
        <w:tc>
          <w:tcPr>
            <w:tcW w:w="74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684"/>
        </w:trPr>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05/25/2010</w:t>
            </w:r>
          </w:p>
        </w:tc>
        <w:tc>
          <w:tcPr>
            <w:tcW w:w="74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03/08/2010</w:t>
      </w:r>
    </w:p>
    <w:p>
      <w:pPr>
        <w:spacing w:after="0" w:line="27" w:lineRule="exact"/>
        <w:rPr>
          <w:sz w:val="20"/>
          <w:szCs w:val="20"/>
          <w:color w:val="auto"/>
        </w:rPr>
      </w:pPr>
    </w:p>
    <w:p>
      <w:pPr>
        <w:ind w:left="40"/>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10.1</w:t>
      </w:r>
    </w:p>
    <w:p>
      <w:pPr>
        <w:sectPr>
          <w:pgSz w:w="11900" w:h="16838" w:orient="portrait"/>
          <w:cols w:equalWidth="0" w:num="2">
            <w:col w:w="5800" w:space="340"/>
            <w:col w:w="4079"/>
          </w:cols>
          <w:pgMar w:left="240" w:top="108"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416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Agreement, dated as of December 13,</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2010, by and among Kratos Defense &amp; Security</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Solutions, Inc., as Borrower, the Lenders named therein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and KeyBank National Association, as Lead Arranger,</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Sole Book Runner and Administrative Agent.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Agreement, dated as of February 7,</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2011, among Kratos Defense &amp; Security Solutions, Inc.,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the Lenders named therein and KeyBank National</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Association.</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Purchase Agreement, dated March 22, 2011, by and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among Kratos Defense &amp; Security Solutions, Inc.,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 Lanza Parent, Lanza Acquisition Co.,</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Jefferies &amp; Company, Inc., KeyBanc Capital Markets,</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Inc. and Oppenheimer &amp; Co. Inc.</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Security Agreement, dated March 25, 2011, by and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among Acquisition Co. Lanza Parent, the Grantors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named therein and Wilmington Trust FSB, as Collateral</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Agent.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Credit and Security Agreement, dated as of May 19,</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2010, as amended and restated as of July 27, 2011,</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among Kratos Defense &amp; Security Solutions, Inc., as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Borrower, the Lenders named therein and KeyBank</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National Association, as Lead Arranger, Sole Book</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Runner and Administrative Agent.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Agreement, dated as of November 14,</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2011, by and among Kratos Defense &amp; Security</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Solutions, Inc., as Borrower, the Lenders named therein,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and Key Bank National Association, as Lead Arranger,</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10.36</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Sole Book Runner and Administrative Agent.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Purchase Agreement, dated July 14, 2011, by and among</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Kratos Defense &amp; Security Solutions, Inc., the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Guarantors named therein, Jefferies &amp; Company, Inc.,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KeyBanc Capital Markets Inc. and B. Riley &amp; Co., LLC,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w w:val="99"/>
              </w:rPr>
              <w:t>as amended by that certain Joinder Agreement, dated July</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27, 2011.</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Stipulation and Agreement of Settlement of Derivative</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10.38</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Claims, dated as of January 5, 2010.</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Herley Industries, Inc. Amended and Restated 2010</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Stock Plan, and the related Form of Notice of Grant of</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and Restricted Stock Unit Award</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10.39#</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w w:val="99"/>
              </w:rPr>
              <w:t>Amended and Restated Integral Systems, Inc. 2008 Stock</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Incentive Plan, and the related Form of Notice of Grant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of Restricted Stock Units and Restricted Stock Units and</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 Award Agreement.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to Credit and Security Agreement,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dated as of May 4, 2012, among Kratos Defense &amp;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Security Solutions, Inc., the Lenders named therein, and</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KeyBank National Association.</w:t>
            </w:r>
          </w:p>
        </w:tc>
      </w:tr>
    </w:tbl>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12/16/2010</w:t>
      </w:r>
    </w:p>
    <w:p>
      <w:pPr>
        <w:spacing w:after="0" w:line="27" w:lineRule="exact"/>
        <w:rPr>
          <w:sz w:val="20"/>
          <w:szCs w:val="20"/>
          <w:color w:val="auto"/>
        </w:rPr>
      </w:pPr>
    </w:p>
    <w:p>
      <w:pPr>
        <w:ind w:left="40"/>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7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02/07/2011</w:t>
      </w:r>
    </w:p>
    <w:p>
      <w:pPr>
        <w:spacing w:after="0" w:line="27" w:lineRule="exact"/>
        <w:rPr>
          <w:sz w:val="20"/>
          <w:szCs w:val="20"/>
          <w:color w:val="auto"/>
        </w:rPr>
      </w:pPr>
    </w:p>
    <w:p>
      <w:pPr>
        <w:ind w:left="40"/>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03/29/2011</w:t>
      </w:r>
    </w:p>
    <w:p>
      <w:pPr>
        <w:spacing w:after="0" w:line="27" w:lineRule="exact"/>
        <w:rPr>
          <w:sz w:val="20"/>
          <w:szCs w:val="20"/>
          <w:color w:val="auto"/>
        </w:rPr>
      </w:pPr>
    </w:p>
    <w:p>
      <w:pPr>
        <w:ind w:left="40"/>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7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03/29/2011</w:t>
      </w:r>
    </w:p>
    <w:p>
      <w:pPr>
        <w:spacing w:after="0" w:line="27" w:lineRule="exact"/>
        <w:rPr>
          <w:sz w:val="20"/>
          <w:szCs w:val="20"/>
          <w:color w:val="auto"/>
        </w:rPr>
      </w:pPr>
    </w:p>
    <w:p>
      <w:pPr>
        <w:ind w:left="40"/>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07/29/2011</w:t>
      </w:r>
    </w:p>
    <w:p>
      <w:pPr>
        <w:spacing w:after="0" w:line="27" w:lineRule="exact"/>
        <w:rPr>
          <w:sz w:val="20"/>
          <w:szCs w:val="20"/>
          <w:color w:val="auto"/>
        </w:rPr>
      </w:pPr>
    </w:p>
    <w:p>
      <w:pPr>
        <w:ind w:left="40"/>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11/18/2011</w:t>
      </w:r>
    </w:p>
    <w:p>
      <w:pPr>
        <w:spacing w:after="0" w:line="27" w:lineRule="exact"/>
        <w:rPr>
          <w:sz w:val="20"/>
          <w:szCs w:val="20"/>
          <w:color w:val="auto"/>
        </w:rPr>
      </w:pPr>
    </w:p>
    <w:p>
      <w:pPr>
        <w:ind w:left="40"/>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11/04/2011</w:t>
            </w:r>
          </w:p>
        </w:tc>
        <w:tc>
          <w:tcPr>
            <w:tcW w:w="720" w:type="dxa"/>
            <w:vAlign w:val="bottom"/>
          </w:tcPr>
          <w:p>
            <w:pPr>
              <w:spacing w:after="0"/>
              <w:rPr>
                <w:sz w:val="18"/>
                <w:szCs w:val="18"/>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10-Q</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52"/>
        </w:trPr>
        <w:tc>
          <w:tcPr>
            <w:tcW w:w="76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04/29/2010</w:t>
            </w:r>
          </w:p>
        </w:tc>
        <w:tc>
          <w:tcPr>
            <w:tcW w:w="720" w:type="dxa"/>
            <w:vAlign w:val="bottom"/>
          </w:tcPr>
          <w:p>
            <w:pPr>
              <w:spacing w:after="0"/>
              <w:rPr>
                <w:sz w:val="21"/>
                <w:szCs w:val="21"/>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10-Q</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684"/>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03/08/2012</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S-8</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(333-179977)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684"/>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03/08/2012</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S-8</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(333-179977)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684"/>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05/08/2012</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ectPr>
          <w:pgSz w:w="11900" w:h="16838" w:orient="portrait"/>
          <w:cols w:equalWidth="0" w:num="2">
            <w:col w:w="5800" w:space="340"/>
            <w:col w:w="4079"/>
          </w:cols>
          <w:pgMar w:left="240" w:top="108" w:right="1440"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418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to Credit and Security Agreement,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dated as of May 8, 2012, among Kratos Defense &amp;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Security Solutions, Inc., the Lenders named therein, and</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KeyBank National Association.</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Standstill Agreement, dated May 14, 2012, between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Kratos Defense &amp; Security Solutions, Inc., Bandel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Carano, Oak Investment Partners IX, L.P., Oak IX</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w w:val="98"/>
              </w:rPr>
              <w:t>Affiliates Fund, L.P., Oak IX Affiliates Fund-A, L.P., Oak</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X Affiliates Fund, L.P., Oak Investment Partners X, L.P.,</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10.43</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and Oak Investment Partners XIII, L.P.</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Form of Notice of Grant of Restricted Stock Units and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 Award Agreement, entered into</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between Kratos Defense &amp; Security Solutions, Inc. and</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certain employees of Composite Engineering, Inc.</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Fourth Amendment to Credit and Security Agreement,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dated as of February 27, 2013, among Kratos Defense &amp;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Security Solutions, Inc., the Lenders named therein, and</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KeyBank National Association.</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effective January 17, 2014, by</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and between Kratos Defense &amp; Security Solutions, Inc.</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and Phil Carrai.</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effective January 1, 2015, by</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and between Kratos Defense &amp; Security Solutions, Inc.</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and Richard Poirier.</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Bonus Agreement, dated June 1, 2015, by and between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Kratos Defense &amp; Security Solutions, Inc. and Richard</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10.48#</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Poirier.</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Credit and Security Agreement, dated as of May 14,</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2014, among Kratos Defense &amp; Security Solutions, Inc.,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as Borrower, the Lenders named therein, SunTrust Bank,</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as Agent, PNC Bank, National Association, as Joint Lead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Arranger and Documentation Agent, and SunTrust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Robinson Humphrey, Inc., as Joint Lead Arranger and</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10.49</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Sole Book Runner.</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to Credit and Security Agreement,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dated May 31, 2015, among Kratos Defense &amp; Security</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Solutions, Inc., as Borrower, each of the Credit Parties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w w:val="99"/>
              </w:rPr>
              <w:t>and Required Lenders party thereto and SunTrust Bank as</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Agent.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Fourth Amendment to Credit and Security Agreement,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20, 2015, among Kratos Defense &amp;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Security Solutions, Inc., as Borrower, each of the Credit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Parties and Required Lenders party thereto and SunTrust</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10.51</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Bank as Agent.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Preferability Letter, dated March 13, 2015, provided by</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Deloitte &amp; Touche LLP.</w:t>
            </w:r>
          </w:p>
        </w:tc>
      </w:tr>
      <w:tr>
        <w:trPr>
          <w:trHeight w:val="27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3"/>
                <w:szCs w:val="23"/>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Firm.</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w:t>
            </w: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tc>
      </w:tr>
    </w:tbl>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05/08/2012</w:t>
      </w:r>
    </w:p>
    <w:p>
      <w:pPr>
        <w:spacing w:after="0" w:line="27" w:lineRule="exact"/>
        <w:rPr>
          <w:sz w:val="20"/>
          <w:szCs w:val="20"/>
          <w:color w:val="auto"/>
        </w:rPr>
      </w:pPr>
    </w:p>
    <w:p>
      <w:pPr>
        <w:ind w:left="40"/>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05/15/2012</w:t>
      </w:r>
    </w:p>
    <w:p>
      <w:pPr>
        <w:spacing w:after="0" w:line="27" w:lineRule="exact"/>
        <w:rPr>
          <w:sz w:val="20"/>
          <w:szCs w:val="20"/>
          <w:color w:val="auto"/>
        </w:rPr>
      </w:pPr>
    </w:p>
    <w:p>
      <w:pPr>
        <w:ind w:left="40"/>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7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07/27/2012</w:t>
      </w:r>
    </w:p>
    <w:p>
      <w:pPr>
        <w:spacing w:after="0" w:line="27" w:lineRule="exact"/>
        <w:rPr>
          <w:sz w:val="20"/>
          <w:szCs w:val="20"/>
          <w:color w:val="auto"/>
        </w:rPr>
      </w:pPr>
    </w:p>
    <w:p>
      <w:pPr>
        <w:ind w:left="60"/>
        <w:spacing w:after="0"/>
        <w:tabs>
          <w:tab w:leader="none" w:pos="1140" w:val="left"/>
          <w:tab w:leader="none" w:pos="294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8"/>
          <w:szCs w:val="18"/>
          <w:color w:val="auto"/>
        </w:rPr>
        <w:t>(333-182910)</w:t>
      </w:r>
      <w:r>
        <w:rPr>
          <w:sz w:val="20"/>
          <w:szCs w:val="20"/>
          <w:color w:val="auto"/>
        </w:rPr>
        <w:tab/>
      </w:r>
      <w:r>
        <w:rPr>
          <w:rFonts w:ascii="Times New Roman" w:cs="Times New Roman" w:eastAsia="Times New Roman" w:hAnsi="Times New Roman"/>
          <w:sz w:val="18"/>
          <w:szCs w:val="18"/>
          <w:color w:val="auto"/>
        </w:rPr>
        <w:t>4.12</w:t>
      </w:r>
    </w:p>
    <w:p>
      <w:pPr>
        <w:spacing w:after="0" w:line="200" w:lineRule="exact"/>
        <w:rPr>
          <w:sz w:val="20"/>
          <w:szCs w:val="20"/>
          <w:color w:val="auto"/>
        </w:rPr>
      </w:pPr>
    </w:p>
    <w:p>
      <w:pPr>
        <w:spacing w:after="0" w:line="27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05/09/2013</w:t>
      </w:r>
    </w:p>
    <w:p>
      <w:pPr>
        <w:spacing w:after="0" w:line="27" w:lineRule="exact"/>
        <w:rPr>
          <w:sz w:val="20"/>
          <w:szCs w:val="20"/>
          <w:color w:val="auto"/>
        </w:rPr>
      </w:pPr>
    </w:p>
    <w:p>
      <w:pPr>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10.1</w:t>
      </w:r>
    </w:p>
    <w:p>
      <w:pPr>
        <w:spacing w:after="0" w:line="26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01/22/2014</w:t>
      </w:r>
    </w:p>
    <w:p>
      <w:pPr>
        <w:spacing w:after="0" w:line="27" w:lineRule="exact"/>
        <w:rPr>
          <w:sz w:val="20"/>
          <w:szCs w:val="20"/>
          <w:color w:val="auto"/>
        </w:rPr>
      </w:pPr>
    </w:p>
    <w:p>
      <w:pPr>
        <w:ind w:left="40"/>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10.1</w:t>
      </w:r>
    </w:p>
    <w:p>
      <w:pPr>
        <w:spacing w:after="0" w:line="26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03/12/2015</w:t>
      </w:r>
    </w:p>
    <w:p>
      <w:pPr>
        <w:spacing w:after="0" w:line="27" w:lineRule="exact"/>
        <w:rPr>
          <w:sz w:val="20"/>
          <w:szCs w:val="20"/>
          <w:color w:val="auto"/>
        </w:rPr>
      </w:pPr>
    </w:p>
    <w:p>
      <w:pPr>
        <w:ind w:left="40"/>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10.1</w:t>
      </w:r>
    </w:p>
    <w:p>
      <w:pPr>
        <w:spacing w:after="0" w:line="26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06/02/2015</w:t>
      </w:r>
    </w:p>
    <w:p>
      <w:pPr>
        <w:spacing w:after="0" w:line="27" w:lineRule="exact"/>
        <w:rPr>
          <w:sz w:val="20"/>
          <w:szCs w:val="20"/>
          <w:color w:val="auto"/>
        </w:rPr>
      </w:pPr>
    </w:p>
    <w:p>
      <w:pPr>
        <w:ind w:left="40"/>
        <w:spacing w:after="0"/>
        <w:tabs>
          <w:tab w:leader="none" w:pos="1180" w:val="left"/>
          <w:tab w:leader="none" w:pos="2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(001-34460)</w:t>
      </w:r>
      <w:r>
        <w:rPr>
          <w:sz w:val="20"/>
          <w:szCs w:val="20"/>
          <w:color w:val="auto"/>
        </w:rPr>
        <w:tab/>
      </w: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05/15/2014</w:t>
            </w:r>
          </w:p>
        </w:tc>
        <w:tc>
          <w:tcPr>
            <w:tcW w:w="740" w:type="dxa"/>
            <w:vAlign w:val="bottom"/>
          </w:tcPr>
          <w:p>
            <w:pPr>
              <w:spacing w:after="0"/>
              <w:rPr>
                <w:sz w:val="18"/>
                <w:szCs w:val="18"/>
                <w:color w:val="auto"/>
              </w:rPr>
            </w:pPr>
          </w:p>
        </w:tc>
      </w:tr>
      <w:tr>
        <w:trPr>
          <w:trHeight w:val="234"/>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900"/>
        </w:trPr>
        <w:tc>
          <w:tcPr>
            <w:tcW w:w="7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08/06/2015</w:t>
            </w:r>
          </w:p>
        </w:tc>
        <w:tc>
          <w:tcPr>
            <w:tcW w:w="740" w:type="dxa"/>
            <w:vAlign w:val="bottom"/>
          </w:tcPr>
          <w:p>
            <w:pPr>
              <w:spacing w:after="0"/>
              <w:rPr>
                <w:sz w:val="24"/>
                <w:szCs w:val="24"/>
                <w:color w:val="auto"/>
              </w:rPr>
            </w:pPr>
          </w:p>
        </w:tc>
      </w:tr>
      <w:tr>
        <w:trPr>
          <w:trHeight w:val="234"/>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900"/>
        </w:trPr>
        <w:tc>
          <w:tcPr>
            <w:tcW w:w="7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08/24/2015</w:t>
            </w:r>
          </w:p>
        </w:tc>
        <w:tc>
          <w:tcPr>
            <w:tcW w:w="740" w:type="dxa"/>
            <w:vAlign w:val="bottom"/>
          </w:tcPr>
          <w:p>
            <w:pPr>
              <w:spacing w:after="0"/>
              <w:rPr>
                <w:sz w:val="24"/>
                <w:szCs w:val="24"/>
                <w:color w:val="auto"/>
              </w:rPr>
            </w:pPr>
          </w:p>
        </w:tc>
      </w:tr>
      <w:tr>
        <w:trPr>
          <w:trHeight w:val="234"/>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10-K</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03/13/2015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36"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5800" w:space="340"/>
            <w:col w:w="4079"/>
          </w:cols>
          <w:pgMar w:left="240" w:top="108"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648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w:t>
            </w:r>
          </w:p>
        </w:tc>
        <w:tc>
          <w:tcPr>
            <w:tcW w:w="2400" w:type="dxa"/>
            <w:vAlign w:val="bottom"/>
          </w:tcPr>
          <w:p>
            <w:pPr>
              <w:spacing w:after="0"/>
              <w:rPr>
                <w:sz w:val="24"/>
                <w:szCs w:val="24"/>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w:t>
            </w:r>
          </w:p>
        </w:tc>
        <w:tc>
          <w:tcPr>
            <w:tcW w:w="240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w:t>
            </w:r>
          </w:p>
        </w:tc>
        <w:tc>
          <w:tcPr>
            <w:tcW w:w="2400" w:type="dxa"/>
            <w:vAlign w:val="bottom"/>
          </w:tcPr>
          <w:p>
            <w:pPr>
              <w:spacing w:after="0"/>
              <w:rPr>
                <w:sz w:val="18"/>
                <w:szCs w:val="18"/>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Act of 2002 for Eric M. DeMarco.</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w:t>
            </w:r>
          </w:p>
        </w:tc>
        <w:tc>
          <w:tcPr>
            <w:tcW w:w="240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w:t>
            </w:r>
          </w:p>
        </w:tc>
        <w:tc>
          <w:tcPr>
            <w:tcW w:w="2400" w:type="dxa"/>
            <w:vAlign w:val="bottom"/>
          </w:tcPr>
          <w:p>
            <w:pPr>
              <w:spacing w:after="0"/>
              <w:rPr>
                <w:sz w:val="18"/>
                <w:szCs w:val="18"/>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Act of 2002 for Deanna Lund.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 from the Annual Report on</w:t>
            </w:r>
          </w:p>
        </w:tc>
        <w:tc>
          <w:tcPr>
            <w:tcW w:w="240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Form 10K of Kratos Defense &amp; Security Solutions, Inc.</w:t>
            </w:r>
          </w:p>
        </w:tc>
        <w:tc>
          <w:tcPr>
            <w:tcW w:w="2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27, 2015, formatted in</w:t>
            </w:r>
          </w:p>
        </w:tc>
        <w:tc>
          <w:tcPr>
            <w:tcW w:w="2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XBRL: (i) the Consolidated Balance Sheets, (ii) the</w:t>
            </w:r>
          </w:p>
        </w:tc>
        <w:tc>
          <w:tcPr>
            <w:tcW w:w="2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and</w:t>
            </w:r>
          </w:p>
        </w:tc>
        <w:tc>
          <w:tcPr>
            <w:tcW w:w="2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(iii) the Consolidated Statements of</w:t>
            </w:r>
          </w:p>
        </w:tc>
        <w:tc>
          <w:tcPr>
            <w:tcW w:w="2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Flows, (iv) the Notes to the Consolidated Financial</w:t>
            </w:r>
          </w:p>
        </w:tc>
        <w:tc>
          <w:tcPr>
            <w:tcW w:w="2400" w:type="dxa"/>
            <w:vAlign w:val="bottom"/>
          </w:tcPr>
          <w:p>
            <w:pPr>
              <w:spacing w:after="0"/>
              <w:rPr>
                <w:sz w:val="18"/>
                <w:szCs w:val="18"/>
                <w:color w:val="auto"/>
              </w:rPr>
            </w:pPr>
          </w:p>
        </w:tc>
      </w:tr>
      <w:tr>
        <w:trPr>
          <w:trHeight w:val="234"/>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Statements.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firstLine="8"/>
        <w:spacing w:after="0" w:line="282" w:lineRule="auto"/>
        <w:tabs>
          <w:tab w:leader="none" w:pos="28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6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00"/>
          </w:cols>
          <w:pgMar w:left="240" w:top="108" w:right="7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397" w:lineRule="exact"/>
        <w:rPr>
          <w:sz w:val="20"/>
          <w:szCs w:val="20"/>
          <w:color w:val="auto"/>
        </w:rPr>
      </w:pPr>
    </w:p>
    <w:p>
      <w:pPr>
        <w:ind w:left="660" w:right="8760" w:hanging="652"/>
        <w:spacing w:after="0" w:line="533" w:lineRule="auto"/>
        <w:tabs>
          <w:tab w:leader="none" w:pos="257"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 Schedules </w:t>
      </w:r>
      <w:r>
        <w:rPr>
          <w:rFonts w:ascii="Times New Roman" w:cs="Times New Roman" w:eastAsia="Times New Roman" w:hAnsi="Times New Roman"/>
          <w:sz w:val="17"/>
          <w:szCs w:val="17"/>
          <w:color w:val="auto"/>
        </w:rPr>
        <w:t>See Item 15(a)(2) above.</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2016</w:t>
      </w:r>
    </w:p>
    <w:p>
      <w:pPr>
        <w:spacing w:after="0" w:line="38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7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6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Eric M. DeMarco</w:t>
            </w:r>
          </w:p>
        </w:tc>
      </w:tr>
      <w:tr>
        <w:trPr>
          <w:trHeight w:val="41"/>
        </w:trPr>
        <w:tc>
          <w:tcPr>
            <w:tcW w:w="560" w:type="dxa"/>
            <w:vAlign w:val="bottom"/>
          </w:tcPr>
          <w:p>
            <w:pPr>
              <w:spacing w:after="0"/>
              <w:rPr>
                <w:sz w:val="3"/>
                <w:szCs w:val="3"/>
                <w:color w:val="auto"/>
              </w:rPr>
            </w:pPr>
          </w:p>
        </w:tc>
        <w:tc>
          <w:tcPr>
            <w:tcW w:w="6080" w:type="dxa"/>
            <w:vAlign w:val="bottom"/>
            <w:tcBorders>
              <w:bottom w:val="single" w:sz="8" w:color="auto"/>
            </w:tcBorders>
          </w:tcPr>
          <w:p>
            <w:pPr>
              <w:spacing w:after="0"/>
              <w:rPr>
                <w:sz w:val="3"/>
                <w:szCs w:val="3"/>
                <w:color w:val="auto"/>
              </w:rPr>
            </w:pPr>
          </w:p>
        </w:tc>
      </w:tr>
      <w:tr>
        <w:trPr>
          <w:trHeight w:val="230"/>
        </w:trPr>
        <w:tc>
          <w:tcPr>
            <w:tcW w:w="560" w:type="dxa"/>
            <w:vAlign w:val="bottom"/>
          </w:tcPr>
          <w:p>
            <w:pPr>
              <w:spacing w:after="0"/>
              <w:rPr>
                <w:sz w:val="19"/>
                <w:szCs w:val="19"/>
                <w:color w:val="auto"/>
              </w:rPr>
            </w:pPr>
          </w:p>
        </w:tc>
        <w:tc>
          <w:tcPr>
            <w:tcW w:w="6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M. DeMarco</w:t>
            </w:r>
          </w:p>
        </w:tc>
      </w:tr>
      <w:tr>
        <w:trPr>
          <w:trHeight w:val="230"/>
        </w:trPr>
        <w:tc>
          <w:tcPr>
            <w:tcW w:w="560" w:type="dxa"/>
            <w:vAlign w:val="bottom"/>
          </w:tcPr>
          <w:p>
            <w:pPr>
              <w:spacing w:after="0"/>
              <w:rPr>
                <w:sz w:val="19"/>
                <w:szCs w:val="19"/>
                <w:color w:val="auto"/>
              </w:rPr>
            </w:pPr>
          </w:p>
        </w:tc>
        <w:tc>
          <w:tcPr>
            <w:tcW w:w="6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 (Principal</w:t>
            </w: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Executive Officer)</w:t>
            </w:r>
          </w:p>
        </w:tc>
      </w:tr>
    </w:tbl>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60"/>
          </w:cols>
          <w:pgMar w:left="240" w:top="121" w:right="299" w:bottom="1440" w:gutter="0" w:footer="0" w:header="0"/>
        </w:sectPr>
      </w:pPr>
    </w:p>
    <w:bookmarkStart w:id="61" w:name="page62"/>
    <w:bookmarkEnd w:id="61"/>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48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Date</w:t>
      </w:r>
    </w:p>
    <w:p>
      <w:pPr>
        <w:spacing w:after="0" w:line="200" w:lineRule="exact"/>
        <w:rPr>
          <w:sz w:val="20"/>
          <w:szCs w:val="20"/>
          <w:color w:val="auto"/>
        </w:rPr>
      </w:pPr>
    </w:p>
    <w:p>
      <w:pPr>
        <w:sectPr>
          <w:pgSz w:w="11900" w:h="16838" w:orient="portrait"/>
          <w:cols w:equalWidth="0" w:num="2">
            <w:col w:w="3940" w:space="720"/>
            <w:col w:w="6260"/>
          </w:cols>
          <w:pgMar w:left="240" w:top="121" w:right="739" w:bottom="1440" w:gutter="0" w:footer="0" w:header="0"/>
        </w:sectPr>
      </w:pPr>
    </w:p>
    <w:p>
      <w:pPr>
        <w:spacing w:after="0" w:line="346"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Eric M. DeMarco</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Eric M. DeMarco</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Deanna H. Lund</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Deanna H. Lund</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7"/>
          <w:szCs w:val="17"/>
          <w:color w:val="auto"/>
        </w:rPr>
        <w:t>/s/ Richard Duckworth</w:t>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Richard Duckworth</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Scott Anderson</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Scott Anderson</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Bandel Carano</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Bandel Carano</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William Hoglund</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William Hoglund</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Scot Jarvis</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Scot Jarvis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Jane E. Judd</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Jane E. Judd</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Sam Liberatore</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Sam Liberatore</w:t>
      </w:r>
    </w:p>
    <w:p>
      <w:pPr>
        <w:spacing w:after="0" w:line="200" w:lineRule="exact"/>
        <w:rPr>
          <w:sz w:val="20"/>
          <w:szCs w:val="20"/>
          <w:color w:val="auto"/>
        </w:rPr>
      </w:pPr>
    </w:p>
    <w:p>
      <w:pPr>
        <w:spacing w:after="0" w:line="372"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color w:val="auto"/>
        </w:rPr>
        <w:t>/s/ Amy Zegart</w:t>
      </w:r>
    </w:p>
    <w:p>
      <w:pPr>
        <w:spacing w:after="0" w:line="27"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color w:val="auto"/>
        </w:rPr>
        <w:t>Amy Zegart</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President, Chief Executive Officer and Director (Principal Executive Officer)</w:t>
      </w:r>
    </w:p>
    <w:p>
      <w:pPr>
        <w:spacing w:after="0" w:line="200" w:lineRule="exact"/>
        <w:rPr>
          <w:sz w:val="20"/>
          <w:szCs w:val="20"/>
          <w:color w:val="auto"/>
        </w:rPr>
      </w:pPr>
    </w:p>
    <w:p>
      <w:pPr>
        <w:spacing w:after="0" w:line="3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Executive Vice President, Chief Financial Officer (Principal Financial Officer)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ectPr>
          <w:pgSz w:w="11900" w:h="16838" w:orient="portrait"/>
          <w:cols w:equalWidth="0" w:num="3">
            <w:col w:w="3940" w:space="720"/>
            <w:col w:w="4380" w:space="720"/>
            <w:col w:w="1160"/>
          </w:cols>
          <w:pgMar w:left="240" w:top="121" w:right="7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0680" w:type="dxa"/>
            <w:vAlign w:val="bottom"/>
            <w:gridSpan w:val="10"/>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673"/>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500" w:type="dxa"/>
            <w:vAlign w:val="bottom"/>
            <w:gridSpan w:val="6"/>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500" w:type="dxa"/>
            <w:vAlign w:val="bottom"/>
            <w:gridSpan w:val="6"/>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KRATOS DEFENSE &amp; SECURITY SOLUTIONS, INC.</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10640" w:type="dxa"/>
            <w:vAlign w:val="bottom"/>
            <w:gridSpan w:val="9"/>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Report of Independent Registered Public Accounting Firm</w:t>
              </w:r>
            </w:hyperlink>
          </w:p>
        </w:tc>
        <w:tc>
          <w:tcPr>
            <w:tcW w:w="720" w:type="dxa"/>
            <w:vAlign w:val="bottom"/>
            <w:gridSpan w:val="2"/>
          </w:tcPr>
          <w:p>
            <w:pPr>
              <w:ind w:left="460"/>
              <w:spacing w:after="0"/>
              <w:rPr>
                <w:rFonts w:ascii="Times New Roman" w:cs="Times New Roman" w:eastAsia="Times New Roman" w:hAnsi="Times New Roman"/>
                <w:sz w:val="18"/>
                <w:szCs w:val="18"/>
                <w:color w:val="0000EE"/>
                <w:w w:val="95"/>
              </w:rPr>
            </w:pPr>
            <w:hyperlink w:anchor="page63">
              <w:r>
                <w:rPr>
                  <w:rFonts w:ascii="Times New Roman" w:cs="Times New Roman" w:eastAsia="Times New Roman" w:hAnsi="Times New Roman"/>
                  <w:sz w:val="18"/>
                  <w:szCs w:val="18"/>
                  <w:color w:val="0000EE"/>
                  <w:w w:val="95"/>
                </w:rPr>
                <w:t>F-2</w:t>
              </w:r>
            </w:hyperlink>
          </w:p>
        </w:tc>
      </w:tr>
      <w:tr>
        <w:trPr>
          <w:trHeight w:val="20"/>
        </w:trPr>
        <w:tc>
          <w:tcPr>
            <w:tcW w:w="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Consolidated Balance Sheets as of December 28, 2014 and December 27, 2015</w:t>
              </w:r>
            </w:hyperlink>
          </w:p>
        </w:tc>
        <w:tc>
          <w:tcPr>
            <w:tcW w:w="4940" w:type="dxa"/>
            <w:vAlign w:val="bottom"/>
            <w:gridSpan w:val="4"/>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w:anchor="page65">
              <w:r>
                <w:rPr>
                  <w:rFonts w:ascii="Times New Roman" w:cs="Times New Roman" w:eastAsia="Times New Roman" w:hAnsi="Times New Roman"/>
                  <w:sz w:val="18"/>
                  <w:szCs w:val="18"/>
                  <w:color w:val="0000EE"/>
                  <w:w w:val="95"/>
                </w:rPr>
                <w:t>F-4</w:t>
              </w:r>
            </w:hyperlink>
          </w:p>
        </w:tc>
      </w:tr>
      <w:tr>
        <w:trPr>
          <w:trHeight w:val="250"/>
        </w:trPr>
        <w:tc>
          <w:tcPr>
            <w:tcW w:w="40" w:type="dxa"/>
            <w:vAlign w:val="bottom"/>
          </w:tcPr>
          <w:p>
            <w:pPr>
              <w:spacing w:after="0"/>
              <w:rPr>
                <w:sz w:val="21"/>
                <w:szCs w:val="21"/>
                <w:color w:val="auto"/>
              </w:rPr>
            </w:pPr>
          </w:p>
        </w:tc>
        <w:tc>
          <w:tcPr>
            <w:tcW w:w="10640" w:type="dxa"/>
            <w:vAlign w:val="bottom"/>
            <w:gridSpan w:val="9"/>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Consolidated Statements of Operations and Comprehensive Income (Loss) for the Years Ended December 29, 2013, December 28, 2014, and</w:t>
              </w:r>
            </w:hyperlink>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01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December 27, 2015</w:t>
              </w:r>
            </w:hyperlink>
          </w:p>
        </w:tc>
        <w:tc>
          <w:tcPr>
            <w:tcW w:w="480" w:type="dxa"/>
            <w:vAlign w:val="bottom"/>
          </w:tcPr>
          <w:p>
            <w:pPr>
              <w:spacing w:after="0"/>
              <w:rPr>
                <w:sz w:val="17"/>
                <w:szCs w:val="17"/>
                <w:color w:val="auto"/>
              </w:rPr>
            </w:pPr>
          </w:p>
        </w:tc>
        <w:tc>
          <w:tcPr>
            <w:tcW w:w="720" w:type="dxa"/>
            <w:vAlign w:val="bottom"/>
            <w:gridSpan w:val="2"/>
          </w:tcPr>
          <w:p>
            <w:pPr>
              <w:ind w:left="460"/>
              <w:spacing w:after="0" w:line="196" w:lineRule="exact"/>
              <w:rPr>
                <w:rFonts w:ascii="Times New Roman" w:cs="Times New Roman" w:eastAsia="Times New Roman" w:hAnsi="Times New Roman"/>
                <w:sz w:val="18"/>
                <w:szCs w:val="18"/>
                <w:color w:val="0000EE"/>
                <w:w w:val="95"/>
              </w:rPr>
            </w:pPr>
            <w:hyperlink w:anchor="page66">
              <w:r>
                <w:rPr>
                  <w:rFonts w:ascii="Times New Roman" w:cs="Times New Roman" w:eastAsia="Times New Roman" w:hAnsi="Times New Roman"/>
                  <w:sz w:val="18"/>
                  <w:szCs w:val="18"/>
                  <w:color w:val="0000EE"/>
                  <w:w w:val="95"/>
                </w:rPr>
                <w:t>F-5</w:t>
              </w:r>
            </w:hyperlink>
          </w:p>
        </w:tc>
      </w:tr>
      <w:tr>
        <w:trPr>
          <w:trHeight w:val="20"/>
        </w:trPr>
        <w:tc>
          <w:tcPr>
            <w:tcW w:w="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640" w:type="dxa"/>
            <w:vAlign w:val="bottom"/>
            <w:gridSpan w:val="9"/>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Stockholders’ Equity for the Years Ended December 29, 2013, December 28, 2014, and December 27, 2015</w:t>
              </w:r>
            </w:hyperlink>
          </w:p>
        </w:tc>
        <w:tc>
          <w:tcPr>
            <w:tcW w:w="720" w:type="dxa"/>
            <w:vAlign w:val="bottom"/>
            <w:gridSpan w:val="2"/>
          </w:tcPr>
          <w:p>
            <w:pPr>
              <w:ind w:left="460"/>
              <w:spacing w:after="0"/>
              <w:rPr>
                <w:rFonts w:ascii="Times New Roman" w:cs="Times New Roman" w:eastAsia="Times New Roman" w:hAnsi="Times New Roman"/>
                <w:sz w:val="18"/>
                <w:szCs w:val="18"/>
                <w:color w:val="0000EE"/>
                <w:w w:val="95"/>
              </w:rPr>
            </w:pPr>
            <w:hyperlink w:anchor="page67">
              <w:r>
                <w:rPr>
                  <w:rFonts w:ascii="Times New Roman" w:cs="Times New Roman" w:eastAsia="Times New Roman" w:hAnsi="Times New Roman"/>
                  <w:sz w:val="18"/>
                  <w:szCs w:val="18"/>
                  <w:color w:val="0000EE"/>
                  <w:w w:val="95"/>
                </w:rPr>
                <w:t>F-6</w:t>
              </w:r>
            </w:hyperlink>
          </w:p>
        </w:tc>
      </w:tr>
      <w:tr>
        <w:trPr>
          <w:trHeight w:val="250"/>
        </w:trPr>
        <w:tc>
          <w:tcPr>
            <w:tcW w:w="40" w:type="dxa"/>
            <w:vAlign w:val="bottom"/>
          </w:tcPr>
          <w:p>
            <w:pPr>
              <w:spacing w:after="0"/>
              <w:rPr>
                <w:sz w:val="21"/>
                <w:szCs w:val="21"/>
                <w:color w:val="auto"/>
              </w:rPr>
            </w:pPr>
          </w:p>
        </w:tc>
        <w:tc>
          <w:tcPr>
            <w:tcW w:w="978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Consolidated Statements of Cash Flows for the Years Ended December 29, 2013, December 28, 2014, and December 27, 2015</w:t>
              </w:r>
            </w:hyperlink>
          </w:p>
        </w:tc>
        <w:tc>
          <w:tcPr>
            <w:tcW w:w="86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Borders>
              <w:top w:val="single" w:sz="8" w:color="0000EE"/>
            </w:tcBorders>
          </w:tcPr>
          <w:p>
            <w:pPr>
              <w:spacing w:after="0"/>
              <w:rPr>
                <w:rFonts w:ascii="Times New Roman" w:cs="Times New Roman" w:eastAsia="Times New Roman" w:hAnsi="Times New Roman"/>
                <w:sz w:val="18"/>
                <w:szCs w:val="18"/>
                <w:color w:val="0000EE"/>
                <w:w w:val="95"/>
              </w:rPr>
            </w:pPr>
            <w:hyperlink w:anchor="page68">
              <w:r>
                <w:rPr>
                  <w:rFonts w:ascii="Times New Roman" w:cs="Times New Roman" w:eastAsia="Times New Roman" w:hAnsi="Times New Roman"/>
                  <w:sz w:val="18"/>
                  <w:szCs w:val="18"/>
                  <w:color w:val="0000EE"/>
                  <w:w w:val="95"/>
                </w:rPr>
                <w:t>F-7</w:t>
              </w:r>
            </w:hyperlink>
          </w:p>
        </w:tc>
      </w:tr>
      <w:tr>
        <w:trPr>
          <w:trHeight w:val="250"/>
        </w:trPr>
        <w:tc>
          <w:tcPr>
            <w:tcW w:w="40" w:type="dxa"/>
            <w:vAlign w:val="bottom"/>
          </w:tcPr>
          <w:p>
            <w:pPr>
              <w:spacing w:after="0"/>
              <w:rPr>
                <w:sz w:val="21"/>
                <w:szCs w:val="21"/>
                <w:color w:val="auto"/>
              </w:rPr>
            </w:pPr>
          </w:p>
        </w:tc>
        <w:tc>
          <w:tcPr>
            <w:tcW w:w="91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Notes to Consolidated Financial Statements</w:t>
              </w:r>
            </w:hyperlink>
          </w:p>
        </w:tc>
        <w:tc>
          <w:tcPr>
            <w:tcW w:w="154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Borders>
              <w:top w:val="single" w:sz="8" w:color="0000EE"/>
            </w:tcBorders>
          </w:tcPr>
          <w:p>
            <w:pPr>
              <w:spacing w:after="0"/>
              <w:rPr>
                <w:rFonts w:ascii="Times New Roman" w:cs="Times New Roman" w:eastAsia="Times New Roman" w:hAnsi="Times New Roman"/>
                <w:sz w:val="18"/>
                <w:szCs w:val="18"/>
                <w:color w:val="0000EE"/>
                <w:w w:val="95"/>
              </w:rPr>
            </w:pPr>
            <w:hyperlink w:anchor="page70">
              <w:r>
                <w:rPr>
                  <w:rFonts w:ascii="Times New Roman" w:cs="Times New Roman" w:eastAsia="Times New Roman" w:hAnsi="Times New Roman"/>
                  <w:sz w:val="18"/>
                  <w:szCs w:val="18"/>
                  <w:color w:val="0000EE"/>
                  <w:w w:val="95"/>
                </w:rPr>
                <w:t>F-8</w:t>
              </w:r>
            </w:hyperlink>
          </w:p>
        </w:tc>
      </w:tr>
      <w:tr>
        <w:trPr>
          <w:trHeight w:val="723"/>
        </w:trPr>
        <w:tc>
          <w:tcPr>
            <w:tcW w:w="4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74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440" w:type="dxa"/>
            <w:vAlign w:val="bottom"/>
            <w:gridSpan w:val="5"/>
          </w:tcPr>
          <w:p>
            <w:pPr>
              <w:jc w:val="center"/>
              <w:ind w:right="3500"/>
              <w:spacing w:after="0"/>
              <w:rPr>
                <w:sz w:val="20"/>
                <w:szCs w:val="20"/>
                <w:color w:val="auto"/>
              </w:rPr>
            </w:pPr>
            <w:r>
              <w:rPr>
                <w:rFonts w:ascii="Times New Roman" w:cs="Times New Roman" w:eastAsia="Times New Roman" w:hAnsi="Times New Roman"/>
                <w:sz w:val="18"/>
                <w:szCs w:val="18"/>
                <w:color w:val="auto"/>
              </w:rPr>
              <w:t>F-1</w:t>
            </w:r>
          </w:p>
        </w:tc>
        <w:tc>
          <w:tcPr>
            <w:tcW w:w="4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00" w:lineRule="exact"/>
        <w:rPr>
          <w:sz w:val="20"/>
          <w:szCs w:val="20"/>
          <w:color w:val="auto"/>
        </w:rPr>
      </w:pPr>
    </w:p>
    <w:p>
      <w:pPr>
        <w:spacing w:after="0" w:line="22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Kratos Defense &amp; Security Solutions, Inc. and subsidiaries (the "Company") as of December 27, 2015 and December 28, 2014, and the related consolidated statements of operations and comprehensive income (loss), stockholders’ equity, and cash flows for each of the three years in the period ended December 27, 2015. We also have audited the Company's internal control over financial reporting as of December 27, 2015,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8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27, 2015 and December 28, 2014, and the results of their operations and their cash flows for each of the three years in the period ended December 27, 2015, in conformity with accounting principles generally accepted in the United States of America. Also, in our opinion, the Company maintained, in all material respects, effective internal control over financial reporting as of December 27, 2015, based on the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8 to the consolidated financial statements, the Company discontinued the U.S. and U.K. operations of its Electronic Products division.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gain on sale and results prior to the sale are included in income from discontinued operations in the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80"/>
          </w:cols>
          <w:pgMar w:left="240" w:top="121" w:right="27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the Company has changed its method of accounting for the classification of deferred tax assets and liabilities for the year ended December 27, 2015 due to the adoption of FASB Accounting Standards Update 2015-17,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20"/>
          </w:cols>
          <w:pgMar w:left="240" w:top="121" w:right="4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28, 2014 and December 27, 2015</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millions, except par value and number of shares)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418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Inventoried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Income taxes receivable</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Current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Goodwill</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assets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Non-current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tbl>
      <w:tblPr>
        <w:tblLayout w:type="fixed"/>
        <w:tblInd w:w="380" w:type="dxa"/>
        <w:tblCellMar>
          <w:top w:w="0" w:type="dxa"/>
          <w:left w:w="0" w:type="dxa"/>
          <w:bottom w:w="0" w:type="dxa"/>
          <w:right w:w="0" w:type="dxa"/>
        </w:tblCellMar>
      </w:tblP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2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66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compensation</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Billings in excess of costs and earnings on uncompleted contracts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capital lease obligations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principal, net of current portion</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Line of credit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liabilities of discontinued operations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$0.001 par value, 5,000,000 authorized, 0 shares outstanding at December 28, 2014 and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December 27, 2015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$0.001 par value, 195,000,000 shares authorized; 57,801,978 and 59,139,651 shares issued and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at December 28, 2014 and December 27, 2015, respectively</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66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-4340860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-3997960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-3655060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-3312160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-2968625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-2625725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-2282825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-1974215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-1287780</wp:posOffset>
            </wp:positionV>
            <wp:extent cx="724662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-499110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-1630680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400" w:type="dxa"/>
            <w:vAlign w:val="bottom"/>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78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33.5</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28.5</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5.4</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217.5</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206.8</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47.4</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55.6</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1.7</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7.1</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6.8</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r>
      <w:tr>
        <w:trPr>
          <w:trHeight w:val="27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53.8</w:t>
            </w:r>
          </w:p>
        </w:tc>
        <w:tc>
          <w:tcPr>
            <w:tcW w:w="5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373.2</w:t>
            </w:r>
          </w:p>
        </w:tc>
        <w:tc>
          <w:tcPr>
            <w:tcW w:w="540" w:type="dxa"/>
            <w:vAlign w:val="bottom"/>
          </w:tcPr>
          <w:p>
            <w:pPr>
              <w:spacing w:after="0"/>
              <w:rPr>
                <w:sz w:val="21"/>
                <w:szCs w:val="21"/>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320.4</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61.6</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56.2</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483.4</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483.4</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49.5</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36.5</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26.5</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r>
      <w:tr>
        <w:trPr>
          <w:trHeight w:val="27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137.0</w:t>
            </w:r>
          </w:p>
        </w:tc>
        <w:tc>
          <w:tcPr>
            <w:tcW w:w="5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37"/>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1,131.2</w:t>
            </w: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903.3</w:t>
            </w:r>
          </w:p>
        </w:tc>
      </w:tr>
      <w:tr>
        <w:trPr>
          <w:trHeight w:val="20"/>
        </w:trPr>
        <w:tc>
          <w:tcPr>
            <w:tcW w:w="1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759"/>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44.6</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48.3</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32.4</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33.1</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41.1</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36.8</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5.6</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49.6</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42.3</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30.3</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6.8</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0.1</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14.6</w:t>
            </w:r>
          </w:p>
        </w:tc>
        <w:tc>
          <w:tcPr>
            <w:tcW w:w="5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r>
      <w:tr>
        <w:trPr>
          <w:trHeight w:val="24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226.1</w:t>
            </w:r>
          </w:p>
        </w:tc>
        <w:tc>
          <w:tcPr>
            <w:tcW w:w="540" w:type="dxa"/>
            <w:vAlign w:val="bottom"/>
          </w:tcPr>
          <w:p>
            <w:pPr>
              <w:spacing w:after="0"/>
              <w:rPr>
                <w:sz w:val="21"/>
                <w:szCs w:val="21"/>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172.4</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614.4</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444.1</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41.0</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0.9</w:t>
            </w:r>
          </w:p>
        </w:tc>
        <w:tc>
          <w:tcPr>
            <w:tcW w:w="540" w:type="dxa"/>
            <w:vAlign w:val="bottom"/>
          </w:tcPr>
          <w:p>
            <w:pPr>
              <w:spacing w:after="0"/>
              <w:rPr>
                <w:sz w:val="18"/>
                <w:szCs w:val="18"/>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24.0</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w:t>
            </w:r>
          </w:p>
        </w:tc>
      </w:tr>
      <w:tr>
        <w:trPr>
          <w:trHeight w:val="27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0.5</w:t>
            </w:r>
          </w:p>
        </w:tc>
        <w:tc>
          <w:tcPr>
            <w:tcW w:w="5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r>
      <w:tr>
        <w:trPr>
          <w:trHeight w:val="25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906.9</w:t>
            </w:r>
          </w:p>
        </w:tc>
        <w:tc>
          <w:tcPr>
            <w:tcW w:w="5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649.1</w:t>
            </w:r>
          </w:p>
        </w:tc>
      </w:tr>
      <w:tr>
        <w:trPr>
          <w:trHeight w:val="866"/>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4"/>
                <w:szCs w:val="24"/>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351"/>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4"/>
                <w:szCs w:val="24"/>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863.4</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873.2</w:t>
            </w:r>
          </w:p>
        </w:tc>
      </w:tr>
      <w:tr>
        <w:trPr>
          <w:trHeight w:val="270"/>
        </w:trPr>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75"/>
        </w:trPr>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(637.4)</w:t>
            </w:r>
          </w:p>
        </w:tc>
        <w:tc>
          <w:tcPr>
            <w:tcW w:w="5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(617.6)</w:t>
            </w:r>
          </w:p>
        </w:tc>
      </w:tr>
      <w:tr>
        <w:trPr>
          <w:trHeight w:val="25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224.3</w:t>
            </w:r>
          </w:p>
        </w:tc>
        <w:tc>
          <w:tcPr>
            <w:tcW w:w="5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r>
      <w:tr>
        <w:trPr>
          <w:trHeight w:val="237"/>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1,131.2</w:t>
            </w: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903.3</w:t>
            </w:r>
          </w:p>
        </w:tc>
      </w:tr>
      <w:tr>
        <w:trPr>
          <w:trHeight w:val="20"/>
        </w:trPr>
        <w:tc>
          <w:tcPr>
            <w:tcW w:w="1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-8255</wp:posOffset>
            </wp:positionV>
            <wp:extent cx="1457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-359410</wp:posOffset>
            </wp:positionV>
            <wp:extent cx="14579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-1834515</wp:posOffset>
            </wp:positionV>
            <wp:extent cx="1457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-2829560</wp:posOffset>
            </wp:positionV>
            <wp:extent cx="1457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-4878705</wp:posOffset>
            </wp:positionV>
            <wp:extent cx="14579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7040" w:space="720"/>
            <w:col w:w="3660"/>
          </w:cols>
          <w:pgMar w:left="240" w:top="121"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Years ended December 29, 2013, December 28, 2014, and December 27, 2015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Service revenues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Product sales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Total revenues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Cost of service revenues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Cost of product sales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Total costs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Gross profit</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Selling, general and administrative expenses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Merger and acquisition related items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Research and development expenses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Unused office space and other restructuring</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income (expense):</w:t>
      </w:r>
    </w:p>
    <w:p>
      <w:pPr>
        <w:spacing w:after="0" w:line="1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Interest expense, net</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Total other expense, net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Loss from continuing operations before income taxes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Provision (benefit) for income taxes from continuing operations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Loss from continuing operations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Discontinued operations (Note 8)</w:t>
      </w:r>
    </w:p>
    <w:p>
      <w:pPr>
        <w:spacing w:after="0" w:line="123" w:lineRule="exact"/>
        <w:rPr>
          <w:sz w:val="20"/>
          <w:szCs w:val="20"/>
          <w:color w:val="auto"/>
        </w:rPr>
      </w:pPr>
    </w:p>
    <w:p>
      <w:pPr>
        <w:ind w:left="180"/>
        <w:spacing w:after="0" w:line="261" w:lineRule="auto"/>
        <w:rPr>
          <w:sz w:val="20"/>
          <w:szCs w:val="20"/>
          <w:color w:val="auto"/>
        </w:rPr>
      </w:pPr>
      <w:r>
        <w:rPr>
          <w:rFonts w:ascii="Times New Roman" w:cs="Times New Roman" w:eastAsia="Times New Roman" w:hAnsi="Times New Roman"/>
          <w:sz w:val="14"/>
          <w:szCs w:val="14"/>
          <w:color w:val="auto"/>
        </w:rPr>
        <w:t>Income (loss) from operations of discontinued component (including gain on disposal of $80.8 million for the year ended December 27, 2015)</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(loss) from discontinued operations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Basic income and loss per common share:</w:t>
      </w:r>
    </w:p>
    <w:p>
      <w:pPr>
        <w:spacing w:after="0" w:line="1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Loss from continuing operations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Income (loss) from discontinued operations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income (loss) per common share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Diluted income and loss per common share:</w:t>
      </w:r>
    </w:p>
    <w:p>
      <w:pPr>
        <w:spacing w:after="0" w:line="1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Loss from continuing operations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Income (loss) from discontinued operations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income (loss) per common share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Weighted average common shares outstanding:</w:t>
      </w:r>
    </w:p>
    <w:p>
      <w:pPr>
        <w:spacing w:after="0" w:line="1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Basic</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Diluted</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 (loss) from above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1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Change in cumulative translation adjustment</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Postretirement benefit reserve adjustment net of tax expense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(loss), net of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5"/>
        </w:trPr>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443.6</w:t>
            </w:r>
          </w:p>
        </w:tc>
        <w:tc>
          <w:tcPr>
            <w:tcW w:w="12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390.8</w:t>
            </w:r>
          </w:p>
        </w:tc>
        <w:tc>
          <w:tcPr>
            <w:tcW w:w="10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354.2</w:t>
            </w:r>
          </w:p>
        </w:tc>
      </w:tr>
      <w:tr>
        <w:trPr>
          <w:trHeight w:val="275"/>
        </w:trPr>
        <w:tc>
          <w:tcPr>
            <w:tcW w:w="5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400.5</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372.2</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302.9</w:t>
            </w:r>
          </w:p>
        </w:tc>
      </w:tr>
      <w:tr>
        <w:trPr>
          <w:trHeight w:val="250"/>
        </w:trPr>
        <w:tc>
          <w:tcPr>
            <w:tcW w:w="5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844.1</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763.0</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657.1</w:t>
            </w:r>
          </w:p>
        </w:tc>
      </w:tr>
      <w:tr>
        <w:trPr>
          <w:trHeight w:val="245"/>
        </w:trPr>
        <w:tc>
          <w:tcPr>
            <w:tcW w:w="500" w:type="dxa"/>
            <w:vAlign w:val="bottom"/>
          </w:tcPr>
          <w:p>
            <w:pPr>
              <w:spacing w:after="0"/>
              <w:rPr>
                <w:sz w:val="21"/>
                <w:szCs w:val="21"/>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335.2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266.5</w:t>
            </w:r>
          </w:p>
        </w:tc>
      </w:tr>
      <w:tr>
        <w:trPr>
          <w:trHeight w:val="275"/>
        </w:trPr>
        <w:tc>
          <w:tcPr>
            <w:tcW w:w="5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304.4</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279.0</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228.8</w:t>
            </w:r>
          </w:p>
        </w:tc>
      </w:tr>
      <w:tr>
        <w:trPr>
          <w:trHeight w:val="250"/>
        </w:trPr>
        <w:tc>
          <w:tcPr>
            <w:tcW w:w="5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639.6</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495.3</w:t>
            </w:r>
          </w:p>
        </w:tc>
      </w:tr>
      <w:tr>
        <w:trPr>
          <w:trHeight w:val="245"/>
        </w:trPr>
        <w:tc>
          <w:tcPr>
            <w:tcW w:w="500" w:type="dxa"/>
            <w:vAlign w:val="bottom"/>
          </w:tcPr>
          <w:p>
            <w:pPr>
              <w:spacing w:after="0"/>
              <w:rPr>
                <w:sz w:val="21"/>
                <w:szCs w:val="21"/>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161.8</w:t>
            </w:r>
          </w:p>
        </w:tc>
      </w:tr>
      <w:tr>
        <w:trPr>
          <w:trHeight w:val="270"/>
        </w:trPr>
        <w:tc>
          <w:tcPr>
            <w:tcW w:w="50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150.7</w:t>
            </w:r>
          </w:p>
        </w:tc>
      </w:tr>
      <w:tr>
        <w:trPr>
          <w:trHeight w:val="270"/>
        </w:trPr>
        <w:tc>
          <w:tcPr>
            <w:tcW w:w="5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r>
      <w:tr>
        <w:trPr>
          <w:trHeight w:val="270"/>
        </w:trPr>
        <w:tc>
          <w:tcPr>
            <w:tcW w:w="50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16.2</w:t>
            </w:r>
          </w:p>
        </w:tc>
      </w:tr>
      <w:tr>
        <w:trPr>
          <w:trHeight w:val="275"/>
        </w:trPr>
        <w:tc>
          <w:tcPr>
            <w:tcW w:w="5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50"/>
        </w:trPr>
        <w:tc>
          <w:tcPr>
            <w:tcW w:w="5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529"/>
        </w:trPr>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270"/>
        </w:trPr>
        <w:tc>
          <w:tcPr>
            <w:tcW w:w="500" w:type="dxa"/>
            <w:vAlign w:val="bottom"/>
          </w:tcPr>
          <w:p>
            <w:pPr>
              <w:spacing w:after="0"/>
              <w:rPr>
                <w:sz w:val="23"/>
                <w:szCs w:val="23"/>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75"/>
        </w:trPr>
        <w:tc>
          <w:tcPr>
            <w:tcW w:w="5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50"/>
        </w:trPr>
        <w:tc>
          <w:tcPr>
            <w:tcW w:w="5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245"/>
        </w:trPr>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r>
      <w:tr>
        <w:trPr>
          <w:trHeight w:val="275"/>
        </w:trPr>
        <w:tc>
          <w:tcPr>
            <w:tcW w:w="5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50"/>
        </w:trPr>
        <w:tc>
          <w:tcPr>
            <w:tcW w:w="5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610"/>
        </w:trPr>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75.5</w:t>
            </w:r>
          </w:p>
        </w:tc>
      </w:tr>
      <w:tr>
        <w:trPr>
          <w:trHeight w:val="275"/>
        </w:trPr>
        <w:tc>
          <w:tcPr>
            <w:tcW w:w="5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22.5</w:t>
            </w:r>
          </w:p>
        </w:tc>
      </w:tr>
      <w:tr>
        <w:trPr>
          <w:trHeight w:val="250"/>
        </w:trPr>
        <w:tc>
          <w:tcPr>
            <w:tcW w:w="5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53.0</w:t>
            </w:r>
          </w:p>
        </w:tc>
      </w:tr>
      <w:tr>
        <w:trPr>
          <w:trHeight w:val="237"/>
        </w:trPr>
        <w:tc>
          <w:tcPr>
            <w:tcW w:w="5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19.8</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16"/>
        </w:trPr>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r>
      <w:tr>
        <w:trPr>
          <w:trHeight w:val="275"/>
        </w:trPr>
        <w:tc>
          <w:tcPr>
            <w:tcW w:w="5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0.90</w:t>
            </w:r>
          </w:p>
        </w:tc>
      </w:tr>
      <w:tr>
        <w:trPr>
          <w:trHeight w:val="237"/>
        </w:trPr>
        <w:tc>
          <w:tcPr>
            <w:tcW w:w="5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0.34</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16"/>
        </w:trPr>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r>
      <w:tr>
        <w:trPr>
          <w:trHeight w:val="275"/>
        </w:trPr>
        <w:tc>
          <w:tcPr>
            <w:tcW w:w="5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0.90</w:t>
            </w:r>
          </w:p>
        </w:tc>
      </w:tr>
      <w:tr>
        <w:trPr>
          <w:trHeight w:val="277"/>
        </w:trPr>
        <w:tc>
          <w:tcPr>
            <w:tcW w:w="5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0.34</w:t>
            </w:r>
          </w:p>
        </w:tc>
      </w:tr>
      <w:tr>
        <w:trPr>
          <w:trHeight w:val="507"/>
        </w:trPr>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58.7</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58.7</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21"/>
        </w:trPr>
        <w:tc>
          <w:tcPr>
            <w:tcW w:w="5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19.8</w:t>
            </w:r>
          </w:p>
        </w:tc>
      </w:tr>
      <w:tr>
        <w:trPr>
          <w:trHeight w:val="529"/>
        </w:trPr>
        <w:tc>
          <w:tcPr>
            <w:tcW w:w="500" w:type="dxa"/>
            <w:vAlign w:val="bottom"/>
          </w:tcPr>
          <w:p>
            <w:pPr>
              <w:spacing w:after="0"/>
              <w:rPr>
                <w:sz w:val="24"/>
                <w:szCs w:val="24"/>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r>
      <w:tr>
        <w:trPr>
          <w:trHeight w:val="275"/>
        </w:trPr>
        <w:tc>
          <w:tcPr>
            <w:tcW w:w="5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r>
      <w:tr>
        <w:trPr>
          <w:trHeight w:val="250"/>
        </w:trPr>
        <w:tc>
          <w:tcPr>
            <w:tcW w:w="500" w:type="dxa"/>
            <w:vAlign w:val="bottom"/>
          </w:tcPr>
          <w:p>
            <w:pPr>
              <w:spacing w:after="0"/>
              <w:rPr>
                <w:sz w:val="21"/>
                <w:szCs w:val="21"/>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r>
      <w:tr>
        <w:trPr>
          <w:trHeight w:val="237"/>
        </w:trPr>
        <w:tc>
          <w:tcPr>
            <w:tcW w:w="50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20.1</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-7537450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-7194550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-6851650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-6508115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-6165215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-5822315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-5479415</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-5127625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-4784725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-4441825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-4098290</wp:posOffset>
            </wp:positionV>
            <wp:extent cx="72466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-3695700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-3352800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-2992120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-2649220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-2289175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-1946275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-1585595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-1242695</wp:posOffset>
            </wp:positionV>
            <wp:extent cx="724662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-882650</wp:posOffset>
            </wp:positionV>
            <wp:extent cx="72466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-530860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-187960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4600" w:space="440"/>
            <w:col w:w="6380"/>
          </w:cols>
          <w:pgMar w:left="240" w:top="121"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121" w:right="2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29, 2013, December 28, 2014, and December 27, 2015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700" w:type="dxa"/>
            <w:vAlign w:val="bottom"/>
          </w:tcPr>
          <w:p>
            <w:pPr>
              <w:spacing w:after="0"/>
              <w:rPr>
                <w:sz w:val="13"/>
                <w:szCs w:val="13"/>
                <w:color w:val="auto"/>
              </w:rPr>
            </w:pPr>
          </w:p>
        </w:tc>
        <w:tc>
          <w:tcPr>
            <w:tcW w:w="2220" w:type="dxa"/>
            <w:vAlign w:val="bottom"/>
            <w:tcBorders>
              <w:bottom w:val="single" w:sz="8" w:color="auto"/>
            </w:tcBorders>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0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12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69"/>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30, 2012</w:t>
            </w:r>
          </w:p>
        </w:tc>
        <w:tc>
          <w:tcPr>
            <w:tcW w:w="1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56.6</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847.1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324.1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tbl>
      <w:tblPr>
        <w:tblLayout w:type="fixed"/>
        <w:tblInd w:w="40" w:type="dxa"/>
        <w:tblCellMar>
          <w:top w:w="0" w:type="dxa"/>
          <w:left w:w="0" w:type="dxa"/>
          <w:bottom w:w="0" w:type="dxa"/>
          <w:right w:w="0" w:type="dxa"/>
        </w:tblCellMar>
      </w:tblPr>
      <w:tr>
        <w:trPr>
          <w:trHeight w:val="153"/>
        </w:trPr>
        <w:tc>
          <w:tcPr>
            <w:tcW w:w="466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options and</w:t>
            </w:r>
          </w:p>
        </w:tc>
        <w:tc>
          <w:tcPr>
            <w:tcW w:w="104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warrants</w:t>
            </w: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29, 2013</w:t>
            </w:r>
          </w:p>
        </w:tc>
        <w:tc>
          <w:tcPr>
            <w:tcW w:w="104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 options and</w:t>
            </w:r>
          </w:p>
        </w:tc>
        <w:tc>
          <w:tcPr>
            <w:tcW w:w="104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warrants</w:t>
            </w: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28, 2014</w:t>
            </w:r>
          </w:p>
        </w:tc>
        <w:tc>
          <w:tcPr>
            <w:tcW w:w="104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 options and</w:t>
            </w:r>
          </w:p>
        </w:tc>
        <w:tc>
          <w:tcPr>
            <w:tcW w:w="104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warrants</w:t>
            </w: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27, 2015</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-2177415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4"/>
                <w:szCs w:val="14"/>
                <w:color w:val="auto"/>
              </w:rPr>
              <w:t>1.6</w:t>
            </w:r>
          </w:p>
        </w:tc>
        <w:tc>
          <w:tcPr>
            <w:tcW w:w="4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r>
      <w:tr>
        <w:trPr>
          <w:trHeight w:val="270"/>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4"/>
                <w:szCs w:val="14"/>
                <w:color w:val="auto"/>
              </w:rPr>
              <w:t>7.4</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r>
      <w:tr>
        <w:trPr>
          <w:trHeight w:val="270"/>
        </w:trPr>
        <w:tc>
          <w:tcPr>
            <w:tcW w:w="540" w:type="dxa"/>
            <w:vAlign w:val="bottom"/>
          </w:tcPr>
          <w:p>
            <w:pPr>
              <w:jc w:val="right"/>
              <w:ind w:right="84"/>
              <w:spacing w:after="0"/>
              <w:rPr>
                <w:sz w:val="20"/>
                <w:szCs w:val="20"/>
                <w:color w:val="auto"/>
              </w:rPr>
            </w:pPr>
            <w:r>
              <w:rPr>
                <w:rFonts w:ascii="Times New Roman" w:cs="Times New Roman" w:eastAsia="Times New Roman" w:hAnsi="Times New Roman"/>
                <w:sz w:val="14"/>
                <w:szCs w:val="14"/>
                <w:color w:val="auto"/>
              </w:rPr>
              <w:t>(0.1)</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r>
      <w:tr>
        <w:trPr>
          <w:trHeight w:val="275"/>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00" w:type="dxa"/>
            <w:vAlign w:val="bottom"/>
          </w:tcPr>
          <w:p>
            <w:pPr>
              <w:spacing w:after="0"/>
              <w:rPr>
                <w:sz w:val="23"/>
                <w:szCs w:val="23"/>
                <w:color w:val="auto"/>
              </w:rPr>
            </w:pPr>
          </w:p>
        </w:tc>
      </w:tr>
      <w:tr>
        <w:trPr>
          <w:trHeight w:val="245"/>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4"/>
                <w:szCs w:val="14"/>
                <w:color w:val="auto"/>
                <w:w w:val="95"/>
              </w:rPr>
              <w:t>856.0</w:t>
            </w:r>
          </w:p>
        </w:tc>
        <w:tc>
          <w:tcPr>
            <w:tcW w:w="4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(559.4)</w:t>
            </w:r>
          </w:p>
        </w:tc>
        <w:tc>
          <w:tcPr>
            <w:tcW w:w="200" w:type="dxa"/>
            <w:vAlign w:val="bottom"/>
          </w:tcPr>
          <w:p>
            <w:pPr>
              <w:spacing w:after="0"/>
              <w:rPr>
                <w:sz w:val="21"/>
                <w:szCs w:val="21"/>
                <w:color w:val="auto"/>
              </w:rPr>
            </w:pPr>
          </w:p>
        </w:tc>
      </w:tr>
      <w:tr>
        <w:trPr>
          <w:trHeight w:val="270"/>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4"/>
                <w:szCs w:val="14"/>
                <w:color w:val="auto"/>
              </w:rPr>
              <w:t>3.8</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r>
      <w:tr>
        <w:trPr>
          <w:trHeight w:val="351"/>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4"/>
                <w:szCs w:val="14"/>
                <w:color w:val="auto"/>
              </w:rPr>
              <w:t>3.9</w:t>
            </w:r>
          </w:p>
        </w:tc>
        <w:tc>
          <w:tcPr>
            <w:tcW w:w="4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r>
      <w:tr>
        <w:trPr>
          <w:trHeight w:val="270"/>
        </w:trPr>
        <w:tc>
          <w:tcPr>
            <w:tcW w:w="540" w:type="dxa"/>
            <w:vAlign w:val="bottom"/>
          </w:tcPr>
          <w:p>
            <w:pPr>
              <w:jc w:val="right"/>
              <w:ind w:right="84"/>
              <w:spacing w:after="0"/>
              <w:rPr>
                <w:sz w:val="20"/>
                <w:szCs w:val="20"/>
                <w:color w:val="auto"/>
              </w:rPr>
            </w:pPr>
            <w:r>
              <w:rPr>
                <w:rFonts w:ascii="Times New Roman" w:cs="Times New Roman" w:eastAsia="Times New Roman" w:hAnsi="Times New Roman"/>
                <w:sz w:val="14"/>
                <w:szCs w:val="14"/>
                <w:color w:val="auto"/>
              </w:rPr>
              <w:t>(0.3)</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r>
      <w:tr>
        <w:trPr>
          <w:trHeight w:val="270"/>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200" w:type="dxa"/>
            <w:vAlign w:val="bottom"/>
          </w:tcPr>
          <w:p>
            <w:pPr>
              <w:spacing w:after="0"/>
              <w:rPr>
                <w:sz w:val="23"/>
                <w:szCs w:val="23"/>
                <w:color w:val="auto"/>
              </w:rPr>
            </w:pPr>
          </w:p>
        </w:tc>
      </w:tr>
      <w:tr>
        <w:trPr>
          <w:trHeight w:val="275"/>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r>
      <w:tr>
        <w:trPr>
          <w:trHeight w:val="245"/>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4"/>
                <w:szCs w:val="14"/>
                <w:color w:val="auto"/>
                <w:w w:val="95"/>
              </w:rPr>
              <w:t>863.4</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(637.4)</w:t>
            </w:r>
          </w:p>
        </w:tc>
        <w:tc>
          <w:tcPr>
            <w:tcW w:w="200" w:type="dxa"/>
            <w:vAlign w:val="bottom"/>
          </w:tcPr>
          <w:p>
            <w:pPr>
              <w:spacing w:after="0"/>
              <w:rPr>
                <w:sz w:val="21"/>
                <w:szCs w:val="21"/>
                <w:color w:val="auto"/>
              </w:rPr>
            </w:pPr>
          </w:p>
        </w:tc>
      </w:tr>
      <w:tr>
        <w:trPr>
          <w:trHeight w:val="270"/>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4"/>
                <w:szCs w:val="14"/>
                <w:color w:val="auto"/>
              </w:rPr>
              <w:t>6.4</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r>
      <w:tr>
        <w:trPr>
          <w:trHeight w:val="351"/>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4"/>
                <w:szCs w:val="14"/>
                <w:color w:val="auto"/>
              </w:rPr>
              <w:t>4.0</w:t>
            </w:r>
          </w:p>
        </w:tc>
        <w:tc>
          <w:tcPr>
            <w:tcW w:w="4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r>
      <w:tr>
        <w:trPr>
          <w:trHeight w:val="270"/>
        </w:trPr>
        <w:tc>
          <w:tcPr>
            <w:tcW w:w="540" w:type="dxa"/>
            <w:vAlign w:val="bottom"/>
          </w:tcPr>
          <w:p>
            <w:pPr>
              <w:jc w:val="right"/>
              <w:ind w:right="84"/>
              <w:spacing w:after="0"/>
              <w:rPr>
                <w:sz w:val="20"/>
                <w:szCs w:val="20"/>
                <w:color w:val="auto"/>
              </w:rPr>
            </w:pPr>
            <w:r>
              <w:rPr>
                <w:rFonts w:ascii="Times New Roman" w:cs="Times New Roman" w:eastAsia="Times New Roman" w:hAnsi="Times New Roman"/>
                <w:sz w:val="14"/>
                <w:szCs w:val="14"/>
                <w:color w:val="auto"/>
              </w:rPr>
              <w:t>(0.6)</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r>
      <w:tr>
        <w:trPr>
          <w:trHeight w:val="270"/>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4"/>
                <w:szCs w:val="14"/>
                <w:color w:val="auto"/>
              </w:rPr>
              <w:t>19.8</w:t>
            </w:r>
          </w:p>
        </w:tc>
        <w:tc>
          <w:tcPr>
            <w:tcW w:w="200" w:type="dxa"/>
            <w:vAlign w:val="bottom"/>
          </w:tcPr>
          <w:p>
            <w:pPr>
              <w:spacing w:after="0"/>
              <w:rPr>
                <w:sz w:val="23"/>
                <w:szCs w:val="23"/>
                <w:color w:val="auto"/>
              </w:rPr>
            </w:pPr>
          </w:p>
        </w:tc>
      </w:tr>
      <w:tr>
        <w:trPr>
          <w:trHeight w:val="275"/>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r>
      <w:tr>
        <w:trPr>
          <w:trHeight w:val="237"/>
        </w:trPr>
        <w:tc>
          <w:tcPr>
            <w:tcW w:w="540" w:type="dxa"/>
            <w:vAlign w:val="bottom"/>
          </w:tcPr>
          <w:p>
            <w:pPr>
              <w:jc w:val="right"/>
              <w:ind w:right="144"/>
              <w:spacing w:after="0"/>
              <w:rPr>
                <w:sz w:val="20"/>
                <w:szCs w:val="20"/>
                <w:color w:val="auto"/>
              </w:rPr>
            </w:pPr>
            <w:r>
              <w:rPr>
                <w:rFonts w:ascii="Times New Roman" w:cs="Times New Roman" w:eastAsia="Times New Roman" w:hAnsi="Times New Roman"/>
                <w:sz w:val="14"/>
                <w:szCs w:val="14"/>
                <w:color w:val="auto"/>
                <w:w w:val="95"/>
              </w:rPr>
              <w:t>873.2</w:t>
            </w: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-25400</wp:posOffset>
            </wp:positionV>
            <wp:extent cx="643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-8255</wp:posOffset>
            </wp:positionV>
            <wp:extent cx="643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-187960</wp:posOffset>
            </wp:positionV>
            <wp:extent cx="643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-1268730</wp:posOffset>
            </wp:positionV>
            <wp:extent cx="643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-2348865</wp:posOffset>
            </wp:positionV>
            <wp:extent cx="643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1.6</w:t>
      </w:r>
    </w:p>
    <w:p>
      <w:pPr>
        <w:spacing w:after="0" w:line="10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7.4</w:t>
      </w:r>
    </w:p>
    <w:p>
      <w:pPr>
        <w:spacing w:after="0" w:line="10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(0.1)</w:t>
      </w:r>
    </w:p>
    <w:p>
      <w:pPr>
        <w:spacing w:after="0" w:line="10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23495</wp:posOffset>
            </wp:positionV>
            <wp:extent cx="643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8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295.8</w:t>
      </w:r>
    </w:p>
    <w:p>
      <w:pPr>
        <w:spacing w:after="0" w:line="10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3.8</w:t>
      </w:r>
    </w:p>
    <w:p>
      <w:pPr>
        <w:spacing w:after="0" w:line="19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3.9</w:t>
      </w:r>
    </w:p>
    <w:p>
      <w:pPr>
        <w:spacing w:after="0" w:line="10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(0.3)</w:t>
      </w:r>
    </w:p>
    <w:p>
      <w:pPr>
        <w:spacing w:after="0" w:line="10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(78.0)</w:t>
      </w:r>
    </w:p>
    <w:p>
      <w:pPr>
        <w:spacing w:after="0" w:line="10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23495</wp:posOffset>
            </wp:positionV>
            <wp:extent cx="643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8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224.3</w:t>
      </w:r>
    </w:p>
    <w:p>
      <w:pPr>
        <w:spacing w:after="0" w:line="10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6.4</w:t>
      </w:r>
    </w:p>
    <w:p>
      <w:pPr>
        <w:spacing w:after="0" w:line="19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4.0</w:t>
      </w:r>
    </w:p>
    <w:p>
      <w:pPr>
        <w:spacing w:after="0" w:line="10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(0.6)</w:t>
      </w:r>
    </w:p>
    <w:p>
      <w:pPr>
        <w:spacing w:after="0" w:line="10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19.8</w:t>
      </w:r>
    </w:p>
    <w:p>
      <w:pPr>
        <w:spacing w:after="0" w:line="10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23495</wp:posOffset>
            </wp:positionV>
            <wp:extent cx="643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7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254.2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23495</wp:posOffset>
            </wp:positionV>
            <wp:extent cx="643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40640</wp:posOffset>
            </wp:positionV>
            <wp:extent cx="643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3">
            <w:col w:w="7140" w:space="480"/>
            <w:col w:w="2880" w:space="480"/>
            <w:col w:w="440"/>
          </w:cols>
          <w:pgMar w:left="240" w:top="121"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121" w:right="239" w:bottom="1440" w:gutter="0" w:footer="0" w:header="0"/>
          <w:type w:val="continuous"/>
        </w:sectPr>
      </w:pPr>
    </w:p>
    <w:bookmarkStart w:id="68" w:name="page69"/>
    <w:bookmarkEnd w:id="68"/>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KRATOS DEFENSE &amp; SECURITY SOLUTIONS, INC. CONSOLIDATED STATEMENTS OF CASH FLOWS Years ended December 29, 2013, December 28, 2014, and December 27, 2015 (in millions)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6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66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53.0</w:t>
            </w:r>
          </w:p>
        </w:tc>
      </w:tr>
      <w:tr>
        <w:trPr>
          <w:trHeight w:val="217"/>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loss from continuing operations to net cash provided by</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activities from continuing operations:</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Non-cash income tax benefit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premium and discount on Senior Secured Notes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accrual for excess facilities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6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sectPr>
          <w:pgSz w:w="11900" w:h="16900" w:orient="portrait"/>
          <w:cols w:equalWidth="0" w:num="1">
            <w:col w:w="11420"/>
          </w:cols>
          <w:pgMar w:left="240" w:top="121" w:right="239" w:bottom="0" w:gutter="0" w:footer="0" w:header="0"/>
        </w:sectPr>
      </w:pPr>
    </w:p>
    <w:p>
      <w:pPr>
        <w:ind w:left="38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Inventoried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Prepaid expenses</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Accrued compensation</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Income tax receivable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Net cash provided by (used in) operating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Investing activities:</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Proceeds from sale of assets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Change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Capital expenditures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Financing activities:</w:t>
      </w:r>
    </w:p>
    <w:p>
      <w:pPr>
        <w:spacing w:after="0" w:line="100" w:lineRule="exact"/>
        <w:rPr>
          <w:sz w:val="20"/>
          <w:szCs w:val="20"/>
          <w:color w:val="auto"/>
        </w:rPr>
      </w:pPr>
    </w:p>
    <w:p>
      <w:pPr>
        <w:ind w:left="120" w:right="1700" w:firstLine="54"/>
        <w:spacing w:after="0" w:line="352" w:lineRule="auto"/>
        <w:rPr>
          <w:sz w:val="20"/>
          <w:szCs w:val="20"/>
          <w:color w:val="auto"/>
        </w:rPr>
      </w:pPr>
      <w:r>
        <w:rPr>
          <w:rFonts w:ascii="Times New Roman" w:cs="Times New Roman" w:eastAsia="Times New Roman" w:hAnsi="Times New Roman"/>
          <w:sz w:val="16"/>
          <w:szCs w:val="16"/>
          <w:color w:val="auto"/>
        </w:rPr>
        <w:t>Proceeds from the issuance of long-term debt, net of issuance costs Extinguishment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6"/>
          <w:szCs w:val="16"/>
          <w:color w:val="auto"/>
        </w:rPr>
        <w:t>Borrowing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Repayments under credit facility</w:t>
      </w:r>
    </w:p>
    <w:p>
      <w:pPr>
        <w:spacing w:after="0" w:line="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Cash paid for contingent acquisition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Debt issuance costs</w:t>
      </w:r>
    </w:p>
    <w:p>
      <w:pPr>
        <w:spacing w:after="0" w:line="86" w:lineRule="exact"/>
        <w:rPr>
          <w:sz w:val="20"/>
          <w:szCs w:val="20"/>
          <w:color w:val="auto"/>
        </w:rPr>
      </w:pPr>
    </w:p>
    <w:p>
      <w:pPr>
        <w:ind w:left="180"/>
        <w:spacing w:after="0" w:line="298" w:lineRule="auto"/>
        <w:rPr>
          <w:sz w:val="20"/>
          <w:szCs w:val="20"/>
          <w:color w:val="auto"/>
        </w:rPr>
      </w:pPr>
      <w:r>
        <w:rPr>
          <w:rFonts w:ascii="Times New Roman" w:cs="Times New Roman" w:eastAsia="Times New Roman" w:hAnsi="Times New Roman"/>
          <w:sz w:val="16"/>
          <w:szCs w:val="16"/>
          <w:color w:val="auto"/>
        </w:rPr>
        <w:t>Proceeds from exercise of restricted stock units, employee stock options, and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w:t>
            </w:r>
          </w:p>
        </w:tc>
      </w:tr>
      <w:tr>
        <w:trPr>
          <w:trHeight w:val="270"/>
        </w:trPr>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23"/>
                <w:szCs w:val="23"/>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70"/>
        </w:trPr>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3"/>
                <w:szCs w:val="23"/>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23"/>
                <w:szCs w:val="23"/>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3"/>
                <w:szCs w:val="23"/>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3"/>
                <w:szCs w:val="23"/>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270"/>
        </w:trPr>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70"/>
        </w:trPr>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3"/>
                <w:szCs w:val="23"/>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r>
      <w:tr>
        <w:trPr>
          <w:trHeight w:val="270"/>
        </w:trPr>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501"/>
        </w:trPr>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618.5</w:t>
            </w:r>
          </w:p>
        </w:tc>
        <w:tc>
          <w:tcPr>
            <w:tcW w:w="10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270"/>
        </w:trPr>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70"/>
        </w:trPr>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59"/>
        </w:trPr>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4"/>
                <w:szCs w:val="24"/>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13" w:lineRule="exact"/>
        <w:rPr>
          <w:sz w:val="20"/>
          <w:szCs w:val="20"/>
          <w:color w:val="auto"/>
        </w:rPr>
      </w:pPr>
    </w:p>
    <w:p>
      <w:pPr>
        <w:sectPr>
          <w:pgSz w:w="11900" w:h="16900" w:orient="portrait"/>
          <w:cols w:equalWidth="0" w:num="2">
            <w:col w:w="6220" w:space="420"/>
            <w:col w:w="478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6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financing activities from continuing operations</w:t>
            </w:r>
          </w:p>
        </w:tc>
        <w:tc>
          <w:tcPr>
            <w:tcW w:w="6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6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operating cash flows of discontinued operations</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investing cash flows of discontinued operations</w:t>
            </w: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242.5</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6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6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6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66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type w:val="continuous"/>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paid during the year for interest</w:t>
            </w:r>
          </w:p>
        </w:tc>
        <w:tc>
          <w:tcPr>
            <w:tcW w:w="23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63.8</w:t>
            </w:r>
          </w:p>
        </w:tc>
        <w:tc>
          <w:tcPr>
            <w:tcW w:w="7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57.1</w:t>
            </w:r>
          </w:p>
        </w:tc>
        <w:tc>
          <w:tcPr>
            <w:tcW w:w="7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w:t>
            </w:r>
          </w:p>
        </w:tc>
      </w:tr>
      <w:tr>
        <w:trPr>
          <w:trHeight w:val="237"/>
        </w:trPr>
        <w:tc>
          <w:tcPr>
            <w:tcW w:w="4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paid during the year for income taxes</w:t>
            </w:r>
          </w:p>
        </w:tc>
        <w:tc>
          <w:tcPr>
            <w:tcW w:w="23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7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7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140"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 and Summary of Significant Accounting Policies</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Kratos is a mid-tier government contractor at the forefront of the U.S. Department of Defense’s (the “DoD”) Third Offset Strategy. Kratos is a leading technology, intellectual property and proprietary product and solution company focused on the U.S. and its allies’ national security. Kratos’ primary focus areas are unmanned systems, satellite communications, microwave electronics, cyber security/warfare, missile defense and combat systems. We believe that our technology, intellectual property, proprietary products and designed in positions on our customers’ platforms and systems is a competitive advantage and high barrier to entry to our markets. Our work force is primarily technically oriented, highly skilled with a significant number holding national security clearances. Our entire organization is focused on executing our strategy of becoming the leading technology and intellectual property based company in our industry.</w:t>
      </w:r>
    </w:p>
    <w:p>
      <w:pPr>
        <w:spacing w:after="0" w:line="18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in three reportable segments. The Kratos Government Solutions (“KGS”) reportable segment is comprised of an aggregation of operating segments, including its microwave electronic products, satellite communications, modular systems and rocket support operating segments. The Unmanned Systems (“US”) reportable segment consists of its unmanned aerial system and unmanned ground and seaborne system businesses. The Public Safety &amp; Security (“PSS”) reportable segment consists of its businesses that provide independent integrated solutions for advanced homeland security, public safety, critical infrastructure, and security and surveillance systems for government and commercial applications. The Company organizes its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the Company’s operating segments, see Note 13 of these Notes to Consolidated Financial Statements.</w:t>
      </w:r>
    </w:p>
    <w:p>
      <w:pPr>
        <w:spacing w:after="0" w:line="18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 and Basis of Presentation</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Kratos and its 100% owned subsidiaries, for which all intercompany transactions have been eliminated in consolidation.</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discussed in “Discontinued Operations” in Note 8 of these Notes to Consolidated Financial Statements, these consolidated financial statements have been recast for all periods presented to reflect the disposition of the Company’s 100% owned subsidiary Herley Industries, Inc. (“Herley”) and certain of Herley’s subsidiaries, including Herley-CTI, Inc., EW Simulation Technology, Ltd. and Stapor Research, Inc. (collectively, the “Herley Entities”) as discontinued operations.</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Fiscal Year</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52/53 week fiscal year ending on the last Sunday of the calendar year, with interim fiscal periods ending on the last Sunday of each calendar quarter. There were 52 calendar weeks in the fiscal years ended on December 29, 2013, December 28, 2014 and December 27, 2015.</w:t>
      </w:r>
    </w:p>
    <w:p>
      <w:pPr>
        <w:spacing w:after="0" w:line="158"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accounting for income taxes including the related valuation allowance on the deferred tax asset and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00"/>
          </w:cols>
          <w:pgMar w:left="240" w:top="121" w:right="2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uncertain tax positions, contingencies and litigation, contingent acquisition consideration, stock-based compensation, and losses on unused office space.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72"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generates its revenue from three different types of contractual arrangements: cost-plus-fee contracts, time-and-materials contracts, and fixed-price contracts. Revenue on cost-plus-fee contracts is recognized to the extent of allowable costs incurred plus an estimate of the applicable fees earned. The Company considers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its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three basic categories of fixed-price contracts: fixed unit price, fixed-price-level of effort, and fixed-price-completion. Revenue recognition methods on fixed-price contracts will vary depending on the nature of the work and the contract terms. Revenues on fixed-price service contracts are recorded as work is performed in accordance with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(“ASC”) </w:t>
      </w:r>
      <w:r>
        <w:rPr>
          <w:rFonts w:ascii="Times New Roman" w:cs="Times New Roman" w:eastAsia="Times New Roman" w:hAnsi="Times New Roman"/>
          <w:sz w:val="18"/>
          <w:szCs w:val="18"/>
          <w:i w:val="1"/>
          <w:iCs w:val="1"/>
          <w:color w:val="auto"/>
        </w:rPr>
        <w:t>Topic 605, Revenue Recognition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specifically </w:t>
      </w:r>
      <w:r>
        <w:rPr>
          <w:rFonts w:ascii="Times New Roman" w:cs="Times New Roman" w:eastAsia="Times New Roman" w:hAnsi="Times New Roman"/>
          <w:sz w:val="18"/>
          <w:szCs w:val="18"/>
          <w:i w:val="1"/>
          <w:iCs w:val="1"/>
          <w:color w:val="auto"/>
        </w:rPr>
        <w:t>Topic 605-10-S99</w:t>
      </w:r>
      <w:r>
        <w:rPr>
          <w:rFonts w:ascii="Times New Roman" w:cs="Times New Roman" w:eastAsia="Times New Roman" w:hAnsi="Times New Roman"/>
          <w:sz w:val="18"/>
          <w:szCs w:val="18"/>
          <w:color w:val="auto"/>
        </w:rPr>
        <w:t>, which generally requires revenue to be deferred until all of the following have occurred: (1) there is a contract in place;</w:t>
      </w:r>
    </w:p>
    <w:p>
      <w:pPr>
        <w:spacing w:after="0" w:line="3" w:lineRule="exact"/>
        <w:rPr>
          <w:sz w:val="20"/>
          <w:szCs w:val="20"/>
          <w:color w:val="auto"/>
        </w:rPr>
      </w:pPr>
    </w:p>
    <w:p>
      <w:pPr>
        <w:ind w:right="60" w:firstLine="8"/>
        <w:spacing w:after="0" w:line="255"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or services have been provided; (3) the price is fixed or determinable; and (4) collectability is reasonably assured. Revenues on fixed-price contracts that require delivery of specific items may be recorded based on a price per unit as units are delivered. Revenue for fixed-price contracts in which the Company is paid a specific amount to provide services for a stated period of time is recognized ratably over the service period.</w:t>
      </w:r>
    </w:p>
    <w:p>
      <w:pPr>
        <w:spacing w:after="0" w:line="18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a portion of the fixed price-completion contracts, revenue is recognized in accordance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using the percentage-of-completion method based on the ratio of total costs incurred to date compared to estimated total costs to complete the contract. Estimates of costs to complete include material, direct labor, overhead, and allowable indirect expenses for government contracts. These cost estimates are reviewed and, if necessary, revised on a contract-by-contract basis. If, as a result of this review, management determines that a loss on a contract is evident, then the full amount of estimated loss is charged to operations in the period. As of December 28, 2014 and December 27, 2015, the accrual for losses on contracts were $2.5 million and $3.5 million, respectively.</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certain instances, when the Company’s customers have requested that it commence work prior to receipt of the contract award and funding and it has incurred costs related to that specific anticipated contract, and the Company believes recoverability of the costs is probable, it may defer those costs incurred until the associated contract has been awarded and funded by the customer.</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accounting for the Company’s long-term contracts for production of products provided to the U.S. Government, the Company utilizes both cost-to-cost and units delivered measures under the percentage-of-completion method of accounting under the provisions of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Under the units delivered measure of the percentage-of-completion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units delivered or as computed on the basis of the estimated final average unit costs plus profit. The Company classifies contract revenues as product sales or service revenues depending upon the predominant attributes of the relevant underlying contracts.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the Company’s gross margins for the period in which the contract is modified or canceled. Under certain circumstances, a cancellation or negative modification could result in the Company having to reverse revenue that was recognized in a prior period, thus significantly reducing the amount of revenues recognized for the period in which the adjustment is made. Correspondingly, a positive modification may positively affect gross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margins. In addition, a schedule delay or modifications can result in an increase in estimated cost to complete the project, which would also result in an impact to gross margins. Changes in contract estimates are reviewed on a contract-by-contract basis and are revised periodically throughout the life of the contract such that adjustments to profit resulting from revisions are made cumulative to the date of the revision in accordance with GAAP. Material differences may result in the amount and timing of the Company’s revenue for any period if management made different judgments or utilized different estimates.</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It is the Company’s policy to review any arrangement containing software or software deliverables and services against the criteria contained in ASC </w:t>
      </w:r>
      <w:r>
        <w:rPr>
          <w:rFonts w:ascii="Times New Roman" w:cs="Times New Roman" w:eastAsia="Times New Roman" w:hAnsi="Times New Roman"/>
          <w:sz w:val="18"/>
          <w:szCs w:val="18"/>
          <w:i w:val="1"/>
          <w:iCs w:val="1"/>
          <w:color w:val="auto"/>
        </w:rPr>
        <w:t xml:space="preserve">Topic 985, Software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Topic 985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provisions of</w:t>
      </w:r>
      <w:r>
        <w:rPr>
          <w:rFonts w:ascii="Times New Roman" w:cs="Times New Roman" w:eastAsia="Times New Roman" w:hAnsi="Times New Roman"/>
          <w:sz w:val="18"/>
          <w:szCs w:val="18"/>
          <w:i w:val="1"/>
          <w:iCs w:val="1"/>
          <w:color w:val="auto"/>
        </w:rPr>
        <w:t xml:space="preserve"> Topic 985</w:t>
      </w:r>
      <w:r>
        <w:rPr>
          <w:rFonts w:ascii="Times New Roman" w:cs="Times New Roman" w:eastAsia="Times New Roman" w:hAnsi="Times New Roman"/>
          <w:sz w:val="18"/>
          <w:szCs w:val="18"/>
          <w:color w:val="auto"/>
        </w:rPr>
        <w:t>, the Company reviews the contract value of software deliverables and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determines allocations of the contract value based on vendor-specific objective evidence (“VSOE”) of fair value for each of the software elements. All software arrangements requiring significant production, modification, or customization of the software are accounted for in conformity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Company’s contracts may include the provision of more than one of its services (“multiple element arrangements”). In these situations, the Company applies the guidance of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Accordingly, for applicable arrangements, revenue recognition includes the proper identification of separate units of accounting and the allocation of revenue across all elements based on relative fair values.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multiple element arrangements that include hardware products containing software essential to the hardware products’ functionality, the Company allocates revenue to all deliverables based on their relative selling prices. In such circumstances, the Company uses a hierarchy to determine the selling price to be used for allocating revenue to deliverables: (i) VSOE, (ii) third-party evidence of selling price (“TPE”), and (iii) best estimate of the selling price (“ESP”).</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VSOE generally exists only when the Company sells the deliverable separately and is the price actually charged by the Company for that deliverable. TPE is determined based on competitor prices for similar deliverables when sold separately. Generally, the Company’s offerings contain significant differentiation such that comparable pricing of products with similar functionality cannot be obtained. Furthermore, the Company is unable to reliably determine what similar competitor products’ selling prices are on a stand-alone basis. Therefore, the Company typically is unable to obtain TPE of selling price. ESP reflects the Company’s best estimates of what the selling prices of elements would be if they were sold regularly on a stand-alone basis. The Company determines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management, taking into consideration the Company’s marketing strategy.</w:t>
      </w:r>
    </w:p>
    <w:p>
      <w:pPr>
        <w:spacing w:after="0" w:line="18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the Company cannot objectively determine the fair value of any undelivered element included in such multiple element arrangements, the Company defers revenue until all elements are delivered and services have been performed, or until fair value can objectively be determined for any remaining undelivered elements. Under certain of the Company’s contractual arrangements, the Company may also recognize revenue for out-of-pocket expenses in accordance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Depending on the contractual arrangement, these expenses may be reimbursed with or without a fee.</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Under certain of its contracts, the Company provides supplier procurement services and materials for its customers. The Company records revenue on these arrangements on a gross or net basis in accordance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depending on the specific circumstances of the arrangement. The Company considers the following criteria, among others, for recording revenue on a gross or net basis:</w:t>
      </w:r>
    </w:p>
    <w:p>
      <w:pPr>
        <w:spacing w:after="0" w:line="176" w:lineRule="exact"/>
        <w:rPr>
          <w:sz w:val="20"/>
          <w:szCs w:val="20"/>
          <w:color w:val="auto"/>
        </w:rPr>
      </w:pPr>
    </w:p>
    <w:p>
      <w:pPr>
        <w:ind w:left="1100" w:hanging="471"/>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acts as a principal in the transaction;</w:t>
      </w:r>
    </w:p>
    <w:p>
      <w:pPr>
        <w:spacing w:after="0" w:line="27"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takes title to the products;</w:t>
      </w:r>
    </w:p>
    <w:p>
      <w:pPr>
        <w:spacing w:after="0" w:line="9"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assumes risks and rewards of ownership, such as risk of loss for collection, delivery or returns;</w:t>
      </w:r>
    </w:p>
    <w:p>
      <w:pPr>
        <w:spacing w:after="0" w:line="9"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serves as an agent or broker, with compensation on a commission or fee basis; and,</w:t>
      </w:r>
    </w:p>
    <w:p>
      <w:pPr>
        <w:spacing w:after="0" w:line="9"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assumes the credit risk for the amount billed to the customer subsequent to delivery.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 or if the underlying circumstances were to change. The Company closely monitors the consistent application of its critical accounting policies and compliance with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w:t>
      </w:r>
    </w:p>
    <w:p>
      <w:pPr>
        <w:spacing w:after="0" w:line="18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proceed with work based on customer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customer, communications with the customer regarding funding status, and its knowledge of available funding for the contract or program. As of December 28, 2014 and December 27, 2015, approximately $1.6 million and $1.7 million, respectively, of the Company’s unbilled accounts receivable balance were under an authorization to proceed or work order from its customers where a formal purchase order had not yet been received.</w:t>
      </w:r>
    </w:p>
    <w:p>
      <w:pPr>
        <w:spacing w:after="0" w:line="18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Costs incurred for shipping and handling are included in cost of product sales at the time the related revenue is recognized. Amounts billed to a customer for shipping and handling are reported as revenue.</w:t>
      </w:r>
    </w:p>
    <w:p>
      <w:pPr>
        <w:spacing w:after="0" w:line="158"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Inventoried costs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Inventoried costs are stated at the lower of cost or market. Cost is determined using the average cost or first-in, first-out methods and the applicable method is applied consistently within an operating entity. Inventoried costs primarily relate to work under fixed-price contracts using the units-of-delivery method of percentage-of-completion accounting.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18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Research and Development</w:t>
      </w:r>
    </w:p>
    <w:p>
      <w:pPr>
        <w:spacing w:after="0" w:line="22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Costs incurred in research and development activities are expensed as incurred in accordance with </w:t>
      </w:r>
      <w:r>
        <w:rPr>
          <w:rFonts w:ascii="Times New Roman" w:cs="Times New Roman" w:eastAsia="Times New Roman" w:hAnsi="Times New Roman"/>
          <w:sz w:val="18"/>
          <w:szCs w:val="18"/>
          <w:i w:val="1"/>
          <w:iCs w:val="1"/>
          <w:color w:val="auto"/>
        </w:rPr>
        <w:t>Financial Accounting Standards Board</w:t>
      </w:r>
      <w:r>
        <w:rPr>
          <w:rFonts w:ascii="Times New Roman" w:cs="Times New Roman" w:eastAsia="Times New Roman" w:hAnsi="Times New Roman"/>
          <w:sz w:val="18"/>
          <w:szCs w:val="18"/>
          <w:color w:val="auto"/>
        </w:rPr>
        <w:t xml:space="preserve"> (“FASB”) ASC </w:t>
      </w:r>
      <w:r>
        <w:rPr>
          <w:rFonts w:ascii="Times New Roman" w:cs="Times New Roman" w:eastAsia="Times New Roman" w:hAnsi="Times New Roman"/>
          <w:sz w:val="18"/>
          <w:szCs w:val="18"/>
          <w:i w:val="1"/>
          <w:iCs w:val="1"/>
          <w:color w:val="auto"/>
        </w:rPr>
        <w:t>Topic 730, Research and Development.</w:t>
      </w:r>
    </w:p>
    <w:p>
      <w:pPr>
        <w:spacing w:after="0" w:line="15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00"/>
          </w:cols>
          <w:pgMar w:left="240" w:top="121" w:right="2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the recognition standards established by ASC </w:t>
      </w:r>
      <w:r>
        <w:rPr>
          <w:rFonts w:ascii="Times New Roman" w:cs="Times New Roman" w:eastAsia="Times New Roman" w:hAnsi="Times New Roman"/>
          <w:sz w:val="18"/>
          <w:szCs w:val="18"/>
          <w:i w:val="1"/>
          <w:iCs w:val="1"/>
          <w:color w:val="auto"/>
        </w:rPr>
        <w:t>Topic 740, 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w:t>
      </w:r>
      <w:r>
        <w:rPr>
          <w:rFonts w:ascii="Times New Roman" w:cs="Times New Roman" w:eastAsia="Times New Roman" w:hAnsi="Times New Roman"/>
          <w:sz w:val="18"/>
          <w:szCs w:val="18"/>
          <w:color w:val="auto"/>
        </w:rPr>
        <w:t>”),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78"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w:t>
      </w:r>
      <w:r>
        <w:rPr>
          <w:rFonts w:ascii="Times New Roman" w:cs="Times New Roman" w:eastAsia="Times New Roman" w:hAnsi="Times New Roman"/>
          <w:sz w:val="18"/>
          <w:szCs w:val="18"/>
          <w:i w:val="1"/>
          <w:iCs w:val="1"/>
          <w:color w:val="auto"/>
        </w:rPr>
        <w:t>Topic 718, Compensation-Stock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xml:space="preserve">”). All of the Company’s stock-based compensation plans are considered equity plans under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or a trinomial lattice options pricing model and is expensed on a straight-line basis over the remaining vesting period of the options, which is generally six or less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191"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29, 2013, December 28, 2014 and December 27, 2015, there were no incremental tax benefits from stock options exercised in the periods. The following table shows the amounts recognized in the Consolidated Financial Statements for 2013, 2014 and 2015 for stock-based compensation expense related to stock options, stock awards and to stock offered under the Company’s employee stock purchase plan (in 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5"/>
        </w:trPr>
        <w:tc>
          <w:tcPr>
            <w:tcW w:w="67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cost of employee stock-based compensation included in operating income (loss) from</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81"/>
        </w:trPr>
        <w:tc>
          <w:tcPr>
            <w:tcW w:w="67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continuing operations, before income tax</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on net income (loss) per common share:</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w:t>
            </w:r>
          </w:p>
        </w:tc>
        <w:tc>
          <w:tcPr>
            <w:tcW w:w="63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 w:type="dxa"/>
            <w:vAlign w:val="bottom"/>
            <w:vMerge w:val="continue"/>
          </w:tcPr>
          <w:p>
            <w:pPr>
              <w:spacing w:after="0"/>
              <w:rPr>
                <w:sz w:val="24"/>
                <w:szCs w:val="24"/>
                <w:color w:val="auto"/>
              </w:rPr>
            </w:pPr>
          </w:p>
        </w:tc>
        <w:tc>
          <w:tcPr>
            <w:tcW w:w="63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balance of the Company’s Allowance for Doubtful Accounts for 2013, 2014 and 2015. The table identifies the additional provisions each year as well as the write-offs that utilized the allowance (in millions).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120" w:type="dxa"/>
            <w:vAlign w:val="bottom"/>
            <w:vMerge w:val="restart"/>
          </w:tcPr>
          <w:p>
            <w:pPr>
              <w:spacing w:after="0"/>
              <w:rPr>
                <w:sz w:val="13"/>
                <w:szCs w:val="13"/>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Write-offs/Recoveries</w:t>
            </w:r>
          </w:p>
        </w:tc>
        <w:tc>
          <w:tcPr>
            <w:tcW w:w="100" w:type="dxa"/>
            <w:vAlign w:val="bottom"/>
            <w:vMerge w:val="restart"/>
          </w:tcPr>
          <w:p>
            <w:pPr>
              <w:spacing w:after="0"/>
              <w:rPr>
                <w:sz w:val="13"/>
                <w:szCs w:val="13"/>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 of Year</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29, 2013</w:t>
            </w: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28, 2014</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6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27, 2015</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Company’s cash equivalents consist of its highly liquid investments with an original maturity of three months or less when purchased by the Company.</w:t>
      </w:r>
    </w:p>
    <w:p>
      <w:pPr>
        <w:spacing w:after="0" w:line="162"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Company has restricted cash accounts of approximately $5.4 million at December 28, 2014 and $0.7 million at December 27, 2015. As of December 28, 2014 and December 27, 2015, restricted cash consists primarily of a deposit securing foreign letters of credit related to payment and performance bonds on international contracts.</w:t>
      </w:r>
    </w:p>
    <w:p>
      <w:pPr>
        <w:spacing w:after="0" w:line="172"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net owned by the Company is depreciated over the estimated useful lives of individual assets. Equipment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Assets are depreciated predominately using the straight-line method, with the following lives: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4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 39</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 10</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 – 10</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 furniture, and office equipment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25"/>
        </w:trPr>
        <w:tc>
          <w:tcPr>
            <w:tcW w:w="902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Shorter of useful life or length</w:t>
            </w:r>
          </w:p>
        </w:tc>
      </w:tr>
      <w:tr>
        <w:trPr>
          <w:trHeight w:val="234"/>
        </w:trPr>
        <w:tc>
          <w:tcPr>
            <w:tcW w:w="9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 lease</w:t>
            </w:r>
          </w:p>
        </w:tc>
      </w:tr>
      <w:tr>
        <w:trPr>
          <w:trHeight w:val="27"/>
        </w:trPr>
        <w:tc>
          <w:tcPr>
            <w:tcW w:w="90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uses its incremental borrowing rate in the assessment of lease classification as capital or operating and defines the initial lease term to include renewal options determined to be reasonably assured. The Company conducts operations primarily under operating leases.</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Most lease agreements for real property contain incentives for tenant improvements, rent holidays, or rent escalation clauses. For incentives for tenant improvements, the Company capitalizes the leasehold improvements which are depreciated over the shorter of the lease term or their estimated useful life and records a deferred rent liability which is amortized over the term of the lease as a reduction to rent expense. For rent holidays and rent escalation clauses during the lease term, the Company records minimum rental expenses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for intended use.</w:t>
      </w:r>
    </w:p>
    <w:p>
      <w:pPr>
        <w:spacing w:after="0" w:line="400"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the provisions of ASC </w:t>
      </w:r>
      <w:r>
        <w:rPr>
          <w:rFonts w:ascii="Times New Roman" w:cs="Times New Roman" w:eastAsia="Times New Roman" w:hAnsi="Times New Roman"/>
          <w:sz w:val="18"/>
          <w:szCs w:val="18"/>
          <w:i w:val="1"/>
          <w:iCs w:val="1"/>
          <w:color w:val="auto"/>
        </w:rPr>
        <w:t>Topic 350, Intangibles-Goodwill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350</w:t>
      </w:r>
      <w:r>
        <w:rPr>
          <w:rFonts w:ascii="Times New Roman" w:cs="Times New Roman" w:eastAsia="Times New Roman" w:hAnsi="Times New Roman"/>
          <w:sz w:val="18"/>
          <w:szCs w:val="18"/>
          <w:color w:val="auto"/>
        </w:rPr>
        <w:t>”), the Company performs impairment tests for goodwill and indefinite lived intangibles as of the last day of its fiscal October, or when evidence of potential impairment exists. When it is determined that impairment has occurred, a charge to operations is recorded. Goodwill and other purchased intangible asset balances are included in the identifiable assets of the operating segment to which they have been assigned. Any goodwill impairment, as well as the amortization of other purchased intangible assets, is charged against the respective segments’ operating income.</w:t>
      </w:r>
    </w:p>
    <w:p>
      <w:pPr>
        <w:spacing w:after="0" w:line="180"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Topic 350</w:t>
      </w:r>
      <w:r>
        <w:rPr>
          <w:rFonts w:ascii="Times New Roman" w:cs="Times New Roman" w:eastAsia="Times New Roman" w:hAnsi="Times New Roman"/>
          <w:sz w:val="18"/>
          <w:szCs w:val="18"/>
          <w:color w:val="auto"/>
        </w:rPr>
        <w:t>, the Company classifies intangible assets into three categories: (1) intangible assets with finite lives subject to amortization, (2) intangible assets with indefinite lives not subject to amortization, and (3) goodwill.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18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39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7"/>
          <w:szCs w:val="17"/>
          <w:b w:val="1"/>
          <w:bCs w:val="1"/>
          <w:color w:val="auto"/>
        </w:rPr>
        <w:t>Impairment of Long-Lived Assets and Long-Lived Assets to Be Disposed Of</w:t>
      </w:r>
    </w:p>
    <w:p>
      <w:pPr>
        <w:spacing w:after="0" w:line="22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Long-lived assets and certain identifiable intangibles are reviewed for impairment in accordance with ASC </w:t>
      </w:r>
      <w:r>
        <w:rPr>
          <w:rFonts w:ascii="Times New Roman" w:cs="Times New Roman" w:eastAsia="Times New Roman" w:hAnsi="Times New Roman"/>
          <w:sz w:val="18"/>
          <w:szCs w:val="18"/>
          <w:i w:val="1"/>
          <w:iCs w:val="1"/>
          <w:color w:val="auto"/>
        </w:rPr>
        <w:t>Topic 360, 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whenever events or changes in circumstances indicate that the carrying amount of an asset may not be recoverable. Recoverability of assets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78"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ASC </w:t>
      </w:r>
      <w:r>
        <w:rPr>
          <w:rFonts w:ascii="Times New Roman" w:cs="Times New Roman" w:eastAsia="Times New Roman" w:hAnsi="Times New Roman"/>
          <w:sz w:val="18"/>
          <w:szCs w:val="18"/>
          <w:i w:val="1"/>
          <w:iCs w:val="1"/>
          <w:color w:val="auto"/>
        </w:rPr>
        <w:t>Topic 825, Financial Instruments,</w:t>
      </w:r>
      <w:r>
        <w:rPr>
          <w:rFonts w:ascii="Times New Roman" w:cs="Times New Roman" w:eastAsia="Times New Roman" w:hAnsi="Times New Roman"/>
          <w:sz w:val="18"/>
          <w:szCs w:val="18"/>
          <w:color w:val="auto"/>
        </w:rPr>
        <w:t xml:space="preserve"> requires that fair values be disclosed for the Company’s financial instruments. The carrying amounts of cash equivalents, accounts receivable, accounts payable, accrued expenses, billings in excess of costs and earnings on uncompleted contracts, and income taxes payable, approximate fair value due to the short-term nature of these instruments. The fair value of the Company’s long-term debt is based upon actual trading activity. The fair value of capital lease obligations is estimated based on quoted market prices for the same or similar obligations with the same remaining maturities.</w:t>
      </w:r>
    </w:p>
    <w:p>
      <w:pPr>
        <w:spacing w:after="0" w:line="178"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and Uncertainties</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12 of these Notes to Consolidated Financial Statements for a discussion of the Company’s significant customers.</w:t>
      </w:r>
    </w:p>
    <w:p>
      <w:pPr>
        <w:spacing w:after="0" w:line="1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(r)</w:t>
      </w:r>
      <w:r>
        <w:rPr>
          <w:sz w:val="20"/>
          <w:szCs w:val="20"/>
          <w:color w:val="auto"/>
        </w:rPr>
        <w:tab/>
      </w:r>
      <w:r>
        <w:rPr>
          <w:rFonts w:ascii="Times New Roman" w:cs="Times New Roman" w:eastAsia="Times New Roman" w:hAnsi="Times New Roman"/>
          <w:sz w:val="17"/>
          <w:szCs w:val="17"/>
          <w:b w:val="1"/>
          <w:bCs w:val="1"/>
          <w:color w:val="auto"/>
        </w:rPr>
        <w:t>Debt Issuance Costs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Fees paid to obtain debt financing and revolving credit facilities or amendments under such debt financing and revolving credit facilities are treated as debt issuance costs and are capitalized and amortized over the expected term of the related debt or revolving credit facility and are shown as a financing activity in the Consolidated Statements of Cash Flows. Issuance costs related to debt are presented in the Consolidated Balance Sheet as a direct deduction from the carrying amount of the associated debt liability. Issuance costs related to a revolving credit facility are included in other assets in the Consolidated Balance Sheet.</w:t>
      </w:r>
    </w:p>
    <w:p>
      <w:pPr>
        <w:spacing w:after="0" w:line="180"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Expense, Net</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Interest expense, net in the Consolidated Statements of Operations and Comprehensive Income (Loss) is summarized in the following table (in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incurred primarily on the Company’s Senior Secured Notes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Miscellaneous interest income</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w:t>
            </w:r>
          </w:p>
        </w:tc>
        <w:tc>
          <w:tcPr>
            <w:tcW w:w="63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 w:type="dxa"/>
            <w:vAlign w:val="bottom"/>
            <w:vMerge w:val="continue"/>
          </w:tcPr>
          <w:p>
            <w:pPr>
              <w:spacing w:after="0"/>
              <w:rPr>
                <w:sz w:val="24"/>
                <w:szCs w:val="24"/>
                <w:color w:val="auto"/>
              </w:rPr>
            </w:pPr>
          </w:p>
        </w:tc>
        <w:tc>
          <w:tcPr>
            <w:tcW w:w="63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 in the Consolidated Statements of Stockholders’ Equity.</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aggregate foreign currency transaction loss included in determining net loss for the years ended December 29, 2013, December 28, 2014, and December 27, 2015 was approximately $0.3 million, $0.0 million, and $0.8 million, respectively, which is included in other income (expense), net on the accompanying Consolidated Statements of Operations and Comprehensive Income (Loss).</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(u)</w:t>
      </w:r>
      <w:r>
        <w:rPr>
          <w:sz w:val="20"/>
          <w:szCs w:val="20"/>
          <w:color w:val="auto"/>
        </w:rPr>
        <w:tab/>
      </w:r>
      <w:r>
        <w:rPr>
          <w:rFonts w:ascii="Times New Roman" w:cs="Times New Roman" w:eastAsia="Times New Roman" w:hAnsi="Times New Roman"/>
          <w:sz w:val="17"/>
          <w:szCs w:val="17"/>
          <w:b w:val="1"/>
          <w:bCs w:val="1"/>
          <w:color w:val="auto"/>
        </w:rPr>
        <w:t>Product Warranties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Certain of the Company’s products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8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2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2016-02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ASU requires that lessees recognize assets and liabilities for the rights and obligations for leases with a lease term of more than one year. The amendments in this ASU are effective for annual periods ending after December 15, 2018. Early adoption is permitted. The Company has not determined the impact of adoption on its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November 2015, the FASB issued Accounting Standards Update 2015-17 (“ASU 2015-17”) </w:t>
      </w:r>
      <w:r>
        <w:rPr>
          <w:rFonts w:ascii="Times New Roman" w:cs="Times New Roman" w:eastAsia="Times New Roman" w:hAnsi="Times New Roman"/>
          <w:sz w:val="18"/>
          <w:szCs w:val="18"/>
          <w:i w:val="1"/>
          <w:iCs w:val="1"/>
          <w:color w:val="auto"/>
        </w:rPr>
        <w:t>Income Taxes (Topic 740): 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Classification of Deferred Taxes</w:t>
      </w:r>
      <w:r>
        <w:rPr>
          <w:rFonts w:ascii="Times New Roman" w:cs="Times New Roman" w:eastAsia="Times New Roman" w:hAnsi="Times New Roman"/>
          <w:sz w:val="18"/>
          <w:szCs w:val="18"/>
          <w:color w:val="auto"/>
        </w:rPr>
        <w:t>. The ASU eliminates the current requirement for organizations to present deferred tax liabilities and assets as current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noncurrent in a classified balance sheet. Instead, organizations will be required to classify all deferred tax assets and liabilities as noncurrent.</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amendments apply to all organizations that present a classified balance sheet. For public companies, the amendments are effective for financial statements issued for annual periods beginning after December 15, 2016, and interim periods within those annual periods. The FASB also decided to permit earlier application by all entities as of the beginning of any interim or annual reporting period. The amendment provides the reporting entity with an option to apply the amendment prospectively, or retrospectively to all prior periods presented in the financial statements. The Company adopted ASU 2015-17 prospectively for the fiscal year ended December 27, 2015.</w:t>
      </w:r>
    </w:p>
    <w:p>
      <w:pPr>
        <w:spacing w:after="0" w:line="182"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August 2015, the FASB issued Accounting Standards Update No. 2015-15 (“ASU 2015-15”), </w:t>
      </w:r>
      <w:r>
        <w:rPr>
          <w:rFonts w:ascii="Times New Roman" w:cs="Times New Roman" w:eastAsia="Times New Roman" w:hAnsi="Times New Roman"/>
          <w:sz w:val="18"/>
          <w:szCs w:val="18"/>
          <w:i w:val="1"/>
          <w:iCs w:val="1"/>
          <w:color w:val="auto"/>
        </w:rPr>
        <w:t>Interest - Imputation of Interest (Subtopic 835-30):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 and Subsequent Measurement of Debt Issuance Costs Associated with Line-of-Credit Arrangements - Amendments to SEC Paragraphs Pursuant to Staff Announcement at June 18, 2015 EITF Meeting</w:t>
      </w:r>
      <w:r>
        <w:rPr>
          <w:rFonts w:ascii="Times New Roman" w:cs="Times New Roman" w:eastAsia="Times New Roman" w:hAnsi="Times New Roman"/>
          <w:sz w:val="18"/>
          <w:szCs w:val="18"/>
          <w:color w:val="auto"/>
        </w:rPr>
        <w:t>. ASU 2015-15 supplements the requirements of ASU 2015-03 by allowing an entity to defer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debt issuance costs related to a line of credit arrangement as an asset and subsequently amortize the deferred costs ratably over the term of the line of credit arrangement. The Company adopted ASU 2015-15 for the fiscal year ended December 27, 2015 which did not have any effect on its consolidated financial statements.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August 2015, the FASB issued Accounting Standards Update 2015-14 (“ASU 2015-14”) </w:t>
      </w:r>
      <w:r>
        <w:rPr>
          <w:rFonts w:ascii="Times New Roman" w:cs="Times New Roman" w:eastAsia="Times New Roman" w:hAnsi="Times New Roman"/>
          <w:sz w:val="18"/>
          <w:szCs w:val="18"/>
          <w:i w:val="1"/>
          <w:iCs w:val="1"/>
          <w:color w:val="auto"/>
        </w:rPr>
        <w:t>Revenue from Contracts with Customers, Deferral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that deferred the effective date of FASB issued Accounting Standards Update 2014-09 (“ASU 2014-09”),</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Pursuant to ASU 2015-14, public business entities, certain not-for-profit entities, and certain employee benefit plans should apply the guidance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2014-09 to annual reporting periods beginning after December 15, 2017, including interim reporting periods within that reporting period. The FASB issued ASU 2014-09 in May 2014. ASU 2014-09 affects any entity using GAAP that either enters into contracts with customers to transfer goods or services or enters into contracts for the transfer of nonfinancial assets unless those contracts are within the scope of other standards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insurance contracts or lease contracts). ASU 2014-09 will supersede the revenue recognition requirements in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and most industry-specific guidance. ASU 2014-09 also supersedes some cost guidance included in ASC </w:t>
      </w:r>
      <w:r>
        <w:rPr>
          <w:rFonts w:ascii="Times New Roman" w:cs="Times New Roman" w:eastAsia="Times New Roman" w:hAnsi="Times New Roman"/>
          <w:sz w:val="18"/>
          <w:szCs w:val="18"/>
          <w:i w:val="1"/>
          <w:iCs w:val="1"/>
          <w:color w:val="auto"/>
        </w:rPr>
        <w:t>Subtopic 605-35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Recognition-Construction-Type and Production-Type Contracts.</w:t>
      </w:r>
      <w:r>
        <w:rPr>
          <w:rFonts w:ascii="Times New Roman" w:cs="Times New Roman" w:eastAsia="Times New Roman" w:hAnsi="Times New Roman"/>
          <w:sz w:val="18"/>
          <w:szCs w:val="18"/>
          <w:color w:val="auto"/>
        </w:rPr>
        <w:t xml:space="preserve"> The guidance permits companies to either apply the requirements retrospectively to all prior periods presented or apply the requirements in the year of adoption, through a cumulative adjustment. The Company has not yet selected a transition method nor has it determined the impact of adoption on its Consolidated Financial Statements.</w:t>
      </w:r>
    </w:p>
    <w:p>
      <w:pPr>
        <w:spacing w:after="0" w:line="19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April 2015, the FASB issued Accounting Standards Update No. 2015-03 (“ASU 2015-03”), </w:t>
      </w:r>
      <w:r>
        <w:rPr>
          <w:rFonts w:ascii="Times New Roman" w:cs="Times New Roman" w:eastAsia="Times New Roman" w:hAnsi="Times New Roman"/>
          <w:sz w:val="18"/>
          <w:szCs w:val="18"/>
          <w:i w:val="1"/>
          <w:iCs w:val="1"/>
          <w:color w:val="auto"/>
        </w:rPr>
        <w:t>Interest - Imputation of Interest (Subtopic 835-30):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Simplifying the Presentation of Debt Issuance Costs. </w:t>
      </w:r>
      <w:r>
        <w:rPr>
          <w:rFonts w:ascii="Times New Roman" w:cs="Times New Roman" w:eastAsia="Times New Roman" w:hAnsi="Times New Roman"/>
          <w:sz w:val="18"/>
          <w:szCs w:val="18"/>
          <w:color w:val="auto"/>
        </w:rPr>
        <w:t>ASU 2015-03 requires that debt issuance costs related to a recognized debt liability be presented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as a direct deduction from the carrying amount of that debt liability, consistent with debt discounts. The recognition and measurement guidance for debt issuance costs are not affected by the amendments in ASU 2015-03. The amendments in this ASU are effective for financial statements issued for fiscal years beginning after December 15, 2015 and interim periods within those fiscal years and early adoption of the amendments is permitted for financial statements that have not been previously issued and should be applied on a retrospective basis. The Company adopted ASU 2015-03 for the fiscal year ended December 27, 2015, which resulted in a reclassification of $1.7 million and $1.3 million from other current assets as well as $5.9 million and $3.0 million from other assets to long term debt as of December 28, 2014 and December 27, 2015, respectively.</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August 2014, the FASB issued Accounting Standards Update 2014-15 (“ASU 2014-15”), </w:t>
      </w:r>
      <w:r>
        <w:rPr>
          <w:rFonts w:ascii="Times New Roman" w:cs="Times New Roman" w:eastAsia="Times New Roman" w:hAnsi="Times New Roman"/>
          <w:sz w:val="18"/>
          <w:szCs w:val="18"/>
          <w:i w:val="1"/>
          <w:iCs w:val="1"/>
          <w:color w:val="auto"/>
        </w:rPr>
        <w:t>Presentation of Financial Statements-Going Concern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205-40): Disclosure of Uncertainties about an Entity’s Ability to Continue as a Going Concern. </w:t>
      </w:r>
      <w:r>
        <w:rPr>
          <w:rFonts w:ascii="Times New Roman" w:cs="Times New Roman" w:eastAsia="Times New Roman" w:hAnsi="Times New Roman"/>
          <w:sz w:val="18"/>
          <w:szCs w:val="18"/>
          <w:color w:val="auto"/>
        </w:rPr>
        <w:t>ASU 2014-15 is intended to define management’s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to evaluate whether there is substantial doubt about an organization’s ability to continue as a going concern and to provide related footnote disclosures. Under GAAP, financial statements are prepared under the presumption that the reporting organization will continue to operate as a going concern, except in limited circumstances. Financial reporting under this presumption is commonly referred to as the going concern basis of accounting. The going concern basis of accounting is critical to financial reporting because it establishes the fundamental basis for measuring and classifying assets and liabilities. Currently, GAAP lacks guidance about management’s responsibility to evaluate whether there is substantial doubt about the organization’s ability to continue as a going concern or to provide related footnote disclosures. ASU 2014-15 provides guidance to an organization’s management, with principles and definitions that are intended to reduce diversity in the timing and content of disclosures that are commonly provided by organizations today in the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00"/>
          </w:cols>
          <w:pgMar w:left="240" w:top="121" w:right="25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financial statement footnotes. The amendments are effective for annual periods ending after December 15, 2016, including interim periods within that reporting period. Early application is permitted for annual or interim reporting periods for which the financial statements have not previously been issued. The Company does not believe that the adoption of this guidance will have a material impact on its consolidated financial statements.</w:t>
      </w:r>
    </w:p>
    <w:p>
      <w:pPr>
        <w:spacing w:after="0" w:line="174" w:lineRule="exact"/>
        <w:rPr>
          <w:sz w:val="20"/>
          <w:szCs w:val="20"/>
          <w:color w:val="auto"/>
        </w:rPr>
      </w:pPr>
    </w:p>
    <w:p>
      <w:pPr>
        <w:ind w:right="40" w:firstLine="716"/>
        <w:spacing w:after="0" w:line="253" w:lineRule="auto"/>
        <w:rPr>
          <w:sz w:val="20"/>
          <w:szCs w:val="20"/>
          <w:color w:val="auto"/>
        </w:rPr>
      </w:pPr>
      <w:r>
        <w:rPr>
          <w:rFonts w:ascii="Times New Roman" w:cs="Times New Roman" w:eastAsia="Times New Roman" w:hAnsi="Times New Roman"/>
          <w:sz w:val="18"/>
          <w:szCs w:val="18"/>
          <w:color w:val="auto"/>
        </w:rPr>
        <w:t xml:space="preserve">In April 2014, the FASB issued Accounting Standards Update 2014-08 (“ASU 2014-08”), </w:t>
      </w:r>
      <w:r>
        <w:rPr>
          <w:rFonts w:ascii="Times New Roman" w:cs="Times New Roman" w:eastAsia="Times New Roman" w:hAnsi="Times New Roman"/>
          <w:sz w:val="18"/>
          <w:szCs w:val="18"/>
          <w:i w:val="1"/>
          <w:iCs w:val="1"/>
          <w:color w:val="auto"/>
        </w:rPr>
        <w:t>Presentation of Financial Statements (Topic 205)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Property, Plant, and Equipment (Topic 360): Reporting Discontinued Operations and Disclosures of Disposals of Components of an Entity. </w:t>
      </w:r>
      <w:r>
        <w:rPr>
          <w:rFonts w:ascii="Times New Roman" w:cs="Times New Roman" w:eastAsia="Times New Roman" w:hAnsi="Times New Roman"/>
          <w:sz w:val="18"/>
          <w:szCs w:val="18"/>
          <w:color w:val="auto"/>
        </w:rPr>
        <w:t>The amendments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ASU 2014-08 change the criteria for reporting discontinued operations and require enhanced disclosures in this area. Under the new guidance, only disposals representing a strategic shift in operations should be presented as discontinued operations. Those strategic shifts should have a major effect on the organization’s operations and financial results. Examples include a disposal of a major geographic area, a major line of business, or a major equity method investment. In addition, the new guidance requires expanded disclosures about discontinued operations that will provide financial statement users with more information about the assets, liabilities, income, and expenses of discontinued operations. The new guidance also requires disclosure of the pre-tax income attributable to a disposal of a significant part of an organization that does not qualify for discontinued operations reporting. The amendments in ASU 2014-08 were effective in the first quarter of 2015 for public organizations with calendar year ends. The Company adopted this standard in the quarter ended March 29, 2015. As discussed in “Discontinued Operations” in Note 8 of these Notes to Consolidated Financial Statements, the Consolidated Financial Statements set forth in this Form 10-K have been recast for all periods presented to reflect the disposition of the Herley Entities as discontinued operations.</w:t>
      </w:r>
    </w:p>
    <w:p>
      <w:pPr>
        <w:spacing w:after="0" w:line="19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22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7" w:lineRule="exact"/>
        <w:rPr>
          <w:sz w:val="20"/>
          <w:szCs w:val="20"/>
          <w:color w:val="auto"/>
        </w:rPr>
      </w:pPr>
    </w:p>
    <w:p>
      <w:pPr>
        <w:ind w:right="6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performs its annual impairment test for goodwill in accordance with </w:t>
      </w:r>
      <w:r>
        <w:rPr>
          <w:rFonts w:ascii="Times New Roman" w:cs="Times New Roman" w:eastAsia="Times New Roman" w:hAnsi="Times New Roman"/>
          <w:sz w:val="18"/>
          <w:szCs w:val="18"/>
          <w:i w:val="1"/>
          <w:iCs w:val="1"/>
          <w:color w:val="auto"/>
        </w:rPr>
        <w:t>Topic 350</w:t>
      </w:r>
      <w:r>
        <w:rPr>
          <w:rFonts w:ascii="Times New Roman" w:cs="Times New Roman" w:eastAsia="Times New Roman" w:hAnsi="Times New Roman"/>
          <w:sz w:val="18"/>
          <w:szCs w:val="18"/>
          <w:color w:val="auto"/>
        </w:rPr>
        <w:t xml:space="preserve"> as of the last day of its fiscal October or when evidence of potential impairment exists.</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determining the fair value for the reporting units, there are key assumptions relating to future operating performance and revenue growth. If the actual operating performance and financial results are not consistent with our assumptions, an impairment in our $483.4 million goodwill and $36.5 million intangible assets could occur in future periods. Market factors that could impact our ability to successfully develop new products include the successful completion of certain unmanned system platforms, and the successful acceptance of new unmanned system platforms, including from a political and budgetary standpoint. For example, the US reporting unit fair value includes assumptions that the development of the high performance Unmanned Combat Aerial System (“UCAS”) product is successful and we are awarded future contracts for the UCAS product and other new tactical aerial systems. Additionally, the US reporting unit fair value assumes that we will receive follow on orders for the Sub-Sonic Aerial Target (“SSAT”), which is currently under contract with the US Navy.</w:t>
      </w:r>
    </w:p>
    <w:p>
      <w:pPr>
        <w:spacing w:after="0" w:line="18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KGS reportable segment has four operating segments: Defense Rocket Support Services (“DRSS”), Microwave Electronics (“ME”), Technical and Training Solutions (“TTS”), and Modular Systems (“MS”). All of the KGS operating segments provide technology based defense solutions, involving products and services, primarily for mission critical U.S. National Security priorities, with the primary focus relating to the nation’s Command, Control, Communications, Computing, Combat Systems, Intelligence, Surveillance and Reconnaissance requirements. The PSS reportable business segment provides integrated solutions for advanced homeland security, public safety, critical infrastructure security, and security and surveillance systems for government, industrial and commercial customers. The US reportable segment consists of our unmanned aerial system and unmanned ground and seaborne system businesses.</w:t>
      </w:r>
    </w:p>
    <w:p>
      <w:pPr>
        <w:spacing w:after="0" w:line="14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Concurrent with the sale on August 21, 2015 of the U.S. and U.K. operations of its Electronic Products Division to Ultra Electronics Holdings plc (see Note 8) the Company changed the name of its Electronic Products Division to the Microwave Electronics Division (“ME”). In the second quarter of 2015, as a result of the pending</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disposition of the Herley Entities, the Company performed a valuation analysis to apportion the carrying value of the goodwill of its EP reportable unit to the retained ME products business and the Herley Entities which were subsequently sold. As a result, the KGS reportable segment is comprised of an aggregation of Kratos’ Government Solutions operating segments, including our microwave products, satellite communications, modular systems and rocket support operating segments. The Company identified its reporting units to be the DRSS, ME, TTS, MS, US and PSS operating segments, which were tested for potential impairment in the fiscal year 2015 annual test.</w:t>
      </w:r>
    </w:p>
    <w:p>
      <w:pPr>
        <w:spacing w:after="0" w:line="14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order to test for potential impairment, the Company estimates the fair value of each of its reporting units based on a comparison and weighting of the income approach, specifically the discounted cash flow method and the market approach, which estimates the fair value of the Company’s reporting units based upon comparable market prices and recent transactions and also validates the reasonableness of the implied multiples from the income approach. The Company reconciles the fair value of its reporting units to its market capitalization based upon the last business day of fiscal October and assumes a control premium. The Company uses this methodology to determine the fair value of its reporting units for comparison to their corresponding book values because there are no observable inputs available, a Level 3 measurement (See Note 9 of these Notes to Consolidated Financial Statements). If the book value exceeds the estimated fair value for a reporting unit a potential impairment is indicated, and </w:t>
      </w:r>
      <w:r>
        <w:rPr>
          <w:rFonts w:ascii="Times New Roman" w:cs="Times New Roman" w:eastAsia="Times New Roman" w:hAnsi="Times New Roman"/>
          <w:sz w:val="18"/>
          <w:szCs w:val="18"/>
          <w:i w:val="1"/>
          <w:iCs w:val="1"/>
          <w:color w:val="auto"/>
        </w:rPr>
        <w:t>Topic 350</w:t>
      </w:r>
      <w:r>
        <w:rPr>
          <w:rFonts w:ascii="Times New Roman" w:cs="Times New Roman" w:eastAsia="Times New Roman" w:hAnsi="Times New Roman"/>
          <w:sz w:val="18"/>
          <w:szCs w:val="18"/>
          <w:color w:val="auto"/>
        </w:rPr>
        <w:t xml:space="preserve"> prescribes the approach for determining the impairment amount, if 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concluded that its goodwill was not impaired at December 27, 2015.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amounts of goodwill as of December 28, 2014 and December 27, 2015 by reportable segment are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PSS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KGS</w:t>
            </w: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value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730.8</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2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247.4</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483.4</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Purchased Intangible Assets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for acquired finite-lived and indefinite-lived intangible assets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28, 2014</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27, 2015</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9"/>
        </w:trPr>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880" w:type="dxa"/>
            <w:vAlign w:val="bottom"/>
          </w:tcPr>
          <w:p>
            <w:pPr>
              <w:jc w:val="right"/>
              <w:ind w:right="374"/>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5"/>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5"/>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finite-lived intangible assets: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and backlog</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 and technical know-how</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Favorable operating lease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aggregate amortization expense for finite-lived intangible assets was $32.8 million, $19.1 million and $13.0 million for the years ended December 29, 2013, December 28, 2014, and December 27, 2015, respectively.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Company records all amortization expense in selling, general and administrative expenses in the Consolidated Statements of Operations and Comprehensive Income (Loss).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estimated future amortization expense of acquired intangible assets with finite lives as of December 27, 2015 is as follows (in millions):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3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9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w:t>
            </w:r>
          </w:p>
        </w:tc>
      </w:tr>
      <w:tr>
        <w:trPr>
          <w:trHeight w:val="20"/>
        </w:trPr>
        <w:tc>
          <w:tcPr>
            <w:tcW w:w="9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Balance Sheet Details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detail of certain assets in the Consolidated Balance Sheets consists of the following (in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Company’s cash equivalents consist of overnight cash sweep accounts that are invested on a daily basis. Cash and cash equivalents at December 28, 2014 and December 27, 2015 were $33.5 million and $28.5 million, respectively and approximated their fair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 (in millions)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Receivables including amounts due under long-term contracts are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27, 2015</w:t>
            </w:r>
          </w:p>
        </w:tc>
      </w:tr>
      <w:tr>
        <w:trPr>
          <w:trHeight w:val="249"/>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Billed, current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96.6</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Unbilled, current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112.0</w:t>
            </w: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208.6</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206.8</w:t>
            </w: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Unbilled receivables represent the balance of recoverable costs and accrued profit, composed principally of revenue recognized on contracts for which billings have not been presented to the customer because the amounts were earned but not contractually billable as of the balance sheet date. Retainages receivable were $6.1 million as of December 28, 2014 and $6.4 million as of December 27, 2015 and are included in accounts receivable, net in the Consolidated Balance Sheets.</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Substantially all accounts receivable at December 27, 2015, are expected to be collected in 2016. The Company does not believe it has significant exposure to credit risk, as accounts receivable and the related unbilled amounts are primarily from contracts where the end customer is the U.S. Government.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contract receivables where the Company is the prime contractor included in accounts receivable, net (in millions)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27, 2015</w:t>
            </w: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Billed</w:t>
            </w:r>
          </w:p>
        </w:tc>
        <w:tc>
          <w:tcPr>
            <w:tcW w:w="4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Unbilled</w:t>
            </w:r>
          </w:p>
        </w:tc>
        <w:tc>
          <w:tcPr>
            <w:tcW w:w="4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43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U.S. Government contract receivables</w:t>
            </w:r>
          </w:p>
        </w:tc>
        <w:tc>
          <w:tcPr>
            <w:tcW w:w="4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4140" w:type="dxa"/>
            <w:vAlign w:val="bottom"/>
            <w:gridSpan w:val="2"/>
          </w:tcPr>
          <w:p>
            <w:pPr>
              <w:jc w:val="right"/>
              <w:ind w:right="2620"/>
              <w:spacing w:after="0"/>
              <w:rPr>
                <w:sz w:val="20"/>
                <w:szCs w:val="20"/>
                <w:color w:val="auto"/>
              </w:rPr>
            </w:pPr>
            <w:r>
              <w:rPr>
                <w:rFonts w:ascii="Times New Roman" w:cs="Times New Roman" w:eastAsia="Times New Roman" w:hAnsi="Times New Roman"/>
                <w:sz w:val="18"/>
                <w:szCs w:val="18"/>
                <w:color w:val="auto"/>
              </w:rPr>
              <w:t>F-19</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Inventoried costs, net of progress payments (in millions)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3"/>
                <w:szCs w:val="13"/>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Supplies and other</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Subtotal inventoried costs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customer advances and progress payments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inventoried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 net (in millions)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58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27, 2015</w:t>
            </w:r>
          </w:p>
        </w:tc>
        <w:tc>
          <w:tcPr>
            <w:tcW w:w="0" w:type="dxa"/>
            <w:vAlign w:val="bottom"/>
          </w:tcPr>
          <w:p>
            <w:pPr>
              <w:spacing w:after="0"/>
              <w:rPr>
                <w:sz w:val="1"/>
                <w:szCs w:val="1"/>
                <w:color w:val="auto"/>
              </w:rPr>
            </w:pP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buildings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$13.6 million, $13.3 million and $12.5 million for the years ended December 29, 2013, December 28, 2014, and December 27, 2015, respectively.</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Debt</w:t>
      </w:r>
    </w:p>
    <w:p>
      <w:pPr>
        <w:spacing w:after="0" w:line="22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2014, the Company refinanced its $625.0 million 10% Senior Secured Notes due in 2017 (the “10% Notes”) with $625.0 million of newly issued 7.00% Senior Secured Notes due in 2019 (the “7% Notes”). The net proceeds of the 7% Notes was $618.5 million after an original issue discount of $6.5 million. The Company incurred debt issuance costs of $8.8 million associated with the new 7% Notes. The Company utilized the net proceeds from the 7% Notes, a $41.0 million draw on the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completed the offering of the 7.00% Notes (hereafter the “Notes”) in a private placement conducted pursuant to Rule 144A and Regulation S under the Securities Act of 1933, as amended (the “Act”). The Notes are governed by an Indenture dated May 14, 2014 (the “Indenture”) among the Company, certain of the Company’s subsidiaries (the “Subsidiary Guarantors”) and Wilmington Trust, National Association, as Trustee and Collateral Agent. A Guarantor can be released from its Guarantee if (a) all of the Capital Stock issued by such Guarantor or all or substantially all of the assets of such Guarantor are sold or otherwise disposed of; (b) the Company designates such Guarantor as an Unrestricted Subsidiary; (c) if the Company exercises its legal defeasance option or its covenant defeasance option; or (d) upon satisfaction and discharge of the Indenture or payment in full in cash of the principal or, premium, if any, accrued and unpaid interest.</w:t>
      </w:r>
    </w:p>
    <w:p>
      <w:pPr>
        <w:spacing w:after="0" w:line="1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holders of the Notes have a first priority lien on substantially all of the Company’s assets and the assets of the Subsidiary Guarantors, except with respect to accounts receivable, inventory, deposit accounts, securities accounts, cash,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securities and general intangibles (other than intellectual property), on which the holders of the Notes have a second priority lien to the Company’s $110.0 million Credit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pays interest on the Notes semi-annually, in arrears, on May 15 and November 15 of each year.</w:t>
      </w:r>
    </w:p>
    <w:p>
      <w:pPr>
        <w:spacing w:after="0" w:line="5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27, 2015, the Company was in compliance with the covenants contained in the Indenture governing the Notes.</w:t>
      </w:r>
    </w:p>
    <w:p>
      <w:pPr>
        <w:spacing w:after="0" w:line="18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the Company may redeem up to 35% of the Notes at 107% of the aggregate principal amount of such Notes plus accrued and unpaid interest before May 15, 2016 with the net proceeds of certain equity offerings. The Company may also redeem some or all of the Notes before May 15, 2016 at a redemption price of 100% of the principal amount thereof plus accrued and unpaid interest, if any, to the redemption date, plus a “make whole” premium. In addition, at one time prior to May 15, 2016, the Company may redeem up to 10% of the original aggregate principal amount of the Notes issued under the Indenture at a redemption price of 103% of the principal amount thereof, plus accrued and unpaid interest to the date of redemption.</w:t>
      </w:r>
    </w:p>
    <w:p>
      <w:pPr>
        <w:spacing w:after="0" w:line="18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October 16, 2014, the Company exchanged the outstanding Notes for an equal amount of new Notes that have been registered under the Act. The terms of the Notes issued in the exchange offer are identical in all material respects to the terms of the Notes, except the Notes issued in the exchange offer have been registered under the Act.</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terms of the Indenture require that the net cash proceeds from asset dispositions be either utilized to (i) repay or prepay amounts outstanding under the Company’s Indenture and Credit Agreement unless such amounts are reinvested in similar collateral, (ii) make an investment in assets that replace the collateral of the Notes or (iii) a combination of both (i) and (ii). To the extent there are any remaining net proceeds from the asset disposition after application of (i) and (ii), such amounts are required to be utilized to repurchase Notes at par after 360 days following the asset disposition.</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Following the sale of the Herley Entities (see Note 8 of these Notes to the Consolidated Financial Statements), the Company, on August 21, 2015, paid down the $41.0 million outstanding on the Company’s $110.0 million Credit Agreement and on September 22, 2015, repurchased $175.0 million of the Notes at par, in accordance with the Indenture. At December 27, 2015, the Company has approximately $4.0 million to $6.0 million of estimated remaining net proceeds. The Company intends to invest the remaining proceeds in replacement collateral under the Indenture within the 360 days following the asset disposition.</w:t>
      </w:r>
    </w:p>
    <w:p>
      <w:pPr>
        <w:spacing w:after="0" w:line="18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Related to the $175.0 million repurchase, the Company wrote off $1.8 million of unamortized issue costs, $1.4 million of unamortized discount, and incurred $0.2 million of legal fees, which resulted in a loss on extinguishment of debt of $3.4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27, 2015, there was $450.0 million in Notes outstanding.</w:t>
      </w: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Other Indebtedness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$110.0 Million Credit Facility</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May 14, 2014, the Company replaced its credit facility with KeyBank National Association and entered into the Credit Agreement.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the Company’s assets and the assets of the Subsidiary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or any representation, warranty or statement made in or pursuant to the Credit Agreement or any related writing or any other material information furnished by the Company or any of its subsidiaries to the Agent or the lenders shall prove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shall automatically and immediately terminate and the principal of, and interest then outstanding on, all of the loans shall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At December 27, 2015 and December 28, 2014, no event of default had occurred and the Company believed that events or conditions having a material adverse effect, giving rise to an acceleration of any amounts outstanding under the Credit Agreement, had not occurred and was remote.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Borrowings under the revolving Credit Agreement may take the form of a base rate revolving loan, Eurodollar revolving loan or swingline</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w:t>
      </w:r>
    </w:p>
    <w:p>
      <w:pPr>
        <w:spacing w:after="0" w:line="1" w:lineRule="exact"/>
        <w:rPr>
          <w:sz w:val="20"/>
          <w:szCs w:val="20"/>
          <w:color w:val="auto"/>
        </w:rPr>
      </w:pPr>
    </w:p>
    <w:p>
      <w:pPr>
        <w:ind w:right="20" w:firstLine="8"/>
        <w:spacing w:after="0" w:line="252"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London Interbank Offered Rate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and a minimum $175.0 million repurchase of the Notes by the Company, and the payment in full of the outstanding balance of the Credit Agreement was required upon consummation of the sale of the Herley Entities. Additionally, the measurement of the fixed charge coverage ratio of 1.15:1 was modified as follows: (i) the fixed charge coverage ratio will not be measured as of the quarterly reporting period ending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will be applied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1.10:1 will be applied if the aforementioned percentage is equal to or greater than 15.00% but less than 25.00%. In all other instances, the fixed charge coverage ratio remains at 1.15:1. For purposes of computing the fixed charge coverage ratio, consolidated interest expense in connection with the repurchase of Notes with proceeds from the sale of the Herley Entities shall be deemed to have occurred on the first day of the most recently completed four quarterly reporting period.</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terms of the Third Amendment also included the establishment of a reserve (the “Herley Disposition Proceeds Reinvestment Reserve”), that will reduce the maximum facility of $110.0 million. With the sale of the Herley Entities, a $50.8 million reserve was established based upon the collateral carrying value under the Credit Agreement of the Herley Entities disposed. The reserve will be adjusted monthly for the subsequent cumulative reinvestment in similar collateral assets over a period not to exceed 360 days from the sale of the Herley Entities. As of December 27, 2015, the reserve, adjusted for cumulative reinvestment in similar collateral assets since the sale of the Herley Entities was $4.9 million, resulting in a reduced maximum facility of $105.1 million. To the extent that reinvestment occurs in similar collateral assets, the facility will be reinstated accordingly up to a maximum of $110.0 million. The Company expects to make investments in assets that will</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 the collateral which will reinstate the maximum facility to the full $110.0 million.</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August 19,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27, 2015, there were no borrowings outstanding on the Credit Agreement and $11.1 million outstanding on letters of credit, resulting in net borrowing base availability of $60.1 million. The Company was in compliance with the financial covenants of the Credit Agreement and its amendments as of December 27, 2015.</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Acquired in Acquisition</w:t>
      </w:r>
    </w:p>
    <w:p>
      <w:pPr>
        <w:spacing w:after="0" w:line="22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 has a 10-year term loan with a bank in Israel entered into on September 16, 2008 in connection with the acquisition of one of its wholly owned subsidiaries. The balance as of December 27, 2015 was $2.7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as of December 27, 2015.</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2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Carrying amounts and the related estimated fair values of the Company’s long-term debt financial instruments not measured at fair value on a recurring basis at December 28, 2014 and December 27, 2015 are presented in the following table: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28, 2014</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27, 2015</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2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669.8</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452.7</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was based upon actual trading activity (Level 1, Observable inputs —quoted prices in active markets).</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27, 2015, the difference between the carrying amount of $445.1 million and the principal amount of $452.7 million presented in the previous table, is the net unamortized original issue discount of $3.3 million and the unamortized debt issuance costs of $4.3 million, which are being accreted to interest expense over the term of the related debt.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maturities of long-term debt for each of the years ending 2016 and 2017 are $1.0 million per year, $0.7 million in 2018, and $450.0 million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Lease Commitments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Company leases certain facilities and equipment under operating and capital leases having terms expiring at various dates through 2025.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capital and operating leases as of December 27, 2015, which does not include $14.2 million in sublease income on the Company’s operating leases, are as follows (in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49"/>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10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related to capital leases was $0.2 million, $0.2 million and $0.0 million for the years ended December 29, 2013, December 28, 2014 and December 27, 2015, respectively.</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Gross rent expense under operating leases for the years ended December 29, 2013, December 28, 2014, and December 27, 2015 was $20.2 million, $24.6 million, and $23.1 million, respectively. Total sublease income for the years ended December 29, 2013, December 28, 2014, and December 27, 2015, totaling $2.3 million, $3.3 million, and $3.3 million, respectively, has been netted against rent expense.</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Company’s accrual for excess facilities was $12.4 million, $11.3 million, and $5.5 million as of December 29, 2013, December 28, 2014 and December 27, 2015, respectively. The Company estimates that the remaining accrual will be paid through 2020.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accrual for excess facilities is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Excess Facilities</w:t>
            </w:r>
          </w:p>
        </w:tc>
      </w:tr>
      <w:tr>
        <w:trPr>
          <w:trHeight w:val="249"/>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29,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 of excess facility accrual</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28, 2014</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of excess facility accruals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27,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adjustment of $0.2 million for 2014 was primarily due to an estimated excess facility accrual of office space at our Sacramento, California administrative facilities. The adjustment in 2015 reflects the impact of a new sublease arrangement that the Company entered into for our Columbia, Maryland facility.</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lease on certain office facilities includes scheduled base rent increases over the term of the lease. The total amount of the base rent payments is being charged to expense on the straight-line method over the term of the lease. In addition to the base rent payment, the Company pays a monthly allocation of the building’s operating expenses. The Company has recorded deferred rent, included in accrued expenses and other long-term liabilities in the Consolidated Balance Sheets, of $3.1 million, $5.2 million, and $4.6 million at December 29, 2013, December 28, 2014 and December 27, 2015, respectively, to reflect the excess of rent expense over cash payments since inception of the respective leases.</w:t>
      </w:r>
    </w:p>
    <w:p>
      <w:pPr>
        <w:spacing w:after="0" w:line="1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tab/>
        <w:t>Net Loss Per Common Share</w:t>
      </w:r>
    </w:p>
    <w:p>
      <w:pPr>
        <w:spacing w:after="0" w:line="227"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calculates net loss per share in accordance with FASB ASC </w:t>
      </w:r>
      <w:r>
        <w:rPr>
          <w:rFonts w:ascii="Times New Roman" w:cs="Times New Roman" w:eastAsia="Times New Roman" w:hAnsi="Times New Roman"/>
          <w:sz w:val="18"/>
          <w:szCs w:val="18"/>
          <w:i w:val="1"/>
          <w:iCs w:val="1"/>
          <w:color w:val="auto"/>
        </w:rPr>
        <w:t>Topic 260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Topic 260</w:t>
      </w:r>
      <w:r>
        <w:rPr>
          <w:rFonts w:ascii="Times New Roman" w:cs="Times New Roman" w:eastAsia="Times New Roman" w:hAnsi="Times New Roman"/>
          <w:sz w:val="18"/>
          <w:szCs w:val="18"/>
          <w:color w:val="auto"/>
        </w:rPr>
        <w:t>,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shares were excluded from the calculation of diluted loss per share because their inclusion would have been anti-dilutive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27, 2015</w:t>
            </w:r>
          </w:p>
        </w:tc>
      </w:tr>
      <w:tr>
        <w:trPr>
          <w:trHeight w:val="242"/>
        </w:trPr>
        <w:tc>
          <w:tcPr>
            <w:tcW w:w="63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from stock options and awards</w:t>
            </w:r>
          </w:p>
        </w:tc>
        <w:tc>
          <w:tcPr>
            <w:tcW w:w="15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(loss) from continuing operations before income taxes for the years ended December 29, 2013, December 28, 2014,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27, 2015 are comprised of the following (in millions):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7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0"/>
        </w:trPr>
        <w:tc>
          <w:tcPr>
            <w:tcW w:w="7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from continuing operations for the years ended December 29, 2013, December 28, 2014, and December 27, 2015 are comprised of the following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7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Federal</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7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9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7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State and local</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7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r>
      <w:tr>
        <w:trPr>
          <w:trHeight w:val="237"/>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Foreign</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7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the total income tax provision (benefit) to the amount computed by applying the statutory federal income tax rate of 35% to the loss from continuing operations before income taxes for the years ended December 29, 2013, December 28, 2014 and December 27, 2015 is as follows (in millions):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taxes, net of federal tax benefit and valuation allowance</w:t>
            </w:r>
          </w:p>
        </w:tc>
        <w:tc>
          <w:tcPr>
            <w:tcW w:w="9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Difference in tax rates between U.S. and foreign</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federal valuation allowance</w:t>
            </w:r>
          </w:p>
        </w:tc>
        <w:tc>
          <w:tcPr>
            <w:tcW w:w="9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expense</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reserve for uncertain tax positions</w:t>
            </w:r>
          </w:p>
        </w:tc>
        <w:tc>
          <w:tcPr>
            <w:tcW w:w="9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7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to indefinite life items and separate state deferred taxes</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r>
      <w:tr>
        <w:trPr>
          <w:trHeight w:val="25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7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11420"/>
          </w:cols>
          <w:pgMar w:left="240" w:top="121" w:right="239" w:bottom="1440" w:gutter="0" w:footer="0" w:header="0"/>
          <w:type w:val="continuous"/>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deferred tax assets and deferred tax liabilities as of December 28, 2014 and December 27, 2015 are as follows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Sundry accruals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 accrual</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Payroll related accruals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accruals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Reserves and other</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Unearned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principally due to differences in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and certain foreign and separate state deferred tax assets. Management will continue to evaluate the necessity to maintain a valuation allowance against the Company’s net deferred tax assets. During fiscal 2015, the Company recorded a net decrease in its federal valuation allowance of $51.9 million predominantly related to the utilization of the Company's net operating loss carryforwards.</w:t>
      </w:r>
    </w:p>
    <w:p>
      <w:pPr>
        <w:spacing w:after="0" w:line="18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At December 27, 2015, the Company had federal tax loss carryforwards of $287.7 million and various state tax loss carryforwards of $212.4 million including net operating losses resulting from stock options of $14.4 million for federal and state, which if recognized would result in additional paid-in-capital. The federal tax loss carryforwards will begin to expire in 2019 and state tax loss carryforwards will begin to expire in 2016 in certain states.</w:t>
      </w:r>
    </w:p>
    <w:p>
      <w:pPr>
        <w:spacing w:after="0" w:line="17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 year period after the ownership change. 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were limited to at least $27.0 million a year for the five years succeeding the March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2010 ownership change and at least $11.6 million for each year thereafter subject to separate limitations for Acquired NOLs. If the entire limitation amount is not utilized in a year, the excess can be carried forward and utilized in future years. For the year ended December 27, 2015, there was no impact of such limitations on the income tax provision since the amount of taxable income did not exceed the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provided deferred U.S. income taxes or foreign withholding taxes of approximately $21.9 million on temporary differences relating to the outside basis in its investment in foreign subsidiaries which are essentially permanent in duration. It is the Company’s intention to permanently reinvest undistributed earnings of its foreign subsidiaries. As of December 27, 2015 the Company has $9.1 million of cash and cash equivalents available for distribution.</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NOL carryforwards. Generally, the Company’s tax years for 2002 and later are subject to examination by various foreign tax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30, 2012</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related to prior periods (acquired entities)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Expiration of applicable statutes of limitations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29, 2013</w:t>
            </w: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related to prior periods (acquired entities)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Expiration of applicable statutes of limitations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28, 2014</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related to prior periods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Expiration of applicable statutes of limitations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Decreases related to disposition</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10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27, 2015</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Included in the balance of unrecognized tax benefits at December 27, 2015, are $17.2 million of tax benefits that, if recognized, would affect the effective tax rate. Included in this amount is $14.6 million that would become a deferred tax asset if the tax benefit were recognized. As such, this benefit may be impacted by a corresponding valuation allowance depending upon the Company’s consolidated financial position at the time the benefits are recognized.</w:t>
      </w:r>
    </w:p>
    <w:p>
      <w:pPr>
        <w:spacing w:after="0" w:line="15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its provision for income taxes. For each of the years ended December 29, 2013, December 28, 2014 and December 27, 2015, the Company recorded $0.2 million, in interest or penalties. These amounts are netted by a benefit for interest and penalties related to the reversal of prior positions as noted above of $0.2 million, $0.1 million, and $0.1 million for the years ended December 29, 2013, December 28, 2014, and December 27, 2015, respectively. As of December 29, 2013, December 28, 2014, and December 27, 2015, the Company had recorded total interest and penalties of $0.7 million, $0.8 million, and $1.0 million, respectively.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believes that no material amount of the liabilities for uncertain tax positions will expire within 12 months of December 27, 2015.</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August 21, 2015, the Company completed the sale of the U.S. and U.K. operations of its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“Purchase Agreement”), the Company sold to the Buyer all of the issued and outstanding capital stock of its wholly owned subsidiary Herley Industries, Inc. (“Herley”) and certain of Herley’s subsidiaries, including Herley-CTI, Inc., EW Simulation Technology, Ltd. and Stapor Research, Inc. (collectively, the “Herley Entities”), for $260.0 million in cash plus $5.0 million for taxes incurred as part of the Transaction, less a $2.0 million escrow to satisfy any purchase price adjustments, and an estimated working capital adjustment of $8.3 million. The Purchase Agreement also contains certain non-compete and indemnification provisions. Under the Purchase Agreement, the Company entered into an agreement to indemnify the Buyer for any pre-acquisition tax liabilities. As a result of this arrangement, the Company recorded amounts that have historically been classified as unrecognized tax benefits into other long term liabilities. The Company also agreed to indemnify Ultra for pre-existing environmental conditions for a period of five years from the closing date and with a maximum indemnification payment of $34.0 million. The Company does not believe payments will be required under the indemnification provision, and the assessment of the fair value is immaterial. Under the terms of the Purchase Agreement, a joint 338(h)(10) election has been made for income tax purposes, providing a “step up” in tax basis to Ultra. The Company incurred approximately $11.5 million in transaction-related costs. The gain on sale of $80.8 million is subject to changes in the indemnification obligations. In accordance with </w:t>
      </w:r>
      <w:r>
        <w:rPr>
          <w:rFonts w:ascii="Times New Roman" w:cs="Times New Roman" w:eastAsia="Times New Roman" w:hAnsi="Times New Roman"/>
          <w:sz w:val="18"/>
          <w:szCs w:val="18"/>
          <w:i w:val="1"/>
          <w:iCs w:val="1"/>
          <w:color w:val="auto"/>
        </w:rPr>
        <w:t>ASC 360-10-45-9, Property, Plant, and Equipment (Topic 360) and ASC 205-20-45-3 Presentation of Financial Statements (Topic 205),</w:t>
      </w:r>
      <w:r>
        <w:rPr>
          <w:rFonts w:ascii="Times New Roman" w:cs="Times New Roman" w:eastAsia="Times New Roman" w:hAnsi="Times New Roman"/>
          <w:sz w:val="18"/>
          <w:szCs w:val="18"/>
          <w:color w:val="auto"/>
        </w:rPr>
        <w:t xml:space="preserve"> the Herley Entities were classified as discontinued operations in the accompanying consolidated financial statements for all periods presented.</w:t>
      </w:r>
    </w:p>
    <w:p>
      <w:pPr>
        <w:spacing w:after="0" w:line="19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Immediately prior to the closing of the Transaction, the outstanding shares of the capital stock of (i) General Microwave Corporation, a New York corporation, and its direct and indirect wholly owned subsidiaries General Microwave Israel Corporation, a Delaware corporation, General Microwave Israel (1987) Ltd., an Israeli company, and Herley GMI Eyal Ltd., an Israeli company, (ii) MSI Acquisition Corp., a Delaware corporation and its wholly owned subsidiary Micro Systems, Inc., a Florida corporation, and (iii) Herley-RSS, Inc., a Delaware corporation, were distributed as a dividend by Herley to the Company and will continue their current operations as wholly owned subsidiaries of the Company.</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November 2015, the Company and Ultra settled the working capital adjustment at $8.1 million, and the net cash position at closing, resulting in a net payment to the Company of $2.7 million. This represents the payment from escrow to the Company of $2.0 million, as well as the payment from Ultra of $0.7 million, reflecting the difference in the estimated working capital and actual working capital and the net cash position at the close of the Transaction. In December 2015, the Company submitted to Ultra for reimbursement the maximum $5.0 million for taxes incurred as part of the Transaction, which was reimbursed in January 2016.</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results of discontinued operations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7100" w:type="dxa"/>
            <w:vAlign w:val="bottom"/>
          </w:tcPr>
          <w:p>
            <w:pPr>
              <w:spacing w:after="0"/>
              <w:rPr>
                <w:sz w:val="16"/>
                <w:szCs w:val="16"/>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13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27, 2015</w:t>
            </w:r>
          </w:p>
        </w:tc>
      </w:tr>
      <w:tr>
        <w:trPr>
          <w:trHeight w:val="249"/>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59.7</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40.6</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 expense items that are not major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disposal of discontinued operations before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80.8</w:t>
            </w: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gain (loss) of discontinued operations before income taxes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75.5</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r>
      <w:tr>
        <w:trPr>
          <w:trHeight w:val="25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53.0</w:t>
            </w: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results for the year ended December 27, 2015 are through the date of disposal of August 21, 2015.</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included in selling, general and administrative expenses was $7.0 million, $6.7 million, and $4.2 million for the years ended December 29, 2013, December 28, 2014, and December 27, 2015,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Interest expense is included based on an allocation consistent with the redemption of $175.0 million of the Notes and the repayment of $41.0 million in outstanding borrowings on the Credit Agreement that was repaid upon the completion of the sale of the Herley Entities in accordance with the terms and conditions of the Indenture and the Credit Agreement. Refer to Note 4 of these Notes to Consolidated Financial Statements for further discussion.</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Intra-period tax allocation rules require the Company to allocate its provision for income taxes between continuing operations and other categories of earnings, such as discontinued operations. In periods in which there is a year-to-date pre-tax loss from continuing operations and pre-tax income in other categories of earnings, such as discontinued operations, the Company must allocate the tax provision to the other categories of earnings. A related tax benefit is then recorded in continuing operations. Due to the intra-period allocation rules, the Company recorded income tax benefit of $1.1 million for the year ended December 29, 2013, and income tax expense of $1.2 million and $22.5 million in discontinued operations for the years ended December 28, 2014, and December 27, 2015, respectively.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assets and liabilities of discontinued operations in the accompanying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2014 and December 27, 2015 (in millions):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220" w:type="dxa"/>
            <w:vAlign w:val="bottom"/>
          </w:tcPr>
          <w:p>
            <w:pPr>
              <w:spacing w:after="0"/>
              <w:rPr>
                <w:sz w:val="16"/>
                <w:szCs w:val="16"/>
                <w:color w:val="auto"/>
              </w:rPr>
            </w:pPr>
          </w:p>
        </w:tc>
        <w:tc>
          <w:tcPr>
            <w:tcW w:w="16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27, 2015</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Inventoried costs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0"/>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Billings in excess of cost and earnings on uncompleted contracts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51"/>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Fair Value Measurement</w:t>
      </w:r>
    </w:p>
    <w:p>
      <w:pPr>
        <w:spacing w:after="0" w:line="227"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Company adopted FASB ASC </w:t>
      </w:r>
      <w:r>
        <w:rPr>
          <w:rFonts w:ascii="Times New Roman" w:cs="Times New Roman" w:eastAsia="Times New Roman" w:hAnsi="Times New Roman"/>
          <w:sz w:val="18"/>
          <w:szCs w:val="18"/>
          <w:i w:val="1"/>
          <w:iCs w:val="1"/>
          <w:color w:val="auto"/>
        </w:rPr>
        <w:t>Topic 820, Fair Value Measurement (“Topic 820”)</w:t>
      </w:r>
      <w:r>
        <w:rPr>
          <w:rFonts w:ascii="Times New Roman" w:cs="Times New Roman" w:eastAsia="Times New Roman" w:hAnsi="Times New Roman"/>
          <w:sz w:val="18"/>
          <w:szCs w:val="18"/>
          <w:color w:val="auto"/>
        </w:rPr>
        <w:t xml:space="preserve"> with the exception of the application of the statement to non-recurring nonfinancial assets and nonfinancial liabilities. Non-recurring nonfinancial assets and nonfinancial liabilities for which it has not applied the provisions of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include those measured at fair value in goodwill impairment testing, indefinite lived intangible assets measured at fair value for impairment testing, asset retirement obligations initially measured at fair value, and those assets and liabilities initially measured at fair value in a business combination.</w:t>
      </w:r>
    </w:p>
    <w:p>
      <w:pPr>
        <w:spacing w:after="0" w:line="180"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Topic 820 </w:t>
      </w:r>
      <w:r>
        <w:rPr>
          <w:rFonts w:ascii="Times New Roman" w:cs="Times New Roman" w:eastAsia="Times New Roman" w:hAnsi="Times New Roman"/>
          <w:sz w:val="18"/>
          <w:szCs w:val="18"/>
          <w:color w:val="auto"/>
        </w:rPr>
        <w:t>establishes a valuation hierarchy for disclosure of the inputs to valuation used to measure fair value. This hierarchy prioritizes the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(a)</w:t>
        <w:tab/>
        <w:t>Stock Option Plans and Restricted Stock Unit Plans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1420"/>
          </w:cols>
          <w:pgMar w:left="240" w:top="121" w:right="2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March 2014 the Board approved the 2014 Equity Incentive Plan (the “2014 Plan”). The 2014 Plan is the successor to the Kratos Defense &amp; Security Solutions, Inc. 2011 Equity Incentive Plan, the Kratos Defense &amp; Security Solutions, Inc. Amended and Restated 2005 Equity Incentive Plan, the Kratos Defense &amp; Security Solutions, Inc. 2000 Nonstatutory Stock Option Plan, the Kratos Defense &amp; Security Solutions, Inc. 1999 Equity Incentive Plan, the Amended and Restated Integral Systems, Inc. 2008 Stock Incentive Plan, the Amended and Restated Herley Industries, Inc. 2010 Stock Plan, the Herley Industries, Inc. 2003 Stock Option Plan, the Henry Bros. Electronics, Inc. 2007 Stock Option Plan, the Henry Bros. Electronics, Inc. 2006 Stock Option Plan, the Amended and Restated 2005 Digital Fusion, Inc. Equity Incentive Plan, the 2000 Digital Fusion, Inc. Stock Option Plan, the 1999 Digital Fusion, Inc. Stock Option Plan, and the 1998 Digital Fusion, Inc. Stock Option Plan (collectively, the “Prior Plans”).</w:t>
      </w:r>
    </w:p>
    <w:p>
      <w:pPr>
        <w:spacing w:after="0" w:line="1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2014 Plan became effective May 14, 2014 and no additional stock awards will be granted under the Prior Plans as of April 1, 2014. All outstanding stock awards granted subject to the terms of the Prior Plans will continue to be subject to the terms and conditions as set forth in the agreements evidencing such stock awards and the terms of the respective Prior Plans. Any shares subject to outstanding stock awards granted under the Prior Plans or granted outside of a Prior Plan that, at any time after March 27, 2014, (i) expire or terminate for any reason prior to exercise or settlement; (ii) are forfeited, canceled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(collectively, the “Returning Shares”) will immediately be added to the share reserve of the 2014 Plan and become available for issuance pursuant to stock awards granted under the 2014 Plan.</w:t>
      </w:r>
    </w:p>
    <w:p>
      <w:pPr>
        <w:spacing w:after="0" w:line="185"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As of March 27, 2014, there were 2,306,256 shares remaining available for issuance under the Prior Plans. The total number of awards outstanding under all of the Prior Plans and outside of any Prior Plan was 5,511,322 as of March 27, 2014. The 2014 Plan decreased the number of shares remaining available for issuance under its equity compensation plans from 2,306,256 to 1,550,000, although, per the 2014 Plan, up to 5,511,322 shares subject to outstanding awards under the Prior Plans and non-plan grants could potentially become Returning Shares available for issuance under the 2014 Plan.</w:t>
      </w:r>
    </w:p>
    <w:p>
      <w:pPr>
        <w:spacing w:after="0" w:line="16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Company’s board of directors (“Board”) may grant equity-based awards to selected employees, directors and consultants of the Company pursuant to its 2014 Plan. As of December 27, 2015, there are approximately 2,901,808 shares reserved for issuance for future grant under the 2014 Plan. The Board may amend or terminate the 2014 Plan at any time. Certain amendments, including an increase in the share reserve, require stockholder approval. Generally, options and restricted stock units outstanding vest over periods not exceeding ten years. When the Company grants stock options, they are granted with a per share exercise price not less than the fair market value of the Company’s common stock on the date of grant, and generally would be exercisable for up to ten years from the grant date.</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compensation expense for employee stock options based on the estimated fair value of the options on the date of grant using the Black-Scholes option-pricing model or a trinomial lattice options pricing model with the weighted average assumptions (annualized percentages) included in the following table. Awards with graded vesting are recognized using the straight-line method with the following assumptions: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- 10.0</w:t>
            </w:r>
          </w:p>
        </w:tc>
        <w:tc>
          <w:tcPr>
            <w:tcW w:w="120" w:type="dxa"/>
            <w:vAlign w:val="bottom"/>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r>
      <w:tr>
        <w:trPr>
          <w:trHeight w:val="27"/>
        </w:trPr>
        <w:tc>
          <w:tcPr>
            <w:tcW w:w="6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- 2.3%</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- 56.1%</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- 54.7%</w:t>
            </w:r>
          </w:p>
        </w:tc>
      </w:tr>
      <w:tr>
        <w:trPr>
          <w:trHeight w:val="27"/>
        </w:trPr>
        <w:tc>
          <w:tcPr>
            <w:tcW w:w="60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Forfeiture rate(3)</w:t>
            </w: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 - 15.2%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yield(4)</w:t>
            </w:r>
          </w:p>
        </w:tc>
        <w:tc>
          <w:tcPr>
            <w:tcW w:w="18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ind w:left="1240" w:hanging="260"/>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U.S. Treasury yields in effect at the time of grant with a term equal to the expected term of the options.</w:t>
      </w:r>
    </w:p>
    <w:p>
      <w:pPr>
        <w:spacing w:after="0" w:line="27"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2014, and 2015, the Company estimated implied volatility based upon trailing volatility.</w:t>
      </w:r>
    </w:p>
    <w:p>
      <w:pPr>
        <w:spacing w:after="0" w:line="9" w:lineRule="exact"/>
        <w:rPr>
          <w:rFonts w:ascii="Times New Roman" w:cs="Times New Roman" w:eastAsia="Times New Roman" w:hAnsi="Times New Roman"/>
          <w:sz w:val="18"/>
          <w:szCs w:val="18"/>
          <w:color w:val="auto"/>
        </w:rPr>
      </w:pPr>
    </w:p>
    <w:p>
      <w:pPr>
        <w:ind w:left="1620" w:right="520" w:hanging="640"/>
        <w:spacing w:after="0" w:line="250" w:lineRule="auto"/>
        <w:tabs>
          <w:tab w:leader="none" w:pos="12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Forfeitures are estimated at the time of grant based upon historical information. Forfeitures will be revised, if necessary, in subsequent periods if actual forfeitures differ from estimates.</w:t>
      </w:r>
    </w:p>
    <w:p>
      <w:pPr>
        <w:ind w:left="1240" w:hanging="260"/>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dividends on its common stock.</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option plan as of December 27, 2015 and changes in options outstanding under the plan for the year ended December 27, 2015 is as follows: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88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w:t>
            </w: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69"/>
        </w:trPr>
        <w:tc>
          <w:tcPr>
            <w:tcW w:w="652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28, 2014</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108.37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27, 2015</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1,077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ind w:right="36"/>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27, 2015</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December 27, 2015, there was $0.8 million of total unrecognized stock-based compensation expense related to nonvested options which is expected to be recognized over a remaining weighted-average vesting period of 2.3 years. Upon exercise of an option, the Company issues new shares of common stock.</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29, 2013, December 28, 2014, and December 27, 2015 the following values relate to the grants and exercises under the Company’s option plans: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2015</w:t>
            </w:r>
          </w:p>
        </w:tc>
      </w:tr>
      <w:tr>
        <w:trPr>
          <w:trHeight w:val="249"/>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of options granted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3.31</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intrinsic value of options exercised (in thousands)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20" w:type="dxa"/>
            <w:vAlign w:val="bottom"/>
          </w:tcPr>
          <w:p>
            <w:pPr>
              <w:spacing w:after="0"/>
              <w:rPr>
                <w:sz w:val="24"/>
                <w:szCs w:val="24"/>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0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24"/>
                <w:szCs w:val="24"/>
                <w:color w:val="auto"/>
              </w:rPr>
            </w:pPr>
          </w:p>
        </w:tc>
        <w:tc>
          <w:tcPr>
            <w:tcW w:w="8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9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49"/>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28, 2014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8.03</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7.01</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but not released</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8.30</w:t>
            </w: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27, 2015</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7.37</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27, 2015, there was $6.5 million of total unrecognized stock-based compensation expense related to nonvested restricted stock units which is expected to be recognized over a remaining weighted-average vesting period of 3.0 years. The fair value of RSU awards that vested in 2013, 2014, and 2015 was $1.7 million, $1.4 million, and $3.6 million, respectively.</w:t>
      </w:r>
    </w:p>
    <w:p>
      <w:pPr>
        <w:spacing w:after="0" w:line="172"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August 1999, the Board approved the 1999 Employee Stock Purchase Plan (the “Purchase Plan”). A total of 5.2 million shares of Common Stock have been authorized for issuance under the Purchase Plan. The Purchase Plan qualifies as an employee stock purchase plan within the meaning of Section 423 of the Internal Revenue Service Code. Unless otherwise determined by the Compensation Committee of the Board,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27, 2015, the cumulative number of shares of Common Stock that have been issued under the Purchase Plan is 3.4 million and approximately 1.8 million shares are available for future issuance. During fiscal 2015, approximately 946,000 shares were issued under the plan at an average price of $4.25.</w:t>
      </w:r>
    </w:p>
    <w:p>
      <w:pPr>
        <w:spacing w:after="0" w:line="200" w:lineRule="exact"/>
        <w:rPr>
          <w:sz w:val="20"/>
          <w:szCs w:val="20"/>
          <w:color w:val="auto"/>
        </w:rPr>
      </w:pPr>
    </w:p>
    <w:p>
      <w:pPr>
        <w:spacing w:after="0" w:line="20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Kratos’ Purchase Plan shares for 2015 was estimated using the Black-Scholes option pricing model. The assumptions and resulting fair values of options granted for 2013, 2014 and 2015 were as follows: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r>
      <w:tr>
        <w:trPr>
          <w:trHeight w:val="149"/>
        </w:trPr>
        <w:tc>
          <w:tcPr>
            <w:tcW w:w="57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Periods</w:t>
            </w: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Periods</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Periods</w:t>
            </w:r>
          </w:p>
        </w:tc>
      </w:tr>
      <w:tr>
        <w:trPr>
          <w:trHeight w:val="149"/>
        </w:trPr>
        <w:tc>
          <w:tcPr>
            <w:tcW w:w="57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1 to</w:t>
            </w: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1 to</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January 1 to</w:t>
            </w:r>
          </w:p>
        </w:tc>
      </w:tr>
      <w:tr>
        <w:trPr>
          <w:trHeight w:val="149"/>
        </w:trPr>
        <w:tc>
          <w:tcPr>
            <w:tcW w:w="57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7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r>
      <w:tr>
        <w:trPr>
          <w:trHeight w:val="249"/>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years)(1)</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rate(2)</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 - 0.11%</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0.07% - 0.10%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 - 0.12%</w:t>
            </w:r>
          </w:p>
        </w:tc>
      </w:tr>
      <w:tr>
        <w:trPr>
          <w:trHeight w:val="27"/>
        </w:trPr>
        <w:tc>
          <w:tcPr>
            <w:tcW w:w="5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volatility(3)</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36.95% - 43.70%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40.14% - 40.23%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39.63% - 40.91%</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yield(4)</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5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$1.43</w:t>
            </w:r>
          </w:p>
        </w:tc>
      </w:tr>
      <w:tr>
        <w:trPr>
          <w:trHeight w:val="27"/>
        </w:trPr>
        <w:tc>
          <w:tcPr>
            <w:tcW w:w="57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960"/>
        <w:spacing w:after="0"/>
        <w:tabs>
          <w:tab w:leader="none" w:pos="12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expected term is equivalent to the offering period.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(2)The risk-free interest rate is based on U.S. Treasury yields in effect at the time of grant with a term equal to the expected term.</w:t>
      </w:r>
    </w:p>
    <w:p>
      <w:pPr>
        <w:spacing w:after="0" w:line="9" w:lineRule="exact"/>
        <w:rPr>
          <w:sz w:val="20"/>
          <w:szCs w:val="20"/>
          <w:color w:val="auto"/>
        </w:rPr>
      </w:pPr>
    </w:p>
    <w:p>
      <w:pPr>
        <w:ind w:left="1360" w:hanging="380"/>
        <w:spacing w:after="0"/>
        <w:tabs>
          <w:tab w:leader="none" w:pos="1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estimated implied volatility based upon trailing volatility.</w:t>
      </w:r>
    </w:p>
    <w:p>
      <w:pPr>
        <w:spacing w:after="0" w:line="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dividends on its common stock.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27, 2015, there was no material unrecognized compensation expense related to the Employee Stock Purchase Plan.</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tab/>
        <w:t>Retirement Plans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matching contributions to these defined-contribution savings plans totaled $4.9 million in 2013, 2014, and 2015.</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Significant Customers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Revenue from the U.S. Government (which includes Foreign Military Sales) includes revenue from contracts for which Kratos is the prime contractor as well as those for which the Company is a subcontractor and the ultimate customer is the U.S. Government. The KGS and US segments have substantial revenue from the U.S. Government. Sales to the U.S. Government amounted to approximately $524.8 million, $437.4 million, and $402.9 million or 62%, 57%, and 61%, of total revenue for the years ended December 29, 2013, December 28, 2014, and December 27, 2015, respectively.</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KGS reportable segment is comprised of an aggregation of KGS operating segments, including defense and rocket support services, our microwave electronic products and satellite communications, technical and training solutions, and modular systems operating segments. The US reportable segment consists of our unmanned aerial, ground, seaborne and command, control and communications system business. The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international commercial customers. The PSS segment designs, engineers, deploys, operates, integrates into command and control infrastructure, maintains and operates security and surveillance solutions for homeland security, public safety, critical infrastructure, government and commercial customers. PSS customers include those in the critical infrastructure, power generation, power transport, nuclear energy, financial, IT, healthcare, education, transportation and petro-chemical industries, as well as certain government and military customers.</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“Discontinued Operations” in Note 8 of these Notes to Consolidated Financial Statements, the Company began reporting the Herley Entities as discontinued operations effective in the second quarter of fiscal 2015. Prior to the decision to sell the Herley Entities, the Company reported their financial results in the KGS reportable segment. Accordingly, segment results have been recast for all periods presented to reflect the disposition of the Herley Entities as discontinued operations.</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certain overhead type costs previously allocated to the Herley Entities are not allocable to discontinued operations, prior period corporate costs have been reallocated amongst the continuing reportable segments.</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Revenues, operating income (loss) and assets disclosed below provided by the Company’s reportable segments for the years ended December 29, 2013, December 28, 2014, and December 27, 2015, are as follows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Unmanned Systems</w:t>
            </w: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121.6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Unmanned Systems</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121.6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8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233.9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207.4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278.9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277.7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512.8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485.1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8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Public Safety &amp; Security</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209.7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196.4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97"/>
        </w:trPr>
        <w:tc>
          <w:tcPr>
            <w:tcW w:w="7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844.1</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763.0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657.1</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Unmanned Systems</w:t>
            </w: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8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Operating income (loss) from continuing operations:</w:t>
            </w: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Unmanned Systems</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activities</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income (loss) from continuing operations</w:t>
            </w:r>
          </w:p>
        </w:tc>
        <w:tc>
          <w:tcPr>
            <w:tcW w:w="8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Revenues from foreign customers were approximately $76.5 million or 9%, $89.0 million or 12% and $73.2 million or 11% of total revenue for the years ended December 29, 2013, December 28, 2014, and December 27, 2015, respectively.</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2013 the Corporate activities had a benefit from merger related items of $3.8 million primarily due to the reduction in a $3.1 million liability as a result of the final settlement of the indemnity obligations related to former directors and officers of Integral on July 1, 2013.</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Included in the 2013, 2014, and 2015 operating losses for the US Segment are increased costs of $7.6 million, $3.1 million, and $5.7 million respectively, primarily related to certain retrofits necessary to address product design changes as well as due to a contract conversion adjustment on certain of our aerial platforms.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Reportable segment assets are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40" w:type="dxa"/>
            <w:vAlign w:val="bottom"/>
          </w:tcPr>
          <w:p>
            <w:pPr>
              <w:spacing w:after="0"/>
              <w:rPr>
                <w:sz w:val="13"/>
                <w:szCs w:val="13"/>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9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606.8</w:t>
            </w:r>
          </w:p>
        </w:tc>
      </w:tr>
      <w:tr>
        <w:trPr>
          <w:trHeight w:val="27"/>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Unmanned Systems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162.0</w:t>
            </w:r>
          </w:p>
        </w:tc>
      </w:tr>
      <w:tr>
        <w:trPr>
          <w:trHeight w:val="243"/>
        </w:trPr>
        <w:tc>
          <w:tcPr>
            <w:tcW w:w="9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96.8</w:t>
            </w:r>
          </w:p>
        </w:tc>
      </w:tr>
      <w:tr>
        <w:trPr>
          <w:trHeight w:val="27"/>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activities</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37.7</w:t>
            </w:r>
          </w:p>
        </w:tc>
      </w:tr>
      <w:tr>
        <w:trPr>
          <w:trHeight w:val="27"/>
        </w:trPr>
        <w:tc>
          <w:tcPr>
            <w:tcW w:w="9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903.3</w:t>
            </w:r>
          </w:p>
        </w:tc>
      </w:tr>
      <w:tr>
        <w:trPr>
          <w:trHeight w:val="20"/>
        </w:trPr>
        <w:tc>
          <w:tcPr>
            <w:tcW w:w="9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Assets of foreign subsidiaries in the KGS segment were $115.5 million and $106.2 million as of December 28, 2014 and December 27, 2015, respectively.</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Consolidated Financial Statements; and the unique facts and circumstances of the particular matter that may give rise to additional factors.</w:t>
      </w:r>
    </w:p>
    <w:p>
      <w:pPr>
        <w:spacing w:after="0" w:line="200" w:lineRule="exact"/>
        <w:rPr>
          <w:sz w:val="20"/>
          <w:szCs w:val="20"/>
          <w:color w:val="auto"/>
        </w:rPr>
      </w:pPr>
    </w:p>
    <w:p>
      <w:pPr>
        <w:spacing w:after="0" w:line="223" w:lineRule="exact"/>
        <w:rPr>
          <w:sz w:val="20"/>
          <w:szCs w:val="20"/>
          <w:color w:val="auto"/>
        </w:rPr>
      </w:pPr>
    </w:p>
    <w:p>
      <w:pPr>
        <w:jc w:val="right"/>
        <w:ind w:left="660" w:right="8580" w:hanging="652"/>
        <w:spacing w:after="0" w:line="443" w:lineRule="auto"/>
        <w:tabs>
          <w:tab w:leader="none" w:pos="40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Legal and Regulatory Matters. </w:t>
      </w:r>
      <w:r>
        <w:rPr>
          <w:rFonts w:ascii="Times New Roman" w:cs="Times New Roman" w:eastAsia="Times New Roman" w:hAnsi="Times New Roman"/>
          <w:sz w:val="18"/>
          <w:szCs w:val="18"/>
          <w:i w:val="1"/>
          <w:iCs w:val="1"/>
          <w:color w:val="auto"/>
        </w:rPr>
        <w:t>U.S. Government Cost Claims</w:t>
      </w:r>
    </w:p>
    <w:p>
      <w:pPr>
        <w:spacing w:after="0" w:line="2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Company’s personnel. On July 28, 2015, the Company received a determination letter from Defense Contract Management Agency (“DCMA”) regarding what DCMA believes are certain unallowable costs for one of the Company’s subsidiaries with respect to fiscal year 2007. The Company is evaluating the determination and believes it has a defensible position.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Litigation Matters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We intend to defend ourselves in any such matters and do not currently believe that the outcome of any such matters will have a material adverse impact on our financial condition, results of operations or cash flows.</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Warranty</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Costs under extended warranty contracts are expensed as incurred.</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changes in the Company’s aggregate product warranty liabilities, which are included in other current liabilities and other long term-liabilities on the Company’s Consolidated Balance Sheets, were as follows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49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2"/>
                <w:szCs w:val="12"/>
                <w:color w:val="auto"/>
              </w:rPr>
            </w:pPr>
          </w:p>
        </w:tc>
        <w:tc>
          <w:tcPr>
            <w:tcW w:w="126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4960" w:type="dxa"/>
            <w:vAlign w:val="bottom"/>
            <w:tcBorders>
              <w:bottom w:val="single" w:sz="8" w:color="CCEEFF"/>
            </w:tcBorders>
          </w:tcPr>
          <w:p>
            <w:pPr>
              <w:spacing w:after="0"/>
              <w:rPr>
                <w:sz w:val="16"/>
                <w:szCs w:val="16"/>
                <w:color w:val="auto"/>
              </w:rPr>
            </w:pPr>
          </w:p>
        </w:tc>
        <w:tc>
          <w:tcPr>
            <w:tcW w:w="3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36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accrued and revenues deferred</w:t>
            </w:r>
          </w:p>
        </w:tc>
        <w:tc>
          <w:tcPr>
            <w:tcW w:w="3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made (in cash or kind) and revenues recognized</w:t>
            </w:r>
          </w:p>
        </w:tc>
        <w:tc>
          <w:tcPr>
            <w:tcW w:w="33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3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non-current portion</w:t>
            </w:r>
          </w:p>
        </w:tc>
        <w:tc>
          <w:tcPr>
            <w:tcW w:w="33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r>
      <w:tr>
        <w:trPr>
          <w:trHeight w:val="237"/>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warranty liability</w:t>
            </w:r>
          </w:p>
        </w:tc>
        <w:tc>
          <w:tcPr>
            <w:tcW w:w="33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56"/>
        </w:trPr>
        <w:tc>
          <w:tcPr>
            <w:tcW w:w="4960" w:type="dxa"/>
            <w:vAlign w:val="bottom"/>
          </w:tcPr>
          <w:p>
            <w:pPr>
              <w:spacing w:after="0"/>
              <w:rPr>
                <w:sz w:val="24"/>
                <w:szCs w:val="24"/>
                <w:color w:val="auto"/>
              </w:rPr>
            </w:pPr>
          </w:p>
        </w:tc>
        <w:tc>
          <w:tcPr>
            <w:tcW w:w="3600" w:type="dxa"/>
            <w:vAlign w:val="bottom"/>
            <w:gridSpan w:val="2"/>
          </w:tcPr>
          <w:p>
            <w:pPr>
              <w:jc w:val="right"/>
              <w:ind w:right="2590"/>
              <w:spacing w:after="0"/>
              <w:rPr>
                <w:sz w:val="20"/>
                <w:szCs w:val="20"/>
                <w:color w:val="auto"/>
              </w:rPr>
            </w:pPr>
            <w:r>
              <w:rPr>
                <w:rFonts w:ascii="Times New Roman" w:cs="Times New Roman" w:eastAsia="Times New Roman" w:hAnsi="Times New Roman"/>
                <w:sz w:val="18"/>
                <w:szCs w:val="18"/>
                <w:color w:val="auto"/>
              </w:rPr>
              <w:t>F-35</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Quarterly Financial Data (Unaudited)</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following financial information reflects all normal and recurring adjustments that are, in the opinion of management, necessary for a fair statement of the results of the interim periods. Summarized quarterly data for the years ended December 28, 2014 and December 27, 2015, is as follows (in millions, except per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First</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40" w:type="dxa"/>
            <w:vAlign w:val="bottom"/>
          </w:tcPr>
          <w:p>
            <w:pPr>
              <w:spacing w:after="0"/>
              <w:rPr>
                <w:sz w:val="13"/>
                <w:szCs w:val="13"/>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Fiscal year 2014</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192.1</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45.1</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 from continuing operations</w:t>
            </w: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income (loss)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bl>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2014, a $39.1 million loss on extinguishment of debt was recorded to reflect the refinance of the Company’s $625.0 million 10% Senior Secured Notes Due 2017 with the $625.0 million 7% Senior Secured Notes Due 2019.</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First</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40" w:type="dxa"/>
            <w:vAlign w:val="bottom"/>
          </w:tcPr>
          <w:p>
            <w:pPr>
              <w:spacing w:after="0"/>
              <w:rPr>
                <w:sz w:val="13"/>
                <w:szCs w:val="13"/>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Fiscal year 2015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177.5</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 from continuing operations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0.05</w:t>
            </w:r>
          </w:p>
        </w:tc>
      </w:tr>
      <w:tr>
        <w:trPr>
          <w:trHeight w:val="243"/>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0.05</w:t>
            </w:r>
          </w:p>
        </w:tc>
      </w:tr>
      <w:tr>
        <w:trPr>
          <w:trHeight w:val="243"/>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bl>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the third quarter of 2015, the Company completed the sale of the U.S. and U.K. operations of its Electronic Products Division, which resulted in income from discontinued operations of $50.8 million. The tax benefit for the third quarter reflects the intra-period tax allocation rules under which a tax benefit is provided in continuing operations to offset a tax provision recorded in discontinued operations related to the sale.</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Condensed Consolidating Financial Statements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has $450.0 million in outstanding Notes. See Note 4 of these Notes to Consolidated Financial Statements. The Notes are guaranteed by the Subsidiary Guarantors and are collateralized by the assets of all of the Company’s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100% owned subsidiaries. The Notes are fully and unconditionally guaranteed on a joint and several basis by each guarantor subsidiary and the Company. There are no contractual restrictions limiting cash transfers from guarantor subsidiaries by dividends, loans or advances to the Company. The Notes are not guaranteed by the Company’s foreign subsidiaries (the “Non-Guarantor Subsidiaries”).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present condensed consolidating financial statements for the parent company, the Subsidiary Guarantors and the Non-Guarantor Subsidiaries, respectively, for 2013, 2014, and 2015. The consolidating financial information below follows the same accounting policies as described in the Consolidated Financial Statements, except for the use of the equity method of accounting to reflect ownership interests in wholly-owned subsidiaries, which are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00"/>
          </w:cols>
          <w:pgMar w:left="240" w:top="121" w:right="25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Balance Sheet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28, 2014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Non-Guarantors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on a Combined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217.5</w:t>
            </w: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Amounts due from affiliated companies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Inventoried costs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1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277.3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373.2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Non-current assets of discontinued operations</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1,131.2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compensation</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 liability</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to affiliated companies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479.0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226.1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655.4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Non-current liabilities of 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671.2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498.2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906.9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224.3</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895.5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1,008.5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1,131.2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Balance Sheet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27, 2015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Non-Guarantors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on a Combined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470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r>
      <w:tr>
        <w:trPr>
          <w:trHeight w:val="23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206.8</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from affiliated companies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Inventoried costs</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55.6</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w:t>
            </w:r>
          </w:p>
        </w:tc>
      </w:tr>
      <w:tr>
        <w:trPr>
          <w:trHeight w:val="21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246.7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222.8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320.4</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56.2</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483.4</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r>
      <w:tr>
        <w:trPr>
          <w:trHeight w:val="284"/>
        </w:trPr>
        <w:tc>
          <w:tcPr>
            <w:tcW w:w="4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727.2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815.8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903.3</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48.3</w:t>
            </w:r>
          </w:p>
        </w:tc>
      </w:tr>
      <w:tr>
        <w:trPr>
          <w:trHeight w:val="23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42.3</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to affiliated companies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r>
      <w:tr>
        <w:trPr>
          <w:trHeight w:val="21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308.0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172.4</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444.1</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Non-current liabilities of 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r>
      <w:tr>
        <w:trPr>
          <w:trHeight w:val="21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473.0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326.0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649.1</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254.2</w:t>
            </w: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727.2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815.8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903.3</w:t>
            </w:r>
          </w:p>
        </w:tc>
      </w:tr>
      <w:tr>
        <w:trPr>
          <w:trHeight w:val="20"/>
        </w:trPr>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29,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443.6</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400.5</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796.8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844.1</w:t>
            </w: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331.3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335.2</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304.4</w:t>
            </w:r>
          </w:p>
        </w:tc>
      </w:tr>
      <w:tr>
        <w:trPr>
          <w:trHeight w:val="217"/>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610.1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639.6</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204.5</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166.6</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18.2</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expense, net</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7"/>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 from continuing operations</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net income (loss) of subsidiaries</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0"/>
        </w:trPr>
        <w:tc>
          <w:tcPr>
            <w:tcW w:w="4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28, 2014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Non-Guarantors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on a Combined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470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390.8</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372.2</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763.0</w:t>
            </w: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297.0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304.6</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279.0</w:t>
            </w:r>
          </w:p>
        </w:tc>
      </w:tr>
      <w:tr>
        <w:trPr>
          <w:trHeight w:val="21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544.9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583.6</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179.4</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155.5</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w:t>
            </w:r>
          </w:p>
        </w:tc>
      </w:tr>
      <w:tr>
        <w:trPr>
          <w:trHeight w:val="21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 from continuing operations</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net income (loss) of subsidiaries</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0"/>
        </w:trPr>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w:t>
            </w:r>
          </w:p>
        </w:tc>
      </w:tr>
      <w:tr>
        <w:trPr>
          <w:trHeight w:val="20"/>
        </w:trPr>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27, 2015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Non-Guarantors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on a Combined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470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354.2</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302.9</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657.1</w:t>
            </w: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255.5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266.5</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228.8</w:t>
            </w:r>
          </w:p>
        </w:tc>
      </w:tr>
      <w:tr>
        <w:trPr>
          <w:trHeight w:val="21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458.6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495.3</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161.8</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150.1</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w:t>
            </w:r>
          </w:p>
        </w:tc>
      </w:tr>
      <w:tr>
        <w:trPr>
          <w:trHeight w:val="21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(benefit) for income taxes from continuing operations</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53.0</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net income (loss) of subsidiaries</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w:t>
            </w:r>
          </w:p>
        </w:tc>
      </w:tr>
      <w:tr>
        <w:trPr>
          <w:trHeight w:val="20"/>
        </w:trPr>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20.1</w:t>
            </w:r>
          </w:p>
        </w:tc>
      </w:tr>
      <w:tr>
        <w:trPr>
          <w:trHeight w:val="20"/>
        </w:trPr>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29,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Guarantors on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Guarantors 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Parent</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 Combined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 from continuing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r>
      <w:tr>
        <w:trPr>
          <w:trHeight w:val="231"/>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r>
      <w:tr>
        <w:trPr>
          <w:trHeight w:val="237"/>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restricted cash</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in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disposition of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 from continuing</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0"/>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contingent acquisition consideration</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Financing from affiliated companies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sale of employee stock purchase plan shares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196"/>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 from continuing</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0"/>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w:t>
            </w: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operating cash flows from discontinued operations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investing cash flows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28, 2014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Guarantors on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Guarantors 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Parent</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 Combined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 from continuing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r>
      <w:tr>
        <w:trPr>
          <w:trHeight w:val="231"/>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7"/>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restricted cash</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in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 from continuing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31"/>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618.5</w:t>
            </w: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Extinguishment of long-term debt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(661.5)</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Credit agreement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w:t>
            </w: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debt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sale of employee stock purchase plan shares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Financings from affiliated companies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 from continuing</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0"/>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operating cash flows from discontinued operations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investing cash flows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27, 2015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Guarantors on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Guarantors 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Parent</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 Combined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 from continuing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31"/>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in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restricted cash</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 from continuing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31"/>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Extinguishment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debt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sale of employee stock purchase plan shares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237"/>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Financings from affiliated companies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196"/>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 from continuing</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0"/>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w:t>
            </w: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operating cash flows from discontinued operations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investing cash flows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242.5</w:t>
            </w: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5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Ai Metrix, Inc.</w:t>
            </w:r>
          </w:p>
        </w:tc>
        <w:tc>
          <w:tcPr>
            <w:tcW w:w="5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Airorlite Communications,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Jersey</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Avtec Systems,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Virginia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BSC Partners,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York</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Charleston Marine Containers,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Composite Engineering,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Systems and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Virginia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Dallastown Realty I,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Dallastown Realty II,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Defense Systems, Incorporated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Virginia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DEI Services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Florida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DFI Realty,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Florida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Digital Fusion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Florida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Digital Fusion,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Diversified Security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York</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DTI Associates,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Virginia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General Microwave Israel (1987) Ltd.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General Microwave Israel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General Microwave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York</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Gichner Europe Limited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Gichner Systems Group,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Gichner Systems International,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Haverstick Consulting,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Indiana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Haverstick Government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Ohio</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Henry Bros. Electronics,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Henry Bros. Electronics,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Henry Bros. Electronics,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Henry Bros. Electronics,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Jersey</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Henry Bros. Electronics,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GMI Eyal Ltd.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HGS Holdings,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Indiana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Integral Systems Europe Ltd.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Integral Systems Europe S.A.S.</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France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JMA Associates,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KPSS Government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Defense &amp; Rocket Support Services,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Integral Holdings,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Maryland</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Integral Systems International,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200"/>
          </w:cols>
          <w:pgMar w:left="460" w:top="131" w:right="239" w:bottom="1440" w:gutter="0" w:footer="0" w:header="0"/>
        </w:sectPr>
      </w:pPr>
    </w:p>
    <w:bookmarkStart w:id="109" w:name="page110"/>
    <w:bookmarkEnd w:id="1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5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Networks, Inc.</w:t>
            </w:r>
          </w:p>
        </w:tc>
        <w:tc>
          <w:tcPr>
            <w:tcW w:w="5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Public Safety &amp; Security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Southeast,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Georgia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Southwest L.P.</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Technology &amp; Training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Texas,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Unmanned Systems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Kratos-RSS,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Carlsbad ISI,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Maryland</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LVDM,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Nevada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Madison Research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Alabama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Micro Systems,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Florida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MSI Acquisition Corp.</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National Safe of California,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Polexis,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Reality Based IT Services Ltd.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Maryland</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RealTime Logic,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Rocket Support Services,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Indiana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SAT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SCT Acquisition,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SCT Real Estate,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SecureInfo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Shadow I,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Shadow II,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Summit Research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Alabama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WFI NMC Corp.</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77"/>
        </w:trPr>
        <w:tc>
          <w:tcPr>
            <w:tcW w:w="5520" w:type="dxa"/>
            <w:vAlign w:val="bottom"/>
            <w:tcBorders>
              <w:left w:val="single" w:sz="8" w:color="auto"/>
              <w:bottom w:val="single" w:sz="8" w:color="auto"/>
              <w:right w:val="single" w:sz="8" w:color="auto"/>
            </w:tcBorders>
          </w:tcPr>
          <w:p>
            <w:pPr>
              <w:spacing w:after="0"/>
              <w:rPr>
                <w:sz w:val="24"/>
                <w:szCs w:val="24"/>
                <w:color w:val="auto"/>
              </w:rPr>
            </w:pPr>
          </w:p>
        </w:tc>
        <w:tc>
          <w:tcPr>
            <w:tcW w:w="5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020"/>
          </w:cols>
          <w:pgMar w:left="460" w:top="254" w:right="4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333-53014, 333-71618, 333-74108, and 333-198266 on Form S-3, Registration Statement Nos. 333-150165, 333-155604, 333-167840, 333-174745, 333-174760, 333-177493, and 333-198265 on Form S-4, and Registration Statement Nos. 333-54818, 333-71702, 333-90455, 333-91852, 333-116903, 333-124957, 333-127060, 333-155317, 333-157826, 333-167839, 333-171257, 333-173383, 333-177494, 333-179977, 333-182910, 333-191156, 333-198268, and 333-206620 on Form S-8 of our report dated March 10, 2016, relating to the financial statements of Kratos Defense &amp; Security Solutions, Inc. (the “Company”) (which report expresses an unqualified opinion and includes explanatory paragraphs related to the presentation of discontinued operations and the early adoption of a new accounting standard), and the effectiveness of the Company’s internal control over financial reporting, appearing in this Annual Report on Form 10-K of the Company for the year ended December 27, 2015.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ectPr>
          <w:pgSz w:w="11900" w:h="16838" w:orient="portrait"/>
          <w:cols w:equalWidth="0" w:num="1">
            <w:col w:w="11420"/>
          </w:cols>
          <w:pgMar w:left="240" w:top="117"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Kratos Defense &amp; Security Solutions, Inc.;</w:t>
      </w:r>
    </w:p>
    <w:p>
      <w:pPr>
        <w:spacing w:after="0" w:line="23" w:lineRule="exact"/>
        <w:rPr>
          <w:rFonts w:ascii="Times New Roman" w:cs="Times New Roman" w:eastAsia="Times New Roman" w:hAnsi="Times New Roman"/>
          <w:sz w:val="16"/>
          <w:szCs w:val="16"/>
          <w:color w:val="auto"/>
        </w:rPr>
      </w:pPr>
    </w:p>
    <w:p>
      <w:pPr>
        <w:ind w:left="660" w:right="20" w:hanging="652"/>
        <w:spacing w:after="0" w:line="246" w:lineRule="auto"/>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257" w:lineRule="auto"/>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6"/>
          <w:szCs w:val="16"/>
          <w:color w:val="auto"/>
        </w:rPr>
      </w:pPr>
    </w:p>
    <w:p>
      <w:pPr>
        <w:ind w:left="1300" w:right="180" w:hanging="644"/>
        <w:spacing w:after="0" w:line="254" w:lineRule="auto"/>
        <w:tabs>
          <w:tab w:leader="none" w:pos="130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6"/>
          <w:szCs w:val="16"/>
          <w:color w:val="auto"/>
        </w:rPr>
      </w:pPr>
    </w:p>
    <w:p>
      <w:pPr>
        <w:ind w:left="1300" w:right="80" w:hanging="644"/>
        <w:spacing w:after="0" w:line="246" w:lineRule="auto"/>
        <w:tabs>
          <w:tab w:leader="none" w:pos="130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6"/>
          <w:szCs w:val="16"/>
          <w:color w:val="auto"/>
        </w:rPr>
      </w:pPr>
    </w:p>
    <w:p>
      <w:pPr>
        <w:ind w:left="1300" w:right="80" w:hanging="644"/>
        <w:spacing w:after="0" w:line="246" w:lineRule="auto"/>
        <w:tabs>
          <w:tab w:leader="none" w:pos="130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6"/>
          <w:szCs w:val="16"/>
          <w:color w:val="auto"/>
        </w:rPr>
      </w:pPr>
    </w:p>
    <w:p>
      <w:pPr>
        <w:ind w:left="660" w:right="300" w:hanging="652"/>
        <w:spacing w:after="0" w:line="281" w:lineRule="auto"/>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6"/>
          <w:szCs w:val="16"/>
          <w:color w:val="auto"/>
        </w:rPr>
      </w:pPr>
    </w:p>
    <w:p>
      <w:pPr>
        <w:ind w:left="1300" w:right="260" w:hanging="644"/>
        <w:spacing w:after="0" w:line="258" w:lineRule="auto"/>
        <w:tabs>
          <w:tab w:leader="none" w:pos="130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460" w:hanging="644"/>
        <w:spacing w:after="0" w:line="257" w:lineRule="auto"/>
        <w:tabs>
          <w:tab w:leader="none" w:pos="130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10, 2016</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37465</wp:posOffset>
            </wp:positionV>
            <wp:extent cx="34988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Eric M. DeMarco</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420"/>
          </w:cols>
          <w:pgMar w:left="240" w:top="583" w:right="2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Deanna H. Lund, certify that:</w:t>
      </w:r>
    </w:p>
    <w:p>
      <w:pPr>
        <w:spacing w:after="0" w:line="208"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Annual report on Form 10-K of Kratos Defense &amp; Security Solutions, Inc.;</w:t>
      </w:r>
    </w:p>
    <w:p>
      <w:pPr>
        <w:spacing w:after="0" w:line="9" w:lineRule="exact"/>
        <w:rPr>
          <w:rFonts w:ascii="Times New Roman" w:cs="Times New Roman" w:eastAsia="Times New Roman" w:hAnsi="Times New Roman"/>
          <w:sz w:val="18"/>
          <w:szCs w:val="18"/>
          <w:color w:val="auto"/>
        </w:rPr>
      </w:pPr>
    </w:p>
    <w:p>
      <w:pPr>
        <w:ind w:left="660" w:right="20" w:hanging="652"/>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 w:lineRule="exact"/>
        <w:rPr>
          <w:rFonts w:ascii="Times New Roman" w:cs="Times New Roman" w:eastAsia="Times New Roman" w:hAnsi="Times New Roman"/>
          <w:sz w:val="18"/>
          <w:szCs w:val="18"/>
          <w:color w:val="auto"/>
        </w:rPr>
      </w:pPr>
    </w:p>
    <w:p>
      <w:pPr>
        <w:ind w:left="660" w:hanging="652"/>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8"/>
          <w:szCs w:val="18"/>
          <w:color w:val="auto"/>
        </w:rPr>
      </w:pPr>
    </w:p>
    <w:p>
      <w:pPr>
        <w:ind w:left="660" w:right="120" w:hanging="652"/>
        <w:spacing w:after="0" w:line="28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8"/>
          <w:szCs w:val="18"/>
          <w:color w:val="auto"/>
        </w:rPr>
      </w:pPr>
    </w:p>
    <w:p>
      <w:pPr>
        <w:ind w:left="1300" w:right="180" w:hanging="644"/>
        <w:spacing w:after="0" w:line="268"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 w:lineRule="exact"/>
        <w:rPr>
          <w:rFonts w:ascii="Times New Roman" w:cs="Times New Roman" w:eastAsia="Times New Roman" w:hAnsi="Times New Roman"/>
          <w:sz w:val="18"/>
          <w:szCs w:val="18"/>
          <w:color w:val="auto"/>
        </w:rPr>
      </w:pPr>
    </w:p>
    <w:p>
      <w:pPr>
        <w:ind w:left="1300" w:right="80" w:hanging="644"/>
        <w:spacing w:after="0" w:line="268"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8"/>
          <w:szCs w:val="18"/>
          <w:color w:val="auto"/>
        </w:rPr>
      </w:pPr>
    </w:p>
    <w:p>
      <w:pPr>
        <w:ind w:left="1300" w:right="360" w:hanging="644"/>
        <w:spacing w:after="0" w:line="281" w:lineRule="auto"/>
        <w:tabs>
          <w:tab w:leader="none" w:pos="13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8"/>
          <w:szCs w:val="18"/>
          <w:color w:val="auto"/>
        </w:rPr>
      </w:pPr>
    </w:p>
    <w:p>
      <w:pPr>
        <w:ind w:left="660" w:right="300" w:hanging="652"/>
        <w:spacing w:after="0" w:line="28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8"/>
          <w:szCs w:val="18"/>
          <w:color w:val="auto"/>
        </w:rPr>
      </w:pPr>
    </w:p>
    <w:p>
      <w:pPr>
        <w:ind w:left="1300" w:right="260" w:hanging="644"/>
        <w:spacing w:after="0" w:line="261"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Times New Roman" w:cs="Times New Roman" w:eastAsia="Times New Roman" w:hAnsi="Times New Roman"/>
          <w:sz w:val="18"/>
          <w:szCs w:val="18"/>
          <w:color w:val="auto"/>
        </w:rPr>
      </w:pPr>
    </w:p>
    <w:p>
      <w:pPr>
        <w:ind w:left="1300" w:right="460" w:hanging="644"/>
        <w:spacing w:after="0" w:line="28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10, 2016</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37465</wp:posOffset>
            </wp:positionV>
            <wp:extent cx="34988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Deanna H. Lund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420"/>
          </w:cols>
          <w:pgMar w:left="240" w:top="583"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76"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16"/>
          <w:szCs w:val="16"/>
          <w:color w:val="auto"/>
        </w:rPr>
        <w:t>In connection with the accompanying Annual Report of Kratos Defense &amp; Security Solutions, Inc. (the “Company”) on Form 10-K for the year ended December 27, 2015 (the “Report”), I, Eric M. DeMarco, Chief Executive Officer of the Company, certify, pursuant to 18 U.S.C. Section 1350, as adopted pursuant to Section 906 of the Sarbanes-Oxley Act of 2002, that:</w:t>
      </w:r>
    </w:p>
    <w:p>
      <w:pPr>
        <w:spacing w:after="0" w:line="151"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10, 2016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36106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Eric M. DeMarco</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420"/>
          </w:cols>
          <w:pgMar w:left="240" w:top="583"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76"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16"/>
          <w:szCs w:val="16"/>
          <w:color w:val="auto"/>
        </w:rPr>
        <w:t>In connection with the accompanying Annual Report of Kratos Defense &amp; Security Solutions, Inc. (the “Company”) on Form 10-K for the year ended December 27, 2015 (the “Report”), I, Deanna H. Lund, Chief Financial Officer of the Company, certify, pursuant to 18 U.S.C. Section 1350, as adopted pursuant to Section 906 of the Sarbanes-Oxley Act of 2002, that:</w:t>
      </w:r>
    </w:p>
    <w:p>
      <w:pPr>
        <w:spacing w:after="0" w:line="151"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10, 2016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36106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Deanna H. Lund</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420"/>
      </w:cols>
      <w:pgMar w:left="240" w:top="5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lowerLetter"/>
      <w:start w:val="3"/>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lowerLetter"/>
      <w:start w:val="2"/>
    </w:lvl>
  </w:abstractNum>
  <w:abstractNum w:abstractNumId="27">
    <w:nsid w:val="580BD78F"/>
    <w:multiLevelType w:val="hybridMultilevel"/>
    <w:lvl w:ilvl="0">
      <w:lvlJc w:val="left"/>
      <w:lvlText w:val="(%1)"/>
      <w:numFmt w:val="lowerLetter"/>
      <w:start w:val="4"/>
    </w:lvl>
  </w:abstractNum>
  <w:abstractNum w:abstractNumId="28">
    <w:nsid w:val="153EA438"/>
    <w:multiLevelType w:val="hybridMultilevel"/>
    <w:lvl w:ilvl="0">
      <w:lvlJc w:val="left"/>
      <w:lvlText w:val="(%1)"/>
      <w:numFmt w:val="lowerLetter"/>
      <w:start w:val="5"/>
    </w:lvl>
  </w:abstractNum>
  <w:abstractNum w:abstractNumId="29">
    <w:nsid w:val="3855585C"/>
    <w:multiLevelType w:val="hybridMultilevel"/>
    <w:lvl w:ilvl="0">
      <w:lvlJc w:val="left"/>
      <w:lvlText w:val="(%1)"/>
      <w:numFmt w:val="decimal"/>
      <w:start w:val="2"/>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lowerLetter"/>
      <w:start w:val="6"/>
    </w:lvl>
  </w:abstractNum>
  <w:abstractNum w:abstractNumId="32">
    <w:nsid w:val="2A487CB0"/>
    <w:multiLevelType w:val="hybridMultilevel"/>
    <w:lvl w:ilvl="0">
      <w:lvlJc w:val="left"/>
      <w:lvlText w:val="(%1)"/>
      <w:numFmt w:val="lowerLetter"/>
      <w:start w:val="8"/>
    </w:lvl>
  </w:abstractNum>
  <w:abstractNum w:abstractNumId="33">
    <w:nsid w:val="1D4ED43B"/>
    <w:multiLevelType w:val="hybridMultilevel"/>
    <w:lvl w:ilvl="0">
      <w:lvlJc w:val="left"/>
      <w:lvlText w:val="(%1)"/>
      <w:numFmt w:val="lowerRoman"/>
      <w:start w:val="1"/>
    </w:lvl>
  </w:abstractNum>
  <w:abstractNum w:abstractNumId="34">
    <w:nsid w:val="725A06FB"/>
    <w:multiLevelType w:val="hybridMultilevel"/>
    <w:lvl w:ilvl="0">
      <w:lvlJc w:val="left"/>
      <w:lvlText w:val="(%1)"/>
      <w:numFmt w:val="lowerLetter"/>
      <w:start w:val="11"/>
    </w:lvl>
  </w:abstractNum>
  <w:abstractNum w:abstractNumId="35">
    <w:nsid w:val="2CD89A32"/>
    <w:multiLevelType w:val="hybridMultilevel"/>
    <w:lvl w:ilvl="0">
      <w:lvlJc w:val="left"/>
      <w:lvlText w:val="(%1)"/>
      <w:numFmt w:val="lowerLetter"/>
      <w:start w:val="12"/>
    </w:lvl>
  </w:abstractNum>
  <w:abstractNum w:abstractNumId="36">
    <w:nsid w:val="57E4CCAF"/>
    <w:multiLevelType w:val="hybridMultilevel"/>
    <w:lvl w:ilvl="0">
      <w:lvlJc w:val="left"/>
      <w:lvlText w:val="(%1)"/>
      <w:numFmt w:val="lowerLetter"/>
      <w:start w:val="13"/>
    </w:lvl>
  </w:abstractNum>
  <w:abstractNum w:abstractNumId="37">
    <w:nsid w:val="7A6D8D3C"/>
    <w:multiLevelType w:val="hybridMultilevel"/>
    <w:lvl w:ilvl="0">
      <w:lvlJc w:val="left"/>
      <w:lvlText w:val="(%1)"/>
      <w:numFmt w:val="lowerLetter"/>
      <w:start w:val="14"/>
    </w:lvl>
  </w:abstractNum>
  <w:abstractNum w:abstractNumId="38">
    <w:nsid w:val="4B588F54"/>
    <w:multiLevelType w:val="hybridMultilevel"/>
    <w:lvl w:ilvl="0">
      <w:lvlJc w:val="left"/>
      <w:lvlText w:val="(%1)"/>
      <w:numFmt w:val="lowerLetter"/>
      <w:start w:val="16"/>
    </w:lvl>
  </w:abstractNum>
  <w:abstractNum w:abstractNumId="39">
    <w:nsid w:val="542289EC"/>
    <w:multiLevelType w:val="hybridMultilevel"/>
    <w:lvl w:ilvl="0">
      <w:lvlJc w:val="left"/>
      <w:lvlText w:val="(%1)"/>
      <w:numFmt w:val="lowerLetter"/>
      <w:start w:val="17"/>
    </w:lvl>
  </w:abstractNum>
  <w:abstractNum w:abstractNumId="40">
    <w:nsid w:val="6DE91B18"/>
    <w:multiLevelType w:val="hybridMultilevel"/>
    <w:lvl w:ilvl="0">
      <w:lvlJc w:val="left"/>
      <w:lvlText w:val="(%1)"/>
      <w:numFmt w:val="lowerLetter"/>
      <w:start w:val="19"/>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2"/>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Roman"/>
      <w:start w:val="3"/>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lowerLetter"/>
      <w:start w:val="2"/>
    </w:lvl>
  </w:abstractNum>
  <w:abstractNum w:abstractNumId="47">
    <w:nsid w:val="3DC240FB"/>
    <w:multiLevelType w:val="hybridMultilevel"/>
    <w:lvl w:ilvl="0">
      <w:lvlJc w:val="left"/>
      <w:lvlText w:val="(%1)"/>
      <w:numFmt w:val="decimal"/>
      <w:start w:val="3"/>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2019-12-29T11:40:30Z</dcterms:created>
  <dcterms:modified xsi:type="dcterms:W3CDTF">2019-12-29T11:40:30Z</dcterms:modified>
</cp:coreProperties>
</file>