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7"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24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1199" w:right="359" w:bottom="1440" w:gutter="0" w:footer="0" w:header="0"/>
        </w:sectPr>
      </w:pPr>
    </w:p>
    <w:p>
      <w:pPr>
        <w:ind w:left="1780"/>
        <w:spacing w:after="0" w:line="221" w:lineRule="auto"/>
        <w:rPr>
          <w:sz w:val="20"/>
          <w:szCs w:val="20"/>
          <w:color w:val="auto"/>
        </w:rPr>
      </w:pPr>
      <w:r>
        <w:rPr>
          <w:rFonts w:ascii="Times New Roman" w:cs="Times New Roman" w:eastAsia="Times New Roman" w:hAnsi="Times New Roman"/>
          <w:sz w:val="18"/>
          <w:szCs w:val="18"/>
          <w:color w:val="auto"/>
        </w:rPr>
        <w:t>(State or other jurisdiction of</w:t>
      </w: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 Chisholm Trail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Suite 300</w:t>
      </w:r>
    </w:p>
    <w:p>
      <w:pPr>
        <w:jc w:val="center"/>
        <w:ind w:right="740"/>
        <w:spacing w:after="0" w:line="219" w:lineRule="auto"/>
        <w:rPr>
          <w:sz w:val="20"/>
          <w:szCs w:val="20"/>
          <w:color w:val="auto"/>
        </w:rPr>
      </w:pPr>
      <w:r>
        <w:rPr>
          <w:rFonts w:ascii="Times New Roman" w:cs="Times New Roman" w:eastAsia="Times New Roman" w:hAnsi="Times New Roman"/>
          <w:sz w:val="18"/>
          <w:szCs w:val="18"/>
          <w:b w:val="1"/>
          <w:bCs w:val="1"/>
          <w:color w:val="auto"/>
        </w:rPr>
        <w:t>Round Rock</w:t>
      </w:r>
      <w:r>
        <w:rPr>
          <w:rFonts w:ascii="Times New Roman" w:cs="Times New Roman" w:eastAsia="Times New Roman" w:hAnsi="Times New Roman"/>
          <w:sz w:val="16"/>
          <w:szCs w:val="16"/>
          <w:b w:val="1"/>
          <w:bCs w:val="1"/>
          <w:color w:val="auto"/>
        </w:rPr>
        <w:t>, TX</w:t>
      </w: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16"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pacing w:after="0" w:line="25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78681</w:t>
      </w:r>
    </w:p>
    <w:p>
      <w:pPr>
        <w:spacing w:after="0" w:line="21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(Zip Code)</w:t>
      </w:r>
    </w:p>
    <w:p>
      <w:pPr>
        <w:spacing w:after="0" w:line="668" w:lineRule="exact"/>
        <w:rPr>
          <w:sz w:val="24"/>
          <w:szCs w:val="24"/>
          <w:color w:val="auto"/>
        </w:rPr>
      </w:pPr>
    </w:p>
    <w:p>
      <w:pPr>
        <w:sectPr>
          <w:pgSz w:w="11900" w:h="16838" w:orient="portrait"/>
          <w:cols w:equalWidth="0" w:num="2">
            <w:col w:w="6400" w:space="720"/>
            <w:col w:w="4100"/>
          </w:cols>
          <w:pgMar w:left="320" w:top="119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ind w:left="4840"/>
        <w:spacing w:after="0" w:line="172"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ind w:left="1500"/>
        <w:spacing w:after="0"/>
        <w:tabs>
          <w:tab w:leader="none" w:pos="6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ind w:left="10480"/>
        <w:spacing w:after="0" w:line="172" w:lineRule="exact"/>
        <w:rPr>
          <w:sz w:val="20"/>
          <w:szCs w:val="20"/>
          <w:color w:val="auto"/>
        </w:rPr>
      </w:pPr>
      <w:r>
        <w:rPr>
          <w:rFonts w:ascii="MS PGothic" w:cs="MS PGothic" w:eastAsia="MS PGothic" w:hAnsi="MS PGothic"/>
          <w:sz w:val="18"/>
          <w:szCs w:val="18"/>
          <w:color w:val="auto"/>
        </w:rPr>
        <w:t>☐</w:t>
      </w: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46"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0" w:lineRule="exact"/>
        <w:rPr>
          <w:sz w:val="24"/>
          <w:szCs w:val="24"/>
          <w:color w:val="auto"/>
        </w:rPr>
      </w:pPr>
    </w:p>
    <w:p>
      <w:pPr>
        <w:ind w:left="340" w:right="15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October 31, 2025, 168,840,708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0" w:type="dxa"/>
            <w:vAlign w:val="bottom"/>
            <w:gridSpan w:val="15"/>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400" w:type="dxa"/>
            <w:vAlign w:val="bottom"/>
            <w:gridSpan w:val="15"/>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82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8"/>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28, 2025 (unaudited) and December 29, 2024</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28, 2025 and September 29,</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180" w:type="dxa"/>
            <w:vAlign w:val="bottom"/>
            <w:tcBorders>
              <w:top w:val="single" w:sz="8" w:color="0000FF"/>
            </w:tcBorders>
            <w:gridSpan w:val="22"/>
          </w:tcPr>
          <w:p>
            <w:pPr>
              <w:spacing w:after="0" w:line="136" w:lineRule="exact"/>
              <w:rPr>
                <w:sz w:val="20"/>
                <w:szCs w:val="20"/>
                <w:color w:val="auto"/>
              </w:rPr>
            </w:pPr>
            <w:r>
              <w:rPr>
                <w:rFonts w:ascii="Times New Roman" w:cs="Times New Roman" w:eastAsia="Times New Roman" w:hAnsi="Times New Roman"/>
                <w:sz w:val="15"/>
                <w:szCs w:val="15"/>
                <w:color w:val="0000FF"/>
              </w:rPr>
              <w:t>2024 (unaudited)</w:t>
            </w:r>
          </w:p>
        </w:tc>
        <w:tc>
          <w:tcPr>
            <w:tcW w:w="12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28, 2025 and</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September 29, 2024 (unaudited)</w:t>
            </w:r>
          </w:p>
        </w:tc>
        <w:tc>
          <w:tcPr>
            <w:tcW w:w="58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28, 2025 and</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September 29, 2024 (unaudited)</w:t>
            </w:r>
          </w:p>
        </w:tc>
        <w:tc>
          <w:tcPr>
            <w:tcW w:w="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5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28, 2025 and September 29, 2024</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100" w:type="dxa"/>
            <w:vAlign w:val="bottom"/>
            <w:tcBorders>
              <w:top w:val="single" w:sz="8" w:color="0000FF"/>
            </w:tcBorders>
            <w:gridSpan w:val="17"/>
          </w:tcPr>
          <w:p>
            <w:pPr>
              <w:spacing w:after="0"/>
              <w:rPr>
                <w:sz w:val="13"/>
                <w:szCs w:val="13"/>
                <w:color w:val="auto"/>
              </w:rPr>
            </w:pPr>
          </w:p>
        </w:tc>
        <w:tc>
          <w:tcPr>
            <w:tcW w:w="720" w:type="dxa"/>
            <w:vAlign w:val="bottom"/>
            <w:gridSpan w:val="4"/>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80" w:type="dxa"/>
            <w:vAlign w:val="bottom"/>
            <w:gridSpan w:val="7"/>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860" w:type="dxa"/>
            <w:vAlign w:val="bottom"/>
            <w:gridSpan w:val="10"/>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Borders>
              <w:bottom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3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9"/>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40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96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2"/>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738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Unbilled receivables,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Inventoried costs,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3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7"/>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 at</w:t>
            </w:r>
          </w:p>
        </w:tc>
        <w:tc>
          <w:tcPr>
            <w:tcW w:w="140" w:type="dxa"/>
            <w:vAlign w:val="bottom"/>
            <w:shd w:val="clear" w:color="auto" w:fill="CCEEFF"/>
          </w:tcPr>
          <w:p>
            <w:pPr>
              <w:spacing w:after="0"/>
              <w:rPr>
                <w:sz w:val="14"/>
                <w:szCs w:val="14"/>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28, 2025 and December 29, 2024</w:t>
            </w:r>
          </w:p>
        </w:tc>
        <w:tc>
          <w:tcPr>
            <w:tcW w:w="14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195,000,000 shares authorized; 168,838,631 and 151,092,292 shares issued</w:t>
            </w:r>
          </w:p>
        </w:tc>
        <w:tc>
          <w:tcPr>
            <w:tcW w:w="14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at September 28, 2025 and December 29, 2024, respectively</w:t>
            </w:r>
          </w:p>
        </w:tc>
        <w:tc>
          <w:tcPr>
            <w:tcW w:w="1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w:t>
            </w:r>
          </w:p>
        </w:tc>
      </w:tr>
      <w:tr>
        <w:trPr>
          <w:trHeight w:val="212"/>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r>
      <w:tr>
        <w:trPr>
          <w:trHeight w:val="207"/>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635.8</w:t>
            </w:r>
          </w:p>
        </w:tc>
      </w:tr>
      <w:tr>
        <w:trPr>
          <w:trHeight w:val="212"/>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2"/>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83"/>
        </w:trPr>
        <w:tc>
          <w:tcPr>
            <w:tcW w:w="58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400" w:type="dxa"/>
            <w:vAlign w:val="bottom"/>
            <w:tcBorders>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12.4</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r>
      <w:tr>
        <w:trPr>
          <w:trHeight w:val="20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2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62"/>
        </w:trPr>
        <w:tc>
          <w:tcPr>
            <w:tcW w:w="6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unrealized cash flow hedge (net of taxes of $0.0 million and $0.1 million for the three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and nine month period ended September 28, 2025 and $0.9 million and $0.4 million for the three</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20" w:type="dxa"/>
            <w:vAlign w:val="bottom"/>
            <w:vMerge w:val="restart"/>
          </w:tcPr>
          <w:p>
            <w:pPr>
              <w:jc w:val="center"/>
              <w:ind w:left="58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nine month period ended September 29, 2024)</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28, 2025 and September 29, 2024</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gridSpan w:val="8"/>
            <w:vMerge w:val="continue"/>
          </w:tcPr>
          <w:p>
            <w:pPr>
              <w:spacing w:after="0"/>
              <w:rPr>
                <w:sz w:val="9"/>
                <w:szCs w:val="9"/>
                <w:color w:val="auto"/>
              </w:rPr>
            </w:pPr>
          </w:p>
        </w:tc>
        <w:tc>
          <w:tcPr>
            <w:tcW w:w="120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9"/>
                <w:szCs w:val="9"/>
                <w:color w:val="auto"/>
              </w:rPr>
            </w:pPr>
          </w:p>
        </w:tc>
        <w:tc>
          <w:tcPr>
            <w:tcW w:w="1300" w:type="dxa"/>
            <w:vAlign w:val="bottom"/>
            <w:gridSpan w:val="4"/>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120" w:type="dxa"/>
            <w:vAlign w:val="bottom"/>
            <w:gridSpan w:val="3"/>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06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6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w:t>
            </w:r>
          </w:p>
        </w:tc>
        <w:tc>
          <w:tcPr>
            <w:tcW w:w="6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options</w:t>
            </w: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2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1"/>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2"/>
                <w:szCs w:val="2"/>
                <w:color w:val="auto"/>
              </w:rPr>
            </w:pPr>
          </w:p>
        </w:tc>
        <w:tc>
          <w:tcPr>
            <w:tcW w:w="1300" w:type="dxa"/>
            <w:vAlign w:val="bottom"/>
            <w:gridSpan w:val="4"/>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1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29, 2025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and stock awards</w:t>
            </w: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28, 2025</w:t>
            </w: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2,627.0</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28, 2025 and September 29, 2024</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2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2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(680.2)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6"/>
                <w:szCs w:val="16"/>
                <w:color w:val="auto"/>
              </w:rPr>
            </w:pPr>
          </w:p>
        </w:tc>
        <w:tc>
          <w:tcPr>
            <w:tcW w:w="4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9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90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plan</w:t>
            </w:r>
          </w:p>
        </w:tc>
        <w:tc>
          <w:tcPr>
            <w:tcW w:w="900" w:type="dxa"/>
            <w:vAlign w:val="bottom"/>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900" w:type="dxa"/>
            <w:vAlign w:val="bottom"/>
          </w:tcPr>
          <w:p>
            <w:pPr>
              <w:spacing w:after="0"/>
              <w:rPr>
                <w:sz w:val="16"/>
                <w:szCs w:val="16"/>
                <w:color w:val="auto"/>
              </w:rPr>
            </w:pPr>
          </w:p>
        </w:tc>
        <w:tc>
          <w:tcPr>
            <w:tcW w:w="4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900" w:type="dxa"/>
            <w:vAlign w:val="bottom"/>
          </w:tcPr>
          <w:p>
            <w:pPr>
              <w:spacing w:after="0"/>
              <w:rPr>
                <w:sz w:val="16"/>
                <w:szCs w:val="16"/>
                <w:color w:val="auto"/>
              </w:rPr>
            </w:pPr>
          </w:p>
        </w:tc>
        <w:tc>
          <w:tcPr>
            <w:tcW w:w="4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00" w:type="dxa"/>
            <w:vAlign w:val="bottom"/>
          </w:tcPr>
          <w:p>
            <w:pPr>
              <w:spacing w:after="0"/>
              <w:rPr>
                <w:sz w:val="16"/>
                <w:szCs w:val="16"/>
                <w:color w:val="auto"/>
              </w:rPr>
            </w:pPr>
          </w:p>
        </w:tc>
        <w:tc>
          <w:tcPr>
            <w:tcW w:w="4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2,010.2</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(667.8)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29, 2024</w:t>
            </w:r>
          </w:p>
        </w:tc>
        <w:tc>
          <w:tcPr>
            <w:tcW w:w="9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28, 2025</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0" w:type="dxa"/>
            <w:vAlign w:val="bottom"/>
          </w:tcPr>
          <w:p>
            <w:pPr>
              <w:spacing w:after="0"/>
              <w:rPr>
                <w:sz w:val="1"/>
                <w:szCs w:val="1"/>
                <w:color w:val="auto"/>
              </w:rPr>
            </w:pPr>
          </w:p>
        </w:tc>
      </w:tr>
      <w:tr>
        <w:trPr>
          <w:trHeight w:val="182"/>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 used in) operating activities: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lease right-of-use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Unbilled receivables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Inventoried costs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Income tax receivable and payable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00" w:type="dxa"/>
            <w:vAlign w:val="bottom"/>
          </w:tcPr>
          <w:p>
            <w:pPr>
              <w:spacing w:after="0"/>
              <w:rPr>
                <w:sz w:val="16"/>
                <w:szCs w:val="16"/>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 under credit facility</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under credit facility and term loan</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under finance leases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employee taxes withheld from share-based awards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equity plans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obligation incurred</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expenses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issuance for purchase of noncontrolling interests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8"/>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issuance for acquisition</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September 28, 2025 and for the three and nine months ended September 28, 2025 and September 29, 2024 is unaudited. The condensed consolidated balance sheet as of December 29, 2024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2024, included in the Company’s Annual Report on Form 10-K filed with the U.S. Securities and Exchange Commission (the “SEC”) on February 26, 2025 (the “Form 10-K”). Interim operating results are not necessarily indicative of operating results expected in subsequent periods or for the year as a whole.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items have been reclassified to be consistent with current year presentation.</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1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100% owned subsidiaries. All inter-company transactions have been eliminated in consolidation. On June 21, 2024, the Company purchased the remaining 9.95% interest in KTT CORE, Inc., a Delaware corporation formerly known as KTT CORE, LLC (“KTT Core”) which previously had been reported as a majority owned subsidiary. KTT Core is now a 100% owned subsidiary. See Note 11 for further information related to the redeemable noncontrolling interest.</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The three month periods ended September 28, 2025 and September 29, 2024 consisted of 13-week periods. The nine month periods ended September 28, 2025 and September 29, 2024 consisted of 26-week periods. There are 52 calendar weeks in the fiscal years ending on December 28, 2025 and December 29, 2024.</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nine months ended September 28, 2025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uses forward exchange contracts to manage foreign currency risks associated with certain transactions, specifically forecasted materials and salaries paid in foreign currencies. These derivative instruments are measured at fair value using observable market inputs such as interest rates. Based on these inputs, the derivative instruments are classified within Level 2 of the valuation hierarchy. At September 28, 2025 and December 29, 2024, the derivative instruments were included in other current assets and other long-term liabilities on the Company's condensed consolidated balance sheets. The Company also had entered into an interest rate swap contract in order to mitigate the exposure to interest rate movements associated with the Company’s Term Loan A. On June 30, 2025, in anticipation of the extinguishment of all outstanding Term Loan A debt under the 2022 Credit Facility, the Company terminated this interest rate swap contract.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and the related fair values of the Company’s derivative instruments measured at fair value on a recurring basis at September 28, 2025 and December 29, 2024 are presented in Note 15.</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September 28, 2025 and December 29, 2024 due to the short-term nature of these instruments.</w:t>
      </w:r>
    </w:p>
    <w:p>
      <w:pPr>
        <w:spacing w:after="0" w:line="19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Income Taxes (Topic 740): Improvements to Income Tax Disclosures,</w:t>
      </w:r>
      <w:r>
        <w:rPr>
          <w:rFonts w:ascii="Times New Roman" w:cs="Times New Roman" w:eastAsia="Times New Roman" w:hAnsi="Times New Roman"/>
          <w:sz w:val="18"/>
          <w:szCs w:val="18"/>
          <w:color w:val="auto"/>
        </w:rPr>
        <w:t xml:space="preserve">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will adopt ASU 2023-09 for the period ending December 28, 2025. The adoption of this standard is not expected to have an impact on the Company’s consolidated financial position, results of operations or cash flows.</w:t>
      </w:r>
    </w:p>
    <w:p>
      <w:pPr>
        <w:spacing w:after="0" w:line="20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(Topic 220):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requires the amounts of purchases of inventory, employee compensation, depreciation, and intangible asset amortization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relevant expense caption. It also requires companies to include certain amounts that are already required to be disclosed under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w:t>
      </w:r>
      <w:r>
        <w:rPr>
          <w:rFonts w:ascii="Times New Roman" w:cs="Times New Roman" w:eastAsia="Times New Roman" w:hAnsi="Times New Roman"/>
          <w:sz w:val="18"/>
          <w:szCs w:val="18"/>
          <w:color w:val="auto"/>
        </w:rPr>
        <w:t>will be effective for annual periods beginning after December 15, 2026 and interim periods beginning after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with early adoption permitted and will be applied on a prospective basis with the option to apply the standard retrospectively. The Company is currently evaluating the impact of the adoption of ASU 2024-03; however, the standard is not expected to have an impact on the Company’s consolidated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Joint Venture Arrangements</w:t>
      </w:r>
    </w:p>
    <w:p>
      <w:pPr>
        <w:spacing w:after="0" w:line="256"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is set to be headquartered on an approximately 500-acre site near the U.S. Navy and Army facility in Crane, Indiana. Kratos and RAFAEL (through its U.S. based subsidiary RAFAEL USA) have jointly committed up to $175 million in capital for the establishment of Prometheus and required property, plant, equipment and personnel needed for the new, state-of-the-art energetics manufacturing campus and facilities. After construction of the plant and once RAFAEL’s technology transfer is completed and certified for operations, Prometheus is projected to begin production of SRMs in 2027. As of the date of this Quarterly Report, the Company has incurred minimal amounts of expense related to the establishment of Prometheus.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Norden Millimeter, Inc.</w:t>
      </w:r>
    </w:p>
    <w:p>
      <w:pPr>
        <w:spacing w:after="0" w:line="24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asset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Kratos granted Norden certain registration rights under the Asset Purchase Agreement and registered the 1,095,674 shares with the SEC on February 7, 2025. The Purchased Assets and Assumed Liabilities are included in the KGS segment.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0" w:name="page11"/>
    <w:bookmarkEnd w:id="10"/>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Company has determined that pro forma revenue and earnings information is incomplete for the periods prior to the acquisition and that it is impracticable to present such prior periods until the Company obtains final information regarding such prior period revenues and earnings.</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over the estimated fair values of the Norden assets acquired and liabilities assumed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Based on the Company’s estimate of fair value, as of February 4, 2025, net liabilities included $4.0 million of current liabilities. The identifiable intangible assets as of February 4, 2025 included customer relationships of $6.7 million with a useful life of 10 years, contracts and backlog of $1.6 million with a useful life of 2 years, developed technology of $1.4 million with a useful life of 5 years, trade names of $0.6 million with a useful life of 7 years, and a non-compete agreement valued at $0.5 million with a useful life of 5 years. The goodwill recorded in this transaction is expected to be tax-deductible.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8.5% to determine the fair value referred to above. The value of contracts and backlog referred to above was also estimated using MPEEM. The value of developed technology referred to above was estimated using the relief-from 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developed technology intangible asset to determine the amount of savings, which was discounted at a rate of 8.5% to determine the fair value. The value of trade names referred to above was also estimated using the relief-from royalty method. A royalty rate was applied to the projected revenues associated with the trade names intangible asset to determine the amount of savings, which was discounted at a rate of 8.5% to determine the fair value referred to above. Quantitative information about significant unobservable inputs utilized to measure the fair value of Level 3 assets includes a range of discount rates from 6% to 12% and a weighted average discount rate of 8.5%.</w:t>
      </w:r>
    </w:p>
    <w:p>
      <w:pPr>
        <w:spacing w:after="0" w:line="21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amounts of revenue and operating income (loss) of the acquired Norden assets included in the Company’s consolidated statement of operations for the three months ended September 28, 2025 were $6.3 million and $(0.2) million, respectively. The amounts of revenue and operating income of the acquired Norden assets included in the Company’s consolidated statement of operations for the nine months ended September 28, 2025 were $17.0 million and $2.4 million,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assets is as follows (in millions):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that may be issued at later date</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estimated purchase price adjustment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 Forma Financial Information (Unaudited)</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supplemental condensed consolidated statements of operations information on an unaudited pro forma basis as if the acquisition of the Norden assets occurred on December 29, 2024 and include adjustments that were directly attributable to the Norden asset acquisition transaction.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 period ended September 28, 2025 (all amounts, except per share amounts, are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8"/>
        </w:trPr>
        <w:tc>
          <w:tcPr>
            <w:tcW w:w="8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September 28, 2025</w:t>
            </w:r>
          </w:p>
        </w:tc>
      </w:tr>
      <w:tr>
        <w:trPr>
          <w:trHeight w:val="198"/>
        </w:trPr>
        <w:tc>
          <w:tcPr>
            <w:tcW w:w="88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 forma revenues</w:t>
            </w:r>
          </w:p>
        </w:tc>
        <w:tc>
          <w:tcPr>
            <w:tcW w:w="30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1,003.3</w:t>
            </w:r>
          </w:p>
        </w:tc>
      </w:tr>
      <w:tr>
        <w:trPr>
          <w:trHeight w:val="203"/>
        </w:trPr>
        <w:tc>
          <w:tcPr>
            <w:tcW w:w="88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Pro forma net income before tax</w:t>
            </w:r>
          </w:p>
        </w:tc>
        <w:tc>
          <w:tcPr>
            <w:tcW w:w="30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21.7</w:t>
            </w:r>
          </w:p>
        </w:tc>
      </w:tr>
      <w:tr>
        <w:trPr>
          <w:trHeight w:val="203"/>
        </w:trPr>
        <w:tc>
          <w:tcPr>
            <w:tcW w:w="88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 forma net income</w:t>
            </w:r>
          </w:p>
        </w:tc>
        <w:tc>
          <w:tcPr>
            <w:tcW w:w="3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270"/>
        </w:trPr>
        <w:tc>
          <w:tcPr>
            <w:tcW w:w="8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03"/>
        </w:trPr>
        <w:tc>
          <w:tcPr>
            <w:tcW w:w="88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Basic pro forma income per share</w:t>
            </w:r>
          </w:p>
        </w:tc>
        <w:tc>
          <w:tcPr>
            <w:tcW w:w="3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r>
      <w:tr>
        <w:trPr>
          <w:trHeight w:val="234"/>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pro forma income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bl>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Sierra Technical Services, Inc.</w:t>
      </w:r>
    </w:p>
    <w:p>
      <w:pPr>
        <w:spacing w:after="0" w:line="243"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On October 3, 2023, the Company entered into an agreement to acquire all of the outstanding equity securities of aerial target drone designer Sierra Technical Services, Inc. (“STS”) pursuant to which the Company (i) issued 866,026 shares of Kratos common stock valued at $12.8 million on October 3, 2023, (ii) an additional 42,523 shares of Kratos common stock valued at $1.1 million on October 3, 2024 and (iii) an additional 129,336 shares of Kratos common stock valued at $4.4 million on May 8, 2025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operating results of the acquisition have been included in the Company’s results of operations from the effective date of the acquisition. The amount of net sales and earnings of STS included in the condensed consolidated statement of operations for the year ended December 31, 2023 were not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adopted the FASB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as the dollar value of the remaining performance obligations on executed contracts. On September 28, 2025, the Company had approximately $1.480 billion of remaining performance obligations. The Company expects to recognize approximately 19% of the remaining performance obligations as revenue in fiscal year 2025, an additional 47% in fiscal year 2026, and the balance thereafter.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28, 2025, and September 29, 2024. Likewise, total cumulative catch-up adjustments were not material for the three and nine-month periods ended September 28, 2025, and September 29, 2024.</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5"/>
              </w:rPr>
              <w:t>80.8</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rPr>
              <w:t>(12.1)</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5"/>
              </w:rPr>
              <w:t>92.9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Contract assets increased $80.8 million during the nine months ended September 28, 2025, primarily due to higher unbilled receivables, net during the nine months ended September 28, 2025. There were no significant impairment losses related to any receivables or contract assets arising from the Company’s contracts with customers during the nine months ended September 28, 2025. Contract liabilities decreased $12.1 million during the nine months ended September 28, 2025, primarily due to revenue recognized in excess of payments received on these performance obligations. For the three and nine months ended September 28, 2025, the Company recognized revenue of $8.8 million and $61.0 million, respectively, that was previously included in the contract liabilities that existed at December 29, 2024. For the three and nine months ended September 29, 2024 the Company recognized revenue of $10.6 million and $79.8 million, respectively, that was previously included in the contract liabilities that existed at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revenue is recognized over time as work is performed on the contract.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contract type was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09"/>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29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10"/>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100" w:firstLine="8"/>
        <w:spacing w:after="0" w:line="345" w:lineRule="auto"/>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2" w:lineRule="exact"/>
        <w:rPr>
          <w:rFonts w:ascii="Times New Roman" w:cs="Times New Roman" w:eastAsia="Times New Roman" w:hAnsi="Times New Roman"/>
          <w:sz w:val="16"/>
          <w:szCs w:val="16"/>
          <w:color w:val="auto"/>
          <w:vertAlign w:val="superscript"/>
        </w:rPr>
      </w:pPr>
    </w:p>
    <w:p>
      <w:pPr>
        <w:ind w:right="2040" w:firstLine="8"/>
        <w:spacing w:after="0" w:line="287" w:lineRule="auto"/>
        <w:tabs>
          <w:tab w:leader="none" w:pos="1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Revenue by Geographic Area was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9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r>
      <w:tr>
        <w:trPr>
          <w:trHeight w:val="31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North America</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88"/>
        </w:trPr>
        <w:tc>
          <w:tcPr>
            <w:tcW w:w="5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September 28, 2025 and December 29, 2024 by reportable segment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9"/>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As of September 28, 2025</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value</w:t>
            </w:r>
          </w:p>
        </w:tc>
        <w:tc>
          <w:tcPr>
            <w:tcW w:w="840" w:type="dxa"/>
            <w:vAlign w:val="bottom"/>
            <w:tcBorders>
              <w:top w:val="single" w:sz="8" w:color="auto"/>
            </w:tcBorders>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709.7</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239.5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40" w:type="dxa"/>
            <w:vAlign w:val="bottom"/>
            <w:tcBorders>
              <w:bottom w:val="single" w:sz="8" w:color="auto"/>
            </w:tcBorders>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470.2</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5"/>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29, 2024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840" w:type="dxa"/>
            <w:vAlign w:val="bottom"/>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683.6</w:t>
            </w:r>
          </w:p>
        </w:tc>
        <w:tc>
          <w:tcPr>
            <w:tcW w:w="500" w:type="dxa"/>
            <w:vAlign w:val="bottom"/>
            <w:gridSpan w:val="5"/>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239.5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444.1</w:t>
            </w:r>
          </w:p>
        </w:tc>
        <w:tc>
          <w:tcPr>
            <w:tcW w:w="6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September 28, 2025</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 December 29, 2024</w:t>
            </w:r>
          </w:p>
        </w:tc>
        <w:tc>
          <w:tcPr>
            <w:tcW w:w="9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$2.5 million and $2.2 million for the three months ended September 28, 2025 and September 29, 2024, respectively, and $7.4 million and $6.5 million for the nine months ended September 28, 2025 and September 29, 2024 respectively.</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for the remainder of 2025 and the next five fiscal years, and thereafter as of September 28, 2025 is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Inventoried Costs</w:t>
            </w: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0" w:type="dxa"/>
            <w:vAlign w:val="bottom"/>
          </w:tcPr>
          <w:p>
            <w:pPr>
              <w:spacing w:after="0"/>
              <w:rPr>
                <w:sz w:val="24"/>
                <w:szCs w:val="24"/>
                <w:color w:val="auto"/>
              </w:rPr>
            </w:pP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Income per Common Share</w:t>
      </w:r>
    </w:p>
    <w:p>
      <w:pPr>
        <w:spacing w:after="0" w:line="227"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income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per common share is calculated by dividing net income by the weighted-average number of common shares outstanding during the reporting period. Diluted net income per common share reflects the effects of potentially dilutive securities.</w:t>
      </w:r>
    </w:p>
    <w:p>
      <w:pPr>
        <w:spacing w:after="0" w:line="202"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Diluted net income per share for the three and nine months ended September 28, 2025 included the dilutive effect of an aggregate of 2.5 million and 2.2 million shares, respectively, of the Company’s common stock granted to employees under stock-based compensation plans. Diluted net income per share for the three and nine months ended September 29, 2024 included the dilutive effect of an aggregate of 1.5 million and 0.0 million shares, respectively, of the Company’s common stock granted to employees under stock-based compensation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00" w:type="dxa"/>
            <w:vAlign w:val="bottom"/>
          </w:tcPr>
          <w:p>
            <w:pPr>
              <w:spacing w:after="0"/>
              <w:rPr>
                <w:sz w:val="16"/>
                <w:szCs w:val="16"/>
                <w:color w:val="auto"/>
              </w:rPr>
            </w:pP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center"/>
              <w:ind w:left="1095"/>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80" w:type="dxa"/>
            <w:vAlign w:val="bottom"/>
          </w:tcPr>
          <w:p>
            <w:pPr>
              <w:spacing w:after="0"/>
              <w:rPr>
                <w:sz w:val="19"/>
                <w:szCs w:val="19"/>
                <w:color w:val="auto"/>
              </w:rPr>
            </w:pPr>
          </w:p>
        </w:tc>
        <w:tc>
          <w:tcPr>
            <w:tcW w:w="1560" w:type="dxa"/>
            <w:vAlign w:val="bottom"/>
          </w:tcPr>
          <w:p>
            <w:pPr>
              <w:jc w:val="center"/>
              <w:ind w:left="1095"/>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95"/>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560" w:type="dxa"/>
            <w:vAlign w:val="bottom"/>
          </w:tcPr>
          <w:p>
            <w:pPr>
              <w:jc w:val="center"/>
              <w:ind w:left="109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107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1095"/>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55"/>
        </w:trPr>
        <w:tc>
          <w:tcPr>
            <w:tcW w:w="75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r>
      <w:tr>
        <w:trPr>
          <w:trHeight w:val="229"/>
        </w:trPr>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0"/>
                <w:szCs w:val="20"/>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420" w:type="dxa"/>
            <w:vAlign w:val="bottom"/>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 operating cash flows (fixed</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68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3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162"/>
        </w:trPr>
        <w:tc>
          <w:tcPr>
            <w:tcW w:w="38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Operating lease liabilities arising from obtaining</w:t>
            </w: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21"/>
                <w:szCs w:val="2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lease liabilities arising from obtaining</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21"/>
                <w:szCs w:val="21"/>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1"/>
                <w:szCs w:val="21"/>
                <w:color w:val="auto"/>
              </w:rPr>
            </w:pPr>
          </w:p>
        </w:tc>
      </w:tr>
      <w:tr>
        <w:trPr>
          <w:trHeight w:val="270"/>
        </w:trPr>
        <w:tc>
          <w:tcPr>
            <w:tcW w:w="3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96"/>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w:t>
            </w:r>
          </w:p>
        </w:tc>
      </w:tr>
      <w:tr>
        <w:trPr>
          <w:trHeight w:val="257"/>
        </w:trPr>
        <w:tc>
          <w:tcPr>
            <w:tcW w:w="3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6.35 %</w:t>
            </w:r>
          </w:p>
        </w:tc>
      </w:tr>
      <w:tr>
        <w:trPr>
          <w:trHeight w:val="630"/>
        </w:trPr>
        <w:tc>
          <w:tcPr>
            <w:tcW w:w="4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The maturity of lease liabilities is (in millions):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Pr>
          <w:p>
            <w:pPr>
              <w:spacing w:after="0"/>
              <w:rPr>
                <w:sz w:val="20"/>
                <w:szCs w:val="20"/>
                <w:color w:val="auto"/>
              </w:rPr>
            </w:pPr>
          </w:p>
        </w:tc>
      </w:tr>
    </w:tbl>
    <w:p>
      <w:pPr>
        <w:ind w:left="180" w:hanging="154"/>
        <w:spacing w:after="0" w:line="230" w:lineRule="auto"/>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nine months ended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and the effective income tax rate are as follows ($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state and foreign income tax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11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(ETR) for the three months ended September 28, 2025 decreased to 27.01% from 43.76% in the prior year period principally due to increased tax benefits related to stock based compensation. The provision for income taxes for the three months ended September 28, 2025 and the three months ended September 29, 2024 included a benefit of $1.2 million and $0.1 million, respectively, for stock compensation related items.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1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ETR for the nine months ended September 28, 2025 decreased to 26.37% from 44.83% in the prior year period principally due to increased tax benefits related to stock based compensation. The provision for income taxes for the nine months ended September 28, 2025 and the nine months ended September 29, 2024 included a benefit of $3.4 million and $0.7 million, respectively, for stock compensation related items.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its interim income tax provision in accordance with ASC Topic 270, “Interim Reporting,” and ASC Topic 740, “Accounting for Income Taxes.” In 2025,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 Prior to 2025, a discrete effective tax rate method was used since small changes in estimated “ordinary” income would result in significant changes in the estimated annual effective tax rate.</w:t>
      </w:r>
    </w:p>
    <w:p>
      <w:pPr>
        <w:spacing w:after="0" w:line="21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September 28, 2025, the Company had $25.5 million of unrecognized tax benefits. Included in the balance of unrecognized tax benefits at September 28, 2025 are $21.7 million that, if recognized, would impact the Company’s effective income tax 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2025 and September 29, 2024, the Company recorded an expense of $0.2 million and $0.2 million.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2025 and September 29, 2024, there was no material benefit recorded related to the removal of interest and penalties.</w:t>
      </w:r>
    </w:p>
    <w:p>
      <w:pPr>
        <w:spacing w:after="0" w:line="23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did not have a significant impact on our 2025 effective tax rate and we do not currently expect Pillar 2 to have a material impact on our effective tax rate or our consolidated results of operation, financial position, and cash flows going forward.</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U.S. based research and development expenditures under Internal Revenue Code (IRC) Section 174 (reinstating full expensing beginning in 2025), extension of bonus depreciation, and revisions to international tax regimes. The Company recognized the income tax effects of the OBBBA, which were not material, in its fiscal quarter ended September 28,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new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12. The Company incurred a loss on the extinguishment of the debt of $0.5 million during the three months ended September 28, 2025 related to the write-off of unamortized debt issuance costs. This loss is included in Other income (expense) in the condensed consolidated statement of operations. The undrawn $200 million revolving credit facility under the 2022 Credit Facility remains active and available to the Company.</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0" w:name="page21"/>
    <w:bookmarkEnd w:id="20"/>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1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September 28, 2025.</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On June 30, 2025, in anticipation of the extinguishment of Term Loan A, the Company terminated the swap. The Company received a payment of approximately $0.3 million representing the termination value of the swap. Refer to Note 15 for further discussion of the accounting treatment of the swap arrangement.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 Loan and Revolving Credit Debt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and revolving credit debt and the current period interest rates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long-term unamortized debt issuance costs - term loans</w:t>
            </w:r>
          </w:p>
        </w:tc>
        <w:tc>
          <w:tcPr>
            <w:tcW w:w="2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 term loans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 revolving credit facility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products. The KGS and US reportable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w:t>
      </w:r>
    </w:p>
    <w:p>
      <w:pPr>
        <w:spacing w:after="0" w:line="2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There were not any significant intersegment sales, cost of sales and profit for the three and nine month periods ended September 28, 2025 and September 29, 2024.</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1" w:name="page22"/>
    <w:bookmarkEnd w:id="21"/>
    <w:p>
      <w:pPr>
        <w:ind w:right="520"/>
        <w:spacing w:after="0" w:line="282" w:lineRule="auto"/>
        <w:rPr>
          <w:sz w:val="20"/>
          <w:szCs w:val="20"/>
          <w:color w:val="auto"/>
        </w:rPr>
      </w:pPr>
      <w:r>
        <w:rPr>
          <w:rFonts w:ascii="Times New Roman" w:cs="Times New Roman" w:eastAsia="Times New Roman" w:hAnsi="Times New Roman"/>
          <w:sz w:val="18"/>
          <w:szCs w:val="18"/>
          <w:color w:val="auto"/>
        </w:rPr>
        <w:t>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spacing w:after="0" w:line="18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Operating Results</w:t>
      </w:r>
    </w:p>
    <w:p>
      <w:pPr>
        <w:spacing w:after="0" w:line="25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expense, net, and other income (expense), net, items not considered part of management’s evaluation of segment operating income. See Note 3 (Revenue Recognition) to these condensed consolidated financial statements for segment revenues disaggregated by contract type, customer and geographic region. The summary operating results for the Company’s reportable segments for the three and nine month periods ended September 28, 2025 and September 29, 2024, are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28, 2025</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$59.7 million or 17% of total revenue for the three months ended September 28,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28, 2025</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$182.0 million or 18% of total revenue for the nine months ended September 28,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29, 2024</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$58.6 million or 21% of total revenue for the three months ended September 29,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560" w:type="dxa"/>
            <w:vAlign w:val="bottom"/>
            <w:gridSpan w:val="3"/>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29, 2024</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560" w:type="dxa"/>
            <w:vAlign w:val="bottom"/>
            <w:gridSpan w:val="3"/>
          </w:tcPr>
          <w:p>
            <w:pPr>
              <w:jc w:val="right"/>
              <w:ind w:right="719"/>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$171.8 million or 20% of total revenue for the nine months ended September 29,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 Capital Expenditures (in millions):</w:t>
            </w:r>
          </w:p>
        </w:tc>
        <w:tc>
          <w:tcPr>
            <w:tcW w:w="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6.5</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capital expenditures</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Corporate capital expenditures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0.2</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6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 Depreciation and Amortization (in millions):</w:t>
            </w: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2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gridSpan w:val="5"/>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4200" w:type="dxa"/>
            <w:vAlign w:val="bottom"/>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54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5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 Reportable Segment Assets (in millions):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0" w:type="dxa"/>
            <w:vAlign w:val="bottom"/>
          </w:tcPr>
          <w:p>
            <w:pPr>
              <w:spacing w:after="0"/>
              <w:rPr>
                <w:sz w:val="24"/>
                <w:szCs w:val="24"/>
                <w:color w:val="auto"/>
              </w:rPr>
            </w:pPr>
          </w:p>
        </w:tc>
        <w:tc>
          <w:tcPr>
            <w:tcW w:w="15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assets</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Corporate assets</w:t>
            </w:r>
            <w:r>
              <w:rPr>
                <w:rFonts w:ascii="Times New Roman" w:cs="Times New Roman" w:eastAsia="Times New Roman" w:hAnsi="Times New Roman"/>
                <w:sz w:val="21"/>
                <w:szCs w:val="21"/>
                <w:color w:val="auto"/>
                <w:vertAlign w:val="superscript"/>
              </w:rPr>
              <w:t>(1)</w:t>
            </w: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35"/>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Corporate assets primarily include cash and cash equivalents, deferred income tax assets, and property, plant and equipment used in our corporate operations.</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Assets of foreign subsidiaries in the KGS segment were $265.3 million and $223.2 million as of September 28, 2025 and December 29, 2024, respectively. Assets from any one foreign country did not exceed 10% of total assets.</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w:t>
      </w: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Interests with a value of $10.7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24" w:name="page25"/>
    <w:bookmarkEnd w:id="24"/>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2024, the Holders notified Kratos of their intent to sell their remaining Minority Interests through the Holders’ exercise of the Put Right. On June 21, 2024, the Company acquired the remaining 9.95% of the issued and outstanding shares of capital stock of KTT Core for an aggregate purchase price of approximately $22.5 million, which was comprised of approximately $11.25 million in cash and 583,700 shares of Kratos common stock valued at $11.25 million based on Kratos’ 90 day average trading price ending on day immediately prior to the date of acquisition. Following the closing of the transaction the Company owned 100% of KTT Core.</w:t>
      </w:r>
    </w:p>
    <w:p>
      <w:pPr>
        <w:spacing w:after="0" w:line="21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had a corresponding effect on net income per share attributable to Kratos shareholders. For the nine month period ended September 29, 2024, the Company recorded an adjustment of $0.5 million to decrease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 - Common Stock</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has used and expects to continue to use the net proceeds of this public equity offering to facilitate its long-term strategy, including potential investment in facilities, expanding manufacturing capacity, anticipated capital expenditures for expansion of current sole source/single award programs and high probability pipeline opportunities, initiate or accelerate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the February 2024 public equity offering to pay down amounts outstanding under its Revolving Credit Facility.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27, 2025, the Company sold 14,935,065 shares of its common stock at a public offering price of $38.50 per share in an underwritten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 Company received gross proceeds of approximately $575.0 million. After deducting underwriting fees and other offering expenses,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received approximately $555.9 million in net proceeds. The Company has used and expects to continue to use the net proceeds of this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offering to (i) fund investments and capital expenditures to scale and successfully execute on large, mission critical National Security priorities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existing programs, recent program awards and significant high-probability pipeline opportunities; (ii) to finance important customer and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targeted acquisitions; (iii) and for general corporate purposes, including pay-down of debt and to pay fees and expenses in connection with this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offering. On July 2, 2025, the Company used a portion of the proceeds of the June 2025 public equity offering to pay off the then-outstanding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$177.5 million aggregate principal amount of the Term Loan A debt, plus accrued interest, under the 2022 Credit Facility. Following such repayment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 debt, the $200 million revolving credit facility under the 2022 Credit Facility remains undrawn and available to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Significant Customers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$231.1 million and $183.9 million, or 66% and 67% of total Kratos revenue, for the three months ended September 28, 2025 and September 29, 2024, respectively, and $685.3 million and $570.2 million, or 68% and 67% of total Kratos revenue, for the nine months ended September 28, 2025 and September 29,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t>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with the DoW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Financial Instruments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As noted below, the interest rate swap was terminated on June 30, 2025. Derivative financial instruments are recognized on the condensed consolidated balance sheets as either assets or liabilities and are measured at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 Exchange Contracts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fair values of the foreign currency exchange contracts are recorded each period in earnings. As of September 28,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did not use hedge accounting for its foreign currency exchange contracts. The notional value of the Company’s foreign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at September 28, 2025 was $14.0 million. At September 28, 2025, the fair value amounts of the foreign currency exchange contracts were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million asset and a $0.1 million liability. The net gain from these forward exchange contracts was $0.9 million and $1.2 million for the three and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28, 2025, respectively, and is included in other income (expense). The notional value of the Company’s foreign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320"/>
        <w:spacing w:after="0" w:line="282" w:lineRule="auto"/>
        <w:rPr>
          <w:sz w:val="20"/>
          <w:szCs w:val="20"/>
          <w:color w:val="auto"/>
        </w:rPr>
      </w:pPr>
      <w:r>
        <w:rPr>
          <w:rFonts w:ascii="Times New Roman" w:cs="Times New Roman" w:eastAsia="Times New Roman" w:hAnsi="Times New Roman"/>
          <w:sz w:val="18"/>
          <w:szCs w:val="18"/>
          <w:color w:val="auto"/>
        </w:rPr>
        <w:t>currency exchange contracts at December 29, 2024, was $24.5 million. At December 29, 2024, the fair value amounts of the foreign currency exchange contracts were a $0.2 million asset and a $0.1 million liability.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Flow Hedge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$0.2 million and $0.8 million for the three and nine months ended September 28, 2025, respectively, and is recorded as an offset to interest expense. The net gain reclassed from AOCI from the interest rate swap reflected in earnings was $0.8 million and $2.3 million for the three and nine months ended September 29, 2024, respectively, and is recorded as an offset to interest expense.</w:t>
      </w:r>
    </w:p>
    <w:p>
      <w:pPr>
        <w:spacing w:after="0" w:line="21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w:t>
      </w:r>
    </w:p>
    <w:p>
      <w:pPr>
        <w:spacing w:after="0" w:line="203" w:lineRule="exact"/>
        <w:rPr>
          <w:sz w:val="20"/>
          <w:szCs w:val="20"/>
          <w:color w:val="auto"/>
        </w:rPr>
      </w:pPr>
    </w:p>
    <w:p>
      <w:pPr>
        <w:ind w:right="220" w:firstLine="648"/>
        <w:spacing w:after="0" w:line="270" w:lineRule="auto"/>
        <w:rPr>
          <w:sz w:val="20"/>
          <w:szCs w:val="20"/>
          <w:color w:val="auto"/>
        </w:rPr>
      </w:pPr>
      <w:r>
        <w:rPr>
          <w:rFonts w:ascii="Times New Roman" w:cs="Times New Roman" w:eastAsia="Times New Roman" w:hAnsi="Times New Roman"/>
          <w:sz w:val="18"/>
          <w:szCs w:val="18"/>
          <w:color w:val="auto"/>
        </w:rPr>
        <w:t>The fair value of this derivative represents the discounted value of the expected future discounted cash flows for the interest rate swap, based on the amortization schedule and the current forward curve for the remaining term of the contract as of December 29, 2024 (in millions):</w:t>
      </w: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2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 designated as a cash flow hedge, net of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Collaborative Arrangement</w:t>
      </w:r>
    </w:p>
    <w:p>
      <w:pPr>
        <w:spacing w:after="0" w:line="25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June 3, 2025, the Company and GE Aerospace (“GE”) announced a formal teaming agreement to advance the development and production of engines for the next generation of affordable unmanned aerial systems and Collaborative Combat Aircraft-type (CCA-type) aircraft. This teaming agreement supersedes an earlier letter of intent and memorandum of understanding between the Company and GE related to the development, testing and fielding of these engines. Under this arrangement, Kratos and GE share in the risks and rewards of the program through various revenue, cost and profit-sharing payment structures. In accordance with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the accounting for the arrangement is within the scope of ASC 606 and revenue and costs are recognized as the promised services are provided. The ASC 606 considerations and facts discussed in </w:t>
      </w:r>
      <w:r>
        <w:rPr>
          <w:rFonts w:ascii="Times New Roman" w:cs="Times New Roman" w:eastAsia="Times New Roman" w:hAnsi="Times New Roman"/>
          <w:sz w:val="18"/>
          <w:szCs w:val="18"/>
          <w:i w:val="1"/>
          <w:iCs w:val="1"/>
          <w:color w:val="auto"/>
        </w:rPr>
        <w:t>Note 3. Revenue Recognition</w:t>
      </w:r>
      <w:r>
        <w:rPr>
          <w:rFonts w:ascii="Times New Roman" w:cs="Times New Roman" w:eastAsia="Times New Roman" w:hAnsi="Times New Roman"/>
          <w:sz w:val="18"/>
          <w:szCs w:val="18"/>
          <w:color w:val="auto"/>
        </w:rPr>
        <w:t xml:space="preserve"> apply to this arrangement. Since the signing of the memorandum of understanding between the Company and GE on July 22, 2024, Kratos has recorded revenues of $29.1 million and cost of sales of $29.1 million through September 28, 2025 related to this arrangement. Kratos has recorded revenues of $3.3 million and cost of sales of $3.3 million for the three months ended September 28, 2025 related to this arrangement, and has recorded revenues of $10.6 million and cost of sales of $10.6 million for the nine months ended September 28, 2025 related to this arrangement.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November 4, 2025, the Company and certain of its subsidiaries entered into a definitive merger agreement (the “Merger Agreement”) pursuant to which the Company agreed to acquire Orbit Technologies Ltd., a company organized under the laws of the State of Israel (“Orbit”). Orbit’s ordinary shares are currently publicly traded on the Tel Aviv Stock Exchange. The aggregate consideration payable by the Company pursuant to the Merger Agreement is expected to be approximately $356.3 million, which is expected to be funded via cash on the Company’s balance sheet immediately prior to closing. Consummation of the acquisition of Orbit is subject to a number of customary closing conditions. The transaction is expected to close in the first half of 2026.</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29, 2024 filed with the U.S. Securities and Exchange Commission (the “SEC”) on February 26, 2025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War, traditional legacy prime systems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ind w:right="40"/>
        <w:spacing w:after="0" w:line="253" w:lineRule="auto"/>
        <w:rPr>
          <w:sz w:val="20"/>
          <w:szCs w:val="20"/>
          <w:color w:val="auto"/>
        </w:rPr>
      </w:pPr>
      <w:r>
        <w:rPr>
          <w:rFonts w:ascii="Times New Roman" w:cs="Times New Roman" w:eastAsia="Times New Roman" w:hAnsi="Times New Roman"/>
          <w:sz w:val="18"/>
          <w:szCs w:val="18"/>
          <w:color w:val="auto"/>
        </w:rPr>
        <w:t>integrators and partners. These investments include; unmanned jet powered aircraft such as Kratos Valkyrie ahead of potential contract award; a hypersonic system fabrication and integration facility including for Kratos Zeus standard rocket missiles (SRMs) and Erinyes hypersonic flight systems in Indiana; the purchase of long lead items for 60 Oriole SRM’s for ballistic missile defense related, hypersonic or other expected customer missions; expansion of our small turbojet engine production capacity in Michigan; establishment of a planned small turbofan jet engine production facility in Oklahoma;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and the new turbofan production facility in Oklahoma related to our arrangement with GE Aerospace are not expected to ramp up until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56"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On November 5, 2024, the U.S. Presidential and Congressional elections occurred, with Donald Trump being elected President of the United States, and the Republican party controlling both the Senate and the House of Representatives. On March 14, 2025 the Senate voted to pass the “Full-Year Continuing Appropriations and Extensions Act of 2025” (H.R. 1968) to further extend appropriations and avert a government shutdown through the end of fiscal year 2025 on September 30. This CRA largely extended fiscal year 2024 spending levels, including certain limited flexibility to reallocate certain program funds, and, according to the Congressional Budget Office, would allow for $1.6 trillion in discretionary spending in FY 2025, with $893 billion for defense (an approximately $6 billion increase) and $708 billion for non-defense spending (an approximately $13 billion reduction).</w:t>
      </w:r>
    </w:p>
    <w:p>
      <w:pPr>
        <w:spacing w:after="0" w:line="214" w:lineRule="exact"/>
        <w:rPr>
          <w:sz w:val="20"/>
          <w:szCs w:val="20"/>
          <w:color w:val="auto"/>
        </w:rPr>
      </w:pPr>
    </w:p>
    <w:p>
      <w:pPr>
        <w:ind w:right="380" w:firstLine="567"/>
        <w:spacing w:after="0" w:line="266" w:lineRule="auto"/>
        <w:rPr>
          <w:sz w:val="20"/>
          <w:szCs w:val="20"/>
          <w:color w:val="auto"/>
        </w:rPr>
      </w:pPr>
      <w:r>
        <w:rPr>
          <w:rFonts w:ascii="Times New Roman" w:cs="Times New Roman" w:eastAsia="Times New Roman" w:hAnsi="Times New Roman"/>
          <w:sz w:val="18"/>
          <w:szCs w:val="18"/>
          <w:color w:val="auto"/>
        </w:rPr>
        <w:t>In May 2025, President Trump’s fiscal year 2026 budget request was submitted to Congress. The request includes approximately $1 trillion for national security, approximately $962 billion of which is for the Department of War (“DoW”), with $113 billion of such DoW funds included in the reconciliation bill described below. The budget request for the DoW reflects an increase of 11.8%, or $101.6 billion, above fiscal year 2025 levels.</w:t>
      </w:r>
    </w:p>
    <w:p>
      <w:pPr>
        <w:spacing w:after="0" w:line="203" w:lineRule="exact"/>
        <w:rPr>
          <w:sz w:val="20"/>
          <w:szCs w:val="20"/>
          <w:color w:val="auto"/>
        </w:rPr>
      </w:pPr>
    </w:p>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This Reconciliation bill appropriated an additional $156 billion for national security priorities and is expected to result in increased investment by the DoW in defense modernization projects.</w:t>
      </w:r>
    </w:p>
    <w:p>
      <w:pPr>
        <w:spacing w:after="0" w:line="189"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The 2026 fiscal year began October 1, 2025, without the passage of Appropriation Acts or a CRA resulting in a U.S. Government shutdown, which is ongoing. We are continuing to work on existing government contracts in accordance with federal guidelines, included those funded under prior year appropriations. It is unclear at this time when appropriations legislation will be enacted.</w:t>
      </w:r>
    </w:p>
    <w:p>
      <w:pPr>
        <w:spacing w:after="0" w:line="203" w:lineRule="exact"/>
        <w:rPr>
          <w:sz w:val="20"/>
          <w:szCs w:val="20"/>
          <w:color w:val="auto"/>
        </w:rPr>
      </w:pPr>
    </w:p>
    <w:p>
      <w:pPr>
        <w:ind w:right="40" w:firstLine="567"/>
        <w:spacing w:after="0" w:line="255" w:lineRule="auto"/>
        <w:rPr>
          <w:sz w:val="20"/>
          <w:szCs w:val="20"/>
          <w:color w:val="auto"/>
        </w:rPr>
      </w:pPr>
      <w:r>
        <w:rPr>
          <w:rFonts w:ascii="Times New Roman" w:cs="Times New Roman" w:eastAsia="Times New Roman" w:hAnsi="Times New Roman"/>
          <w:sz w:val="18"/>
          <w:szCs w:val="18"/>
          <w:color w:val="auto"/>
        </w:rPr>
        <w:t>The potential challenges presented by the recent U.S. Government shutdown, Presidential and Congressional changes, proposed new tariffs, the current budgetary and deficit funding environment, the Trump Administration’s stated fiscal policies, Israel, Ukraine and Taiwan funding support, potential continuing heightened levels of inflation, ongoing supply chain disruption, and the challenging appropriations process, among other items, all continue to potentially create significant short and long-term risks to the industry and the Company. Additionally, the Trump Administration has recently executed certain executive orders directly related to significantly changing the current DoW procurement policies and procedures, and the Federal Acquisition Regulations, the potential impact of which such changes, if effected either by executive orders or changes to the relevant law, to the industry, and to Kratos, is unknown at this time.</w:t>
      </w:r>
    </w:p>
    <w:p>
      <w:pPr>
        <w:spacing w:after="0" w:line="216"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We believe continued budget and deficit funding pressures (which are expected), CRAs (which are also expected), future Federal Government debt ceiling issues, or current and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100" w:firstLine="567"/>
        <w:spacing w:after="0" w:line="282" w:lineRule="auto"/>
        <w:rPr>
          <w:sz w:val="20"/>
          <w:szCs w:val="20"/>
          <w:color w:val="auto"/>
        </w:rPr>
      </w:pPr>
      <w:r>
        <w:rPr>
          <w:rFonts w:ascii="Times New Roman" w:cs="Times New Roman" w:eastAsia="Times New Roman" w:hAnsi="Times New Roman"/>
          <w:sz w:val="18"/>
          <w:szCs w:val="18"/>
          <w:color w:val="auto"/>
        </w:rPr>
        <w:t>Such a dynamic and challenging federal and DoW budgetary environment may negatively impact our customers, business and programs and could have a material adverse effect on our forecasts, estimates, financial position, results of operations and/or cash flows.</w:t>
      </w:r>
    </w:p>
    <w:p>
      <w:pPr>
        <w:spacing w:after="0" w:line="189"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14"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14"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We do believe that our business is well-positioned, including in areas that the Trump Administration, the DoW, national security related and other customers currently indicate are priorities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positioning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07" w:lineRule="exact"/>
        <w:rPr>
          <w:sz w:val="20"/>
          <w:szCs w:val="20"/>
          <w:color w:val="auto"/>
        </w:rPr>
      </w:pPr>
    </w:p>
    <w:p>
      <w:pPr>
        <w:ind w:right="240" w:firstLine="567"/>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September 28, 2025 to the Three Months Ended September 29, 2024</w:t>
      </w:r>
    </w:p>
    <w:p>
      <w:pPr>
        <w:spacing w:after="0" w:line="227"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reporting segment for the three months ended September 28, 2025 and September 29, 2024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4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Revenues increased $71.7 million to $347.6 million for the three months ended September 28, 2025 from $275.9 million for the three months ended September 29, 2024. Revenues in our KGS segment increased $48.7 million primarily due to increased revenues across all business units, with the most notable organic revenue increases in our Defense Rocket Support business driven by our hypersonic systems business and our space, satellite and cyber business, as well as growth in our C5ISR, microwave products businesses and turbine technologies businesses, and the contribution of $6.3 million in revenue from the recent acquisition of certain assets from Norden Millimeter, Inc. Revenues in our US segment were $87.2 million for the three months ended September 28, 2025, an increase of $23.0 million from $64.2 million in the three months ended September 29, 2024, primarily as a result of an international shipment of tactical Valkyrie aircraft during the three months ended September 28, 2025.</w:t>
      </w:r>
    </w:p>
    <w:p>
      <w:pPr>
        <w:spacing w:after="0" w:line="21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Product sales increased $58.2 million to $230.2 million for the three months ended September 28, 2025 from $172.0 million for the three months ended September 29, 2024, primarily as a result of increased production in our KGS segment. As a percentage of total consolidated revenues, product sales were 66.2% for the three months ended September 28, 2025 as compared to 62.3% for the three months ended September 29, 2024. Service revenues increased by $13.5 million to $117.4 million for the three months ended September 28, 2025 from $103.9 million for the three months ended September 29, 2024, primarily related to increased activity in our defense rocket support business in our KGS segment.</w:t>
      </w:r>
    </w:p>
    <w:p>
      <w:pPr>
        <w:spacing w:after="0" w:line="20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$63.8 million to $270.5 million for the three months ended September 28, 2025 from $206.7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29, 2024. The increase in cost of revenues was primarily related to the increased revenues as well the impact of increased labor and material costs, with the most notable increased activity in our Unmanned Systems segment.</w:t>
      </w:r>
    </w:p>
    <w:p>
      <w:pPr>
        <w:spacing w:after="0" w:line="201" w:lineRule="exact"/>
        <w:rPr>
          <w:sz w:val="20"/>
          <w:szCs w:val="20"/>
          <w:color w:val="auto"/>
        </w:rPr>
      </w:pPr>
    </w:p>
    <w:p>
      <w:pPr>
        <w:ind w:right="28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decreased to 22.2% for the three months ended September 28, 2025 from 25.1%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2024. Margins on services decreased to 22.3% for the three months ended September 28, 2025 from 26.2% for the three months ended September 29, 2024. Margins on products decreased to 22.1% for the three months ended September 28, 2025 from 24.4% for the three months ended September 29, 2024. Margins in the KGS segment decreased to 23.9% for the three months ended September 28, 2025 from 27.4% for the three months ended September 29, 2024. Margins in the US segment decreased to 17.0% for the three months ended September 28, 2025 from 17.6% for the three months ended September 29, 2024.</w:t>
      </w:r>
    </w:p>
    <w:p>
      <w:pPr>
        <w:spacing w:after="0" w:line="21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$7.2 million to $59.8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28, 2025 from $52.6 million for the three months ended September 29, 2024 due primarily to the increased revenue volume and headcount. As a percentage of revenues, SG&amp;A decreased to 17.2% at September 28, 2025 from 19.1% at September 29, 2024.</w:t>
      </w:r>
    </w:p>
    <w:p>
      <w:pPr>
        <w:spacing w:after="0" w:line="188"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to $10.0 million for the three months ended September 28,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 million for September 29, 2024. As a percentage of revenues, R&amp;D decreased to 2.9% for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three months ended September 28, 2025 from 3.6% for the three months ended September 29,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Other Income (Expense), Net. </w:t>
      </w:r>
      <w:r>
        <w:rPr>
          <w:rFonts w:ascii="Times New Roman" w:cs="Times New Roman" w:eastAsia="Times New Roman" w:hAnsi="Times New Roman"/>
          <w:sz w:val="18"/>
          <w:szCs w:val="18"/>
          <w:color w:val="auto"/>
        </w:rPr>
        <w:t>The total other income (expense), net was $4.8 million for the three months ended September 28, 2025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for the three months ended September 29, 2024. The net change of $5.5 million between the three months ended September 29, 2024 and the</w:t>
      </w:r>
    </w:p>
    <w:p>
      <w:pPr>
        <w:spacing w:after="0" w:line="234" w:lineRule="auto"/>
        <w:rPr>
          <w:sz w:val="20"/>
          <w:szCs w:val="20"/>
          <w:color w:val="auto"/>
        </w:rPr>
      </w:pPr>
      <w:r>
        <w:rPr>
          <w:rFonts w:ascii="Times New Roman" w:cs="Times New Roman" w:eastAsia="Times New Roman" w:hAnsi="Times New Roman"/>
          <w:sz w:val="18"/>
          <w:szCs w:val="18"/>
          <w:color w:val="auto"/>
        </w:rPr>
        <w:t>three months ended September 28, 2025 is primarily related to the reduction of interest expense from the payoff of our long-term debt on July 2, 2025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interest income on cash balances, which increased following our June 27, 2025 public offering.</w:t>
      </w:r>
    </w:p>
    <w:p>
      <w:pPr>
        <w:spacing w:after="0" w:line="20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was $3.2 million for the three months ended September 28, 2025 and $2.6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29, 2024. The provision for income taxes for the three months ended September 28, 2025 and three months ended September 29, 2024 included a benefit of $1.2 million and $0.1 million, respectively, for stock compensation related items. For the three months ended September 28, 2025, the Company utilized the annual effective tax rate method based on the forecasted information provided. For the three months ended September 29, 2024, the Company utilized the discrete effective tax rate method. The discrete method is applied when it is not possible to reliably estimate the full year effective tax rate due to significant permanent differences in relation to pre-tax book income, resulting in significant variability to the effective tax 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Nine Months Ended September 28, 2025 to the Nine Months Ended September 29, 2024</w:t>
      </w:r>
    </w:p>
    <w:p>
      <w:pPr>
        <w:spacing w:after="0" w:line="241"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by reporting segment for the nine months ended September 28, 2025 and September 29, 2024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Unmanned Systems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Revenues increased $148.5 million to $1,001.7 million for the nine months ended September 28, 2025 from $853.2 million for the nine months ended September 29, 2024. Revenues in our KGS segment increased $134.4 million, due to increased revenues across all business units, with the most notable organic revenue increases in our Defense Rocket Support business driven by our hypersonic business, as well as growth in our space, satellite and cyber, C5ISR, turbine technologies and microwave products businesses, and the contribution of $17.0 million in revenue from the February 4, 2025 acquisition of certain assets from Norden Millimeter, Inc. Revenues in our US segment were $223.5 million for the nine months ended September 28, 2025, an increase of $14.1 million from $209.4 million for the nine months ended September 29, 2024, primarily reflecting increased tactical drone activity during the nine months ended September 28, 2025.</w:t>
      </w:r>
    </w:p>
    <w:p>
      <w:pPr>
        <w:spacing w:after="0" w:line="216"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Product sales increased $110.7 million to $647.0 million for the nine months ended September 28, 2025 from $536.3 million for the nine months ended September 29, 2024, primarily as a result of increased production activity in our KGS and US Segments. As a percentage of total revenue, product sales were 64.6% for the nine months ended September 28, 2025 as compared to 62.9% for the nine months ended September 29, 2024. Service revenues increased by $37.8 million to $354.7 million for the nine months ended September 28, 2025 from $316.9 million for the nine months ended September 29, 2024. The increase was primarily related to increased activity in our defense rocket support businesses in our KGS segment.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$141.4 million to $777.2 million for the nine months ended September 28, 2025 from $635.8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29, 2024. The increase in cost of revenues was primarily a result of the increase in revenues discussed above as well as the impact of increased labor and material costs.</w:t>
      </w:r>
    </w:p>
    <w:p>
      <w:pPr>
        <w:spacing w:after="0" w:line="20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decreased to 22.4% for the nine months ended September 28, 2025 from 25.5%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2024. Gross margin on services decreased to 22.7% for the nine months ended September 28, 2025 from 26.5% for the nine months ended September 29, 2024. Gross margin on product sales decreased to 22.2% for the nine months ended September 28, 2025 from 24.9% for the nine months ended September 29, 2024. Gross margin in the KGS segment decreased to 24.2% for the nine months ended September 28, 2025 from 27.8% for the nine months ended September 29, 2024 primarily due to a less favorable mix of revenues. Gross margin in the US segment decreased to 16.3% for the nine months ended September 28, 2025 from 18.5% for the nine months ended September 29, 2024 due to the less favorable mix of revenues and from the impact of increased labor and material costs in the nine months ended September 28, 2025, which are not recoverable under multi-year fixed priced contracts.</w:t>
      </w:r>
    </w:p>
    <w:p>
      <w:pPr>
        <w:spacing w:after="0" w:line="19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$15.2 million from $161.5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29, 2024 to $176.7 million for the nine months ended September 28, 2025 due primarily to the increased revenue volume and headcount, partially offset by the impact of our cost reduction actions we have taken. As a percentage of revenues, SG&amp;A decreased to 17.6% at September 28, 2025, from 18.9% at September 29, 2024.</w:t>
      </w:r>
    </w:p>
    <w:p>
      <w:pPr>
        <w:spacing w:after="0" w:line="2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(“R&amp;D”) Expenses</w:t>
      </w:r>
      <w:r>
        <w:rPr>
          <w:rFonts w:ascii="Times New Roman" w:cs="Times New Roman" w:eastAsia="Times New Roman" w:hAnsi="Times New Roman"/>
          <w:sz w:val="18"/>
          <w:szCs w:val="18"/>
          <w:color w:val="auto"/>
        </w:rPr>
        <w:t>. R&amp;D expenses were $30.2 million for the nine months ended September 28, 2025 and $29.7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29, 2024. As a percentage of revenues, R&amp;D expenses decreased to 3.0% for the nine months ended September 28, 2025 from 3.5% for the nine months ended September 29,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Other Income (Expense), Net. </w:t>
      </w:r>
      <w:r>
        <w:rPr>
          <w:rFonts w:ascii="Times New Roman" w:cs="Times New Roman" w:eastAsia="Times New Roman" w:hAnsi="Times New Roman"/>
          <w:sz w:val="18"/>
          <w:szCs w:val="18"/>
          <w:color w:val="auto"/>
        </w:rPr>
        <w:t>Total other income (expense), net increased to income of $4.5 million for the nine months ended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2025 from expense of $3.5 million for the nine months ended September 29, 2024. The increase in total other income (expense), net of</w:t>
      </w:r>
    </w:p>
    <w:p>
      <w:pPr>
        <w:spacing w:after="0" w:line="219" w:lineRule="auto"/>
        <w:rPr>
          <w:sz w:val="20"/>
          <w:szCs w:val="20"/>
          <w:color w:val="auto"/>
        </w:rPr>
      </w:pPr>
      <w:r>
        <w:rPr>
          <w:rFonts w:ascii="Times New Roman" w:cs="Times New Roman" w:eastAsia="Times New Roman" w:hAnsi="Times New Roman"/>
          <w:sz w:val="18"/>
          <w:szCs w:val="18"/>
          <w:color w:val="auto"/>
        </w:rPr>
        <w:t>$8.0 million was primarily related to the reduction of interest expense from the payoff of our Term Loan A debt on July 2, 2025 and an increase in interest</w:t>
      </w:r>
    </w:p>
    <w:p>
      <w:pPr>
        <w:spacing w:after="0" w:line="234" w:lineRule="auto"/>
        <w:rPr>
          <w:sz w:val="20"/>
          <w:szCs w:val="20"/>
          <w:color w:val="auto"/>
        </w:rPr>
      </w:pPr>
      <w:r>
        <w:rPr>
          <w:rFonts w:ascii="Times New Roman" w:cs="Times New Roman" w:eastAsia="Times New Roman" w:hAnsi="Times New Roman"/>
          <w:sz w:val="18"/>
          <w:szCs w:val="18"/>
          <w:color w:val="auto"/>
        </w:rPr>
        <w:t>income on cash balances which increased following our June 27, 2025 public offering, and due to the receipt of a research and development tax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refund received by one of the Company’s international businesses.</w:t>
      </w:r>
    </w:p>
    <w:p>
      <w:pPr>
        <w:spacing w:after="0" w:line="23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provision for income taxes was $5.8 million for the nine months ended September 28, 2025 and $10.1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29, 2024. For the nine months ended September 28, 2025, the Company utilized the annual effective tax rate method based on the forecasted information provided. For the nine months ended September 29, 2024, the Company utilized the discrete effective tax rate method. The discrete method is applied when it is not possible to reliably estimate the full year effective tax rate due to significant permanent differences in relation to pre-tax book income, resulting in significant variability to the estimated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September 28, 2025, we had approximately $1.480 billion of total backlog, of which $1.234 billion was funded. We expect to recognize approximately 19% of the remaining total backlog as revenue in fiscal year 2025, an additional 47% in fiscal year 2026 and the balance thereafter. Our comparable total backlog balance as of September 29, 2024, was approximately $1.294 billion, of which $1.099 billion was funded. Backlog as of September 28, 2025 as compared to September 29, 2024 has increased primarily as a result of contract awards in our Space, Satellite and Training, C5ISR, and Unmanned Systems businesses.</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3" w:name="page34"/>
    <w:bookmarkEnd w:id="33"/>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20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September 28, 2025, we had cash and cash equivalents of $565.9 million compared with cash and cash equivalents of $329.3 million as of December 29, 2024, which includes $18.0 million and $40.2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long-term debt decreased from $185.0 million at December 29, 2024 to zero at September 28, 2025, reflecting the extinguishment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2025 of all outstanding Term Loan A debt under the 2022 Credit Facility. The then outstanding Term Loan A aggregate principal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 million, plus accrued interest, was paid in full utilizing a portion of the proceeds we received from the June 27, 2025 public equity offering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net proceeds of approximately $555.9 million, which is described further in Note 12 to the accompanying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The undrawn $200 million revolving credit facility referred to above remains active and available to the Company.</w:t>
      </w:r>
    </w:p>
    <w:p>
      <w:pPr>
        <w:spacing w:after="0" w:line="23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and prepayments for long-lead materials related to production and revenue growth. These financing requirements have increased and have recently negatively impacted our operating cash flows due to actions we have taken to advance inventory purchases in an attempt to mitigate supply chain disruptions and to bolster our inventory levels. For the nine months ended September 28, 2025, approximately $31.5</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right="100"/>
        <w:spacing w:after="0" w:line="254" w:lineRule="auto"/>
        <w:rPr>
          <w:sz w:val="20"/>
          <w:szCs w:val="20"/>
          <w:color w:val="auto"/>
        </w:rPr>
      </w:pPr>
      <w:r>
        <w:rPr>
          <w:rFonts w:ascii="Times New Roman" w:cs="Times New Roman" w:eastAsia="Times New Roman" w:hAnsi="Times New Roman"/>
          <w:sz w:val="18"/>
          <w:szCs w:val="18"/>
          <w:color w:val="auto"/>
        </w:rPr>
        <w:t>million of operating cash flow use was related to increases in prepaid expenses and other assets which also include certain vendor prepayments and deposits related to the procurement of long-lead materials and inventory and certain investments we are making for unmanned systems initiatives. Cash from continuing operations is primarily derived from our customer contracts in progress and associated changes in working capital components. Our days sales outstanding (“DSO”) have increased from 104 days as of December 29, 2024 to 111 days at September 28, 2025, primarily reflecting the timing of outstanding contractual billing milestones and our internal revenue growth.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spacing w:after="0" w:line="219"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investing activities, and financing activities from our condensed consolidated statements of cash flows is as follows (in millions):</w:t>
      </w:r>
    </w:p>
    <w:p>
      <w:pPr>
        <w:spacing w:after="0" w:line="7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60" w:type="dxa"/>
            <w:vAlign w:val="bottom"/>
          </w:tcPr>
          <w:p>
            <w:pPr>
              <w:spacing w:after="0"/>
              <w:rPr>
                <w:sz w:val="16"/>
                <w:szCs w:val="16"/>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29"/>
        </w:trPr>
        <w:tc>
          <w:tcPr>
            <w:tcW w:w="7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9"/>
                <w:szCs w:val="19"/>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r>
    </w:tbl>
    <w:p>
      <w:pPr>
        <w:spacing w:after="0" w:line="3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$54.2 million for the nine months ended September 28, 2025. Net cash used in operating activities for the nine months ended September 28, 2025 was primarily a result of net income of $16.1 million and changes in net working capital accounts of $140.6 million partially offset by noncash charges of $70.3 million which primarily includes stock compensation, depreciation and amortization. Net cash provided by operating activities was $4.1 million for the nine months ended September 29, 2024. Net cash provided by operating activities for the nine months ended September 29, 2024 was primarily a result of net income of $12.4 million and changes in net working capital accounts of $70.7 million partially offset by noncash charges of $62.4 million which primarily includes stock compensation, depreciation and amortization.</w:t>
      </w:r>
    </w:p>
    <w:p>
      <w:pPr>
        <w:spacing w:after="0" w:line="214"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$71.1 million for the nine months ended September 28, 2025 and is comprised entirely of capital expenditures. During the nine months ended September 28, 2025, capital expenditures of approximately $25.8 million were incurred in our US business, primarily related to our unmanned tactical initiative. We expect our capital expenditures for fiscal year 2025 to continue to be significant for investments we are making, specifically in our US business totaling approximately $35 to $40 million, including approximately $25 to $30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was $56.1 million for the nine months ended September 29, 2024 and is primarily comprised of $44.6 million in capital expenditures and $11.3 million in cash paid for the remaining minority interests in KTT Core (along with a corresponding issuance of 583,700 shares of Kratos common stock valued at $11.3 million). During the nine months ended September 29, 2024, capital expenditures of approximately $20.5 million were incurred in our US business, primarily related to our unmanned tactical initiative.</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$360.2 million for the nine months ended September 28, 2025, which included employee stock purchase plan receipts of $9.9 million and net proceeds from the issuance of common stock of approximately $555.9 million (see Note 12 to the accompanying unaudited condensed consolidated financial statements). These proceeds were partially offset by $185.0 million of principal payments on our Term Loan A, which was extinguished on July 2, 2025, payroll withholding taxes paid from vested restricted stock traded for taxes of $19.2 million and payments made on financing lease obligations of $1.4 million. Net cash provided by financing activities was $280.6 million for the nine months ended September 29, 2024, which included employee stock purchase plan receipts of $8.2 million and net proceeds from the issuance of common stock of approximately $330.7 million. These proceeds were partially offset by $5.0 million of principal payments on our Term Loan A and a $45.0 million payment (partially offset by a $10.0 million draw) on our Revolving Credit Facility, payroll withholding taxes paid from vested restricted stock traded for taxes of $17.3 million and payments made on financing lease obligations of $1.0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Facility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18, 2022, we completed the refinancing of our then-outstanding $90 million revolving credit facility and $300 million Senior Secured Notes, with a new 5-year $200 million Revolving Credit Facility and 5-year $200 million Term Loan A. We incurred debt issuance costs of $3.3 million associated with the 2022 Credit Facility. On July 2, 2025, we extinguished all outstanding Term Loan A debt under the 2022 Credit Facility. The then outstanding Term Loan A aggregate principal balance of $177.5 million, plus accrued interest, was paid in full utilizing a portion of the proceeds we received from the June 27, 2025 public equity offering, which is described further in Note 12 to the accompanying unaudited condensed consolidated financial statements. We incurred a loss on the extinguishment of the debt of $0.5 million related to the write-off of unamortized debt issuance costs. The undrawn $200 million revolving credit facility under the 2022 Credit Facility remains active and available to the Company.</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(which was paid fully on July 2, 2025).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The Credit Agreement contains certain covenants, which include, but are not limited to, restrictions on indebtedness, liens, fundamental changes, restricted payments, asset sales, and investments, and places limits on various other payments. We were in compliance with the covenants contained in the Credit Agreement as of September 28, 2025.</w:t>
      </w:r>
    </w:p>
    <w:p>
      <w:pPr>
        <w:spacing w:after="0" w:line="2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April 28, 2023, we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was set to terminate on May 1, 2026. On June 30, 2025, in anticipation of the extinguishment of all outstanding Term Loan A debt under the 2022 Credit Facility, we terminated the swap.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cash on hand, together with funds available under the undrawn $200 million revolving credit facility under the 2022 Credit Facility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on Form 10-Q. The preparation of these condensed consolidated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0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as compared to the significant accounting policies described in our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8"/>
          <w:szCs w:val="18"/>
          <w:color w:val="auto"/>
        </w:rPr>
        <w:t>Since December 29, 2024, there have been no material changes in the quantitative or qualitative aspects of our market risk profile. For additional information regarding our exposure to certain market risks, see “Item 7A. Quantitative and Qualitative Disclosures About Market Risk” included 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2024 that we filed with the SEC on February 26,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September 28,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three months ended September 28,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See Note 14 of the Notes to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is supplementing the risk factors set forth in Part I, Item 1A, "Risk Factors" in our Annual Report on Form 10-K for the fiscal year ended December 25, 2024 (the "Annual Report"). The following risk factor should be read in conjunction with the risk factors disclosed in the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 addition to risks set forth in our Annual Report)</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extended U.S. federal government shutdown could have a material adverse effect on our business, cash flow, results of operations and financial condition.</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U.S. federal government has been shut down since October 1, 2025. The government shutdown has resulted in a delay of payments, and an extended government shutdown could further delay our receipt of payments from some of our customers and partners related to our business and programs. No assurance can be given as to when the U.S. federal government will reopen and how quickly our customers and partners will be able to resume making payments with respect to amounts owed to us under our existing programs. An extended government shutdown, could materially affect our business, cash flow, results of operations, and financial condition. See “Risk Factors – Risk Related to Our Business – </w:t>
      </w:r>
      <w:r>
        <w:rPr>
          <w:rFonts w:ascii="Times New Roman" w:cs="Times New Roman" w:eastAsia="Times New Roman" w:hAnsi="Times New Roman"/>
          <w:sz w:val="18"/>
          <w:szCs w:val="18"/>
          <w:i w:val="1"/>
          <w:iCs w:val="1"/>
          <w:color w:val="auto"/>
        </w:rPr>
        <w:t>Significant delays or reductions in appropriations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our programs and U.S. Government funding more broadly may negatively impact our business and programs and could have a material adverse effect on our financial position, results of operations and/or cash flows” </w:t>
      </w:r>
      <w:r>
        <w:rPr>
          <w:rFonts w:ascii="Times New Roman" w:cs="Times New Roman" w:eastAsia="Times New Roman" w:hAnsi="Times New Roman"/>
          <w:sz w:val="18"/>
          <w:szCs w:val="18"/>
          <w:color w:val="auto"/>
        </w:rPr>
        <w:t>in our Annual Report, which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Rule 10b5-1 Trading Plans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28, 2025,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680" w:type="dxa"/>
            <w:vAlign w:val="bottom"/>
            <w:tcBorders>
              <w:top w:val="single" w:sz="8" w:color="auto"/>
              <w:left w:val="single" w:sz="8" w:color="auto"/>
              <w:right w:val="single" w:sz="8" w:color="auto"/>
            </w:tcBorders>
          </w:tcPr>
          <w:p>
            <w:pPr>
              <w:spacing w:after="0"/>
              <w:rPr>
                <w:sz w:val="15"/>
                <w:szCs w:val="15"/>
                <w:color w:val="auto"/>
              </w:rPr>
            </w:pPr>
          </w:p>
        </w:tc>
        <w:tc>
          <w:tcPr>
            <w:tcW w:w="216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Rule 10b5-1</w:t>
            </w:r>
          </w:p>
        </w:tc>
        <w:tc>
          <w:tcPr>
            <w:tcW w:w="1960" w:type="dxa"/>
            <w:vAlign w:val="bottom"/>
            <w:tcBorders>
              <w:top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196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Date</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1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Arrangement?</w:t>
            </w:r>
          </w:p>
        </w:tc>
        <w:tc>
          <w:tcPr>
            <w:tcW w:w="1960" w:type="dxa"/>
            <w:vAlign w:val="bottom"/>
            <w:tcBorders>
              <w:right w:val="single" w:sz="8" w:color="auto"/>
            </w:tcBorders>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Subject to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(Y/N)</w:t>
            </w:r>
            <w:r>
              <w:rPr>
                <w:rFonts w:ascii="Times New Roman" w:cs="Times New Roman" w:eastAsia="Times New Roman" w:hAnsi="Times New Roman"/>
                <w:sz w:val="21"/>
                <w:szCs w:val="21"/>
                <w:b w:val="1"/>
                <w:bCs w:val="1"/>
                <w:color w:val="auto"/>
                <w:w w:val="91"/>
                <w:vertAlign w:val="superscript"/>
              </w:rPr>
              <w:t>(1)</w:t>
            </w:r>
          </w:p>
        </w:tc>
        <w:tc>
          <w:tcPr>
            <w:tcW w:w="1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right w:val="single" w:sz="8" w:color="auto"/>
            </w:tcBorders>
            <w:shd w:val="clear" w:color="auto" w:fill="CCEEFF"/>
          </w:tcPr>
          <w:p>
            <w:pPr>
              <w:spacing w:after="0"/>
              <w:rPr>
                <w:sz w:val="21"/>
                <w:szCs w:val="21"/>
                <w:color w:val="auto"/>
              </w:rPr>
            </w:pPr>
          </w:p>
        </w:tc>
        <w:tc>
          <w:tcPr>
            <w:tcW w:w="2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0" w:type="dxa"/>
            <w:vAlign w:val="bottom"/>
            <w:tcBorders>
              <w:right w:val="single" w:sz="8" w:color="auto"/>
            </w:tcBorders>
            <w:shd w:val="clear" w:color="auto" w:fill="CCEEFF"/>
          </w:tcPr>
          <w:p>
            <w:pPr>
              <w:spacing w:after="0"/>
              <w:rPr>
                <w:sz w:val="21"/>
                <w:szCs w:val="21"/>
                <w:color w:val="auto"/>
              </w:rPr>
            </w:pPr>
          </w:p>
        </w:tc>
        <w:tc>
          <w:tcPr>
            <w:tcW w:w="1220" w:type="dxa"/>
            <w:vAlign w:val="bottom"/>
            <w:tcBorders>
              <w:right w:val="single" w:sz="8" w:color="auto"/>
            </w:tcBorders>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160" w:type="dxa"/>
            <w:vAlign w:val="bottom"/>
            <w:tcBorders>
              <w:right w:val="single" w:sz="8" w:color="auto"/>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tcBorders>
              <w:right w:val="single" w:sz="8" w:color="auto"/>
            </w:tcBorders>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86"/>
        </w:trPr>
        <w:tc>
          <w:tcPr>
            <w:tcW w:w="16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Eric DeMarco</w:t>
            </w:r>
          </w:p>
        </w:tc>
        <w:tc>
          <w:tcPr>
            <w:tcW w:w="2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8/29/2025</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12/01/2028</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40" w:type="dxa"/>
            <w:vAlign w:val="bottom"/>
            <w:vMerge w:val="continue"/>
            <w:shd w:val="clear" w:color="auto" w:fill="CCEEFF"/>
          </w:tcPr>
          <w:p>
            <w:pPr>
              <w:spacing w:after="0"/>
              <w:rPr>
                <w:sz w:val="7"/>
                <w:szCs w:val="7"/>
                <w:color w:val="auto"/>
              </w:rPr>
            </w:pPr>
          </w:p>
        </w:tc>
        <w:tc>
          <w:tcPr>
            <w:tcW w:w="3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bottom w:val="single" w:sz="8" w:color="auto"/>
              <w:right w:val="single" w:sz="8" w:color="auto"/>
            </w:tcBorders>
            <w:vMerge w:val="continue"/>
            <w:shd w:val="clear" w:color="auto" w:fill="CCEEFF"/>
          </w:tcPr>
          <w:p>
            <w:pPr>
              <w:spacing w:after="0"/>
              <w:rPr>
                <w:sz w:val="11"/>
                <w:szCs w:val="11"/>
                <w:color w:val="auto"/>
              </w:rPr>
            </w:pPr>
          </w:p>
        </w:tc>
        <w:tc>
          <w:tcPr>
            <w:tcW w:w="216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80" w:type="dxa"/>
            <w:vAlign w:val="bottom"/>
            <w:tcBorders>
              <w:bottom w:val="single" w:sz="8" w:color="auto"/>
            </w:tcBorders>
            <w:vMerge w:val="continue"/>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1"/>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Phillip Carrai</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President, Space, Training and</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8/26/2025</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12/31/2026</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3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Cyber Division</w:t>
            </w: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Scot Jarvis</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9/15/2025</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4/30/2026</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Scott Anderson</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9/10/2025</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6/15/2026</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30,401</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160" w:type="dxa"/>
            <w:vAlign w:val="bottom"/>
            <w:tcBorders>
              <w:bottom w:val="single" w:sz="8" w:color="auto"/>
              <w:right w:val="single" w:sz="8" w:color="auto"/>
            </w:tcBorders>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Denotes whether the trading arrangement is intended to satisfy the affirmative defense of Rule 10b5-1(c).</w:t>
      </w:r>
    </w:p>
    <w:p>
      <w:pPr>
        <w:spacing w:after="0" w:line="174" w:lineRule="exact"/>
        <w:rPr>
          <w:sz w:val="20"/>
          <w:szCs w:val="20"/>
          <w:color w:val="auto"/>
        </w:rPr>
      </w:pPr>
    </w:p>
    <w:p>
      <w:pPr>
        <w:ind w:right="180"/>
        <w:spacing w:after="0" w:line="217"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0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As of September 28, 2025, Mr. DeMarco beneficially owned (including indirect holdings) 1,458,042 shares of our common stock. In addition, as of September 28, 2025, 1,212,500 deferred restricted stock units (RSUs) granted to Mr. DeMarco, representing non-qualified deferred compensation, have vested but remain subject to a previously agree to 5-year deferral period before issuance and release, which substantially all subject RSUs are scheduled to be released by January 2029, and an additional 750,000 RSUs granted to Mr. DeMarco are currently unvested and will only vest upon achievement of applicable vesting terms described in our proxy statement on Schedule 14A filed with the SEC on April 4, 2025. Each RSU represents a contingent right to receive one share of the Company’s common stock.</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spacing w:after="0"/>
              <w:rPr>
                <w:sz w:val="11"/>
                <w:szCs w:val="11"/>
                <w:color w:val="auto"/>
              </w:rPr>
            </w:pPr>
          </w:p>
        </w:tc>
        <w:tc>
          <w:tcPr>
            <w:tcW w:w="1100" w:type="dxa"/>
            <w:vAlign w:val="bottom"/>
          </w:tcPr>
          <w:p>
            <w:pPr>
              <w:jc w:val="center"/>
              <w:ind w:left="374"/>
              <w:spacing w:after="0" w:line="13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40" w:type="dxa"/>
            <w:vAlign w:val="bottom"/>
            <w:gridSpan w:val="2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jc w:val="center"/>
              <w:ind w:left="374"/>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gridSpan w:val="20"/>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vMerge w:val="continue"/>
          </w:tcPr>
          <w:p>
            <w:pPr>
              <w:spacing w:after="0"/>
              <w:rPr>
                <w:sz w:val="17"/>
                <w:szCs w:val="17"/>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760" w:type="dxa"/>
            <w:vAlign w:val="bottom"/>
            <w:tcBorders>
              <w:top w:val="single" w:sz="8" w:color="auto"/>
            </w:tcBorders>
            <w:gridSpan w:val="22"/>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Certificate of Incorporation of Kratos</w:t>
              </w:r>
            </w:hyperlink>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Defense &amp; Security Solutions, Inc., as amended.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Amended and Restated Bylaws of Kratos Defense &amp;</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05/24/2024</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Security Solutions, Inc., as amended.</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Specimen Stock Certificate.</w:t>
              </w:r>
            </w:hyperlink>
          </w:p>
        </w:tc>
        <w:tc>
          <w:tcPr>
            <w:tcW w:w="640" w:type="dxa"/>
            <w:vAlign w:val="bottom"/>
            <w:tcBorders>
              <w:top w:val="single" w:sz="8" w:color="0000FF"/>
            </w:tcBorders>
            <w:gridSpan w:val="2"/>
          </w:tcPr>
          <w:p>
            <w:pPr>
              <w:spacing w:after="0"/>
              <w:rPr>
                <w:sz w:val="19"/>
                <w:szCs w:val="19"/>
                <w:color w:val="auto"/>
              </w:rPr>
            </w:pPr>
          </w:p>
        </w:tc>
        <w:tc>
          <w:tcPr>
            <w:tcW w:w="2200" w:type="dxa"/>
            <w:vAlign w:val="bottom"/>
            <w:gridSpan w:val="17"/>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vMerge w:val="restart"/>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23"/>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204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Eric M. DeMarco.</w:t>
            </w:r>
          </w:p>
        </w:tc>
        <w:tc>
          <w:tcPr>
            <w:tcW w:w="320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Deanna Lund.</w:t>
            </w:r>
          </w:p>
        </w:tc>
        <w:tc>
          <w:tcPr>
            <w:tcW w:w="350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Instance Document-the instance document does not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appear in the Interactive Data File because its XBRL tags are</w:t>
            </w: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embedded within the Inline XBRL document</w:t>
            </w:r>
          </w:p>
        </w:tc>
        <w:tc>
          <w:tcPr>
            <w:tcW w:w="114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3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Document</w:t>
            </w:r>
          </w:p>
        </w:tc>
        <w:tc>
          <w:tcPr>
            <w:tcW w:w="920" w:type="dxa"/>
            <w:vAlign w:val="bottom"/>
            <w:gridSpan w:val="14"/>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6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Definition Linkbase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1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20" w:type="dxa"/>
            <w:vAlign w:val="bottom"/>
            <w:gridSpan w:val="11"/>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Label Linkbase Document</w:t>
            </w:r>
          </w:p>
        </w:tc>
        <w:tc>
          <w:tcPr>
            <w:tcW w:w="380" w:type="dxa"/>
            <w:vAlign w:val="bottom"/>
            <w:gridSpan w:val="6"/>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700" w:type="dxa"/>
            <w:vAlign w:val="bottom"/>
            <w:gridSpan w:val="11"/>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120" w:type="dxa"/>
            <w:vAlign w:val="bottom"/>
            <w:gridSpan w:val="2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35" w:lineRule="exact"/>
        <w:rPr>
          <w:sz w:val="20"/>
          <w:szCs w:val="20"/>
          <w:color w:val="auto"/>
        </w:rPr>
      </w:pPr>
    </w:p>
    <w:p>
      <w:pPr>
        <w:ind w:firstLine="8"/>
        <w:spacing w:after="0" w:line="26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7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4,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887"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660" w:right="200" w:hanging="652"/>
        <w:spacing w:after="0" w:line="25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300" w:hanging="644"/>
        <w:spacing w:after="0" w:line="260" w:lineRule="auto"/>
        <w:tabs>
          <w:tab w:leader="none" w:pos="129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53" w:lineRule="auto"/>
        <w:tabs>
          <w:tab w:leader="none" w:pos="130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53" w:lineRule="auto"/>
        <w:tabs>
          <w:tab w:leader="none" w:pos="129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6"/>
          <w:szCs w:val="16"/>
          <w:color w:val="auto"/>
        </w:rPr>
      </w:pPr>
    </w:p>
    <w:p>
      <w:pPr>
        <w:ind w:left="1300" w:right="80" w:hanging="644"/>
        <w:spacing w:after="0" w:line="267" w:lineRule="auto"/>
        <w:tabs>
          <w:tab w:leader="none" w:pos="129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200" w:hanging="652"/>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53"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ind w:right="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28, 2025 (the “Report”), I, Eric M. DeMarco,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ind w:right="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28, 2025 (the “Report”), I, Deanna H. Lund,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6"/>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5" Type="http://schemas.openxmlformats.org/officeDocument/2006/relationships/hyperlink" Target="https://www.sec.gov/Archives/edgar/data/1069258/000106925817000009/ktos20161225ex-31.htm" TargetMode="External"/><Relationship Id="rId56" Type="http://schemas.openxmlformats.org/officeDocument/2006/relationships/hyperlink" Target="https://www.sec.gov/Archives/edgar/data/1069258/000106925824000042/exhibit31-thirdamendedandr.htm" TargetMode="External"/><Relationship Id="rId57" Type="http://schemas.openxmlformats.org/officeDocument/2006/relationships/hyperlink" Target="https://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2025-11-04T15:46:33Z</dcterms:created>
  <dcterms:modified xsi:type="dcterms:W3CDTF">2025-11-04T15:46:33Z</dcterms:modified>
</cp:coreProperties>
</file>