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333333"/>
        </w:rPr>
      </w:pPr>
      <w:r>
        <w:rPr>
          <w:rFonts w:ascii="Arial" w:cs="Arial" w:eastAsia="Arial" w:hAnsi="Arial"/>
          <w:sz w:val="20"/>
          <w:szCs w:val="20"/>
          <w:b w:val="1"/>
          <w:bCs w:val="1"/>
          <w:color w:val="auto"/>
        </w:rPr>
        <w:t>QUARTERLY REPORT PURSUANT TO SECTION 13 OR 15(d) OF THE SECURITIES EXCHANGE ACT OF 1934</w:t>
      </w: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25, 2016</w:t>
      </w:r>
    </w:p>
    <w:p>
      <w:pPr>
        <w:spacing w:after="0" w:line="24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9"/>
          <w:szCs w:val="19"/>
          <w:color w:val="333333"/>
        </w:rPr>
      </w:pPr>
      <w:r>
        <w:rPr>
          <w:rFonts w:ascii="Arial" w:cs="Arial" w:eastAsia="Arial" w:hAnsi="Arial"/>
          <w:sz w:val="19"/>
          <w:szCs w:val="19"/>
          <w:b w:val="1"/>
          <w:bCs w:val="1"/>
          <w:color w:val="auto"/>
        </w:rPr>
        <w:t>TRANSITION REPORT PURSUANT TO SECTION 13 OR 15(d) OF THE SECURITIES AND EXCHANGE ACT OF 1934</w:t>
      </w:r>
    </w:p>
    <w:p>
      <w:pPr>
        <w:spacing w:after="0" w:line="285" w:lineRule="exact"/>
        <w:rPr>
          <w:rFonts w:ascii="MS PGothic" w:cs="MS PGothic" w:eastAsia="MS PGothic" w:hAnsi="MS PGothic"/>
          <w:sz w:val="19"/>
          <w:szCs w:val="19"/>
          <w:color w:val="333333"/>
        </w:rPr>
      </w:pPr>
    </w:p>
    <w:p>
      <w:pPr>
        <w:ind w:left="4360"/>
        <w:spacing w:after="0"/>
        <w:rPr>
          <w:rFonts w:ascii="MS PGothic" w:cs="MS PGothic" w:eastAsia="MS PGothic" w:hAnsi="MS PGothic"/>
          <w:sz w:val="19"/>
          <w:szCs w:val="19"/>
          <w:color w:val="333333"/>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 </w:t>
      </w:r>
      <w:r>
        <w:rPr>
          <w:rFonts w:ascii="MS PGothic" w:cs="MS PGothic" w:eastAsia="MS PGothic" w:hAnsi="MS PGothic"/>
          <w:sz w:val="18"/>
          <w:szCs w:val="18"/>
          <w:color w:val="333333"/>
        </w:rPr>
        <w:t>☐</w:t>
      </w:r>
    </w:p>
    <w:p>
      <w:pPr>
        <w:spacing w:after="0" w:line="130"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 </w:t>
      </w:r>
      <w:r>
        <w:rPr>
          <w:rFonts w:ascii="MS PGothic" w:cs="MS PGothic" w:eastAsia="MS PGothic" w:hAnsi="MS PGothic"/>
          <w:sz w:val="18"/>
          <w:szCs w:val="18"/>
          <w:color w:val="333333"/>
        </w:rPr>
        <w:t>☐</w:t>
      </w:r>
    </w:p>
    <w:p>
      <w:pPr>
        <w:spacing w:after="0" w:line="130"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22"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200"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333333"/>
        </w:rPr>
        <w:t>☐</w:t>
      </w:r>
    </w:p>
    <w:p>
      <w:pPr>
        <w:spacing w:after="0" w:line="119" w:lineRule="exact"/>
        <w:rPr>
          <w:sz w:val="24"/>
          <w:szCs w:val="24"/>
          <w:color w:val="auto"/>
        </w:rPr>
      </w:pPr>
    </w:p>
    <w:p>
      <w:pPr>
        <w:sectPr>
          <w:pgSz w:w="11900" w:h="16838" w:orient="portrait"/>
          <w:cols w:equalWidth="0" w:num="2">
            <w:col w:w="6760" w:space="720"/>
            <w:col w:w="386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189" w:lineRule="exact"/>
        <w:rPr>
          <w:sz w:val="24"/>
          <w:szCs w:val="24"/>
          <w:color w:val="auto"/>
        </w:rPr>
      </w:pPr>
    </w:p>
    <w:p>
      <w:pPr>
        <w:ind w:left="340" w:right="2240"/>
        <w:spacing w:after="0" w:line="25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 </w:t>
      </w:r>
      <w:r>
        <w:rPr>
          <w:rFonts w:ascii="MS PGothic" w:cs="MS PGothic" w:eastAsia="MS PGothic" w:hAnsi="MS PGothic"/>
          <w:sz w:val="18"/>
          <w:szCs w:val="18"/>
          <w:color w:val="333333"/>
        </w:rPr>
        <w:t>☒</w:t>
      </w:r>
    </w:p>
    <w:p>
      <w:pPr>
        <w:spacing w:after="0" w:line="18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28, 2016, 60,516,717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25,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25, 2016 and December 27, 2015 (unaudited)</w:t>
              </w:r>
            </w:hyperlink>
          </w:p>
        </w:tc>
        <w:tc>
          <w:tcPr>
            <w:tcW w:w="26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Nine Months Ended September 25, 2016</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and September 27, 2015 (unaudited)</w:t>
              </w:r>
            </w:hyperlink>
          </w:p>
        </w:tc>
        <w:tc>
          <w:tcPr>
            <w:tcW w:w="7280" w:type="dxa"/>
            <w:vAlign w:val="bottom"/>
            <w:gridSpan w:val="11"/>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Cash Flows for the Nine Months Ended September 25, 2016 and September 27, 2015</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900" w:type="dxa"/>
            <w:vAlign w:val="bottom"/>
            <w:gridSpan w:val="2"/>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9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990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99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99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9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99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5.</w:t>
              </w:r>
            </w:hyperlink>
          </w:p>
        </w:tc>
        <w:tc>
          <w:tcPr>
            <w:tcW w:w="99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99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1"/>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25, 2016</w:t>
            </w: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27, 2015</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Assets held for sale</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875.9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Preferred stock, $0.001 par value, 5,000,000 shares authorized, 0 shares outstanding at September 25, 2016</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December 27, 2015</w:t>
            </w:r>
          </w:p>
        </w:tc>
        <w:tc>
          <w:tcPr>
            <w:tcW w:w="24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0"/>
              </w:rPr>
              <w:t>Common stock, $0.001 par value, 195,000,000 shares authorized; 60,516,717 and 59,139,651 shares issued</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and outstanding at September 25, 2016 and December 27, 2015, respectively</w:t>
            </w:r>
          </w:p>
        </w:tc>
        <w:tc>
          <w:tcPr>
            <w:tcW w:w="24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873.2</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2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LOSS (in millions, except per share amounts)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25,</w:t>
            </w:r>
          </w:p>
        </w:tc>
        <w:tc>
          <w:tcPr>
            <w:tcW w:w="120" w:type="dxa"/>
            <w:vAlign w:val="bottom"/>
          </w:tcPr>
          <w:p>
            <w:pPr>
              <w:spacing w:after="0"/>
              <w:rPr>
                <w:sz w:val="13"/>
                <w:szCs w:val="13"/>
                <w:color w:val="auto"/>
              </w:rPr>
            </w:pPr>
          </w:p>
        </w:tc>
        <w:tc>
          <w:tcPr>
            <w:tcW w:w="11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25,</w:t>
            </w:r>
          </w:p>
        </w:tc>
        <w:tc>
          <w:tcPr>
            <w:tcW w:w="120" w:type="dxa"/>
            <w:vAlign w:val="bottom"/>
          </w:tcPr>
          <w:p>
            <w:pPr>
              <w:spacing w:after="0"/>
              <w:rPr>
                <w:sz w:val="13"/>
                <w:szCs w:val="13"/>
                <w:color w:val="auto"/>
              </w:rPr>
            </w:pPr>
          </w:p>
        </w:tc>
        <w:tc>
          <w:tcPr>
            <w:tcW w:w="1000" w:type="dxa"/>
            <w:vAlign w:val="bottom"/>
          </w:tcPr>
          <w:p>
            <w:pPr>
              <w:jc w:val="right"/>
              <w:ind w:right="39"/>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17"/>
        </w:trPr>
        <w:tc>
          <w:tcPr>
            <w:tcW w:w="652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379.6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Unused office space, restructuring expenses, and other</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 (loss)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652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Discontinued operations (Note 2)</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Income (loss) from operations of discontinued component (including gain on disposal of $80.3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million for the three and nine months ended September 27, 2015)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(loss) per common share:</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0.92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(from above)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4"/>
          </w:tcPr>
          <w:p>
            <w:pPr>
              <w:jc w:val="right"/>
              <w:ind w:right="139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25, 2016</w:t>
            </w: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4"/>
                <w:szCs w:val="14"/>
                <w:b w:val="1"/>
                <w:bCs w:val="1"/>
                <w:color w:val="auto"/>
              </w:rPr>
              <w:t>September 27, 2015</w:t>
            </w:r>
          </w:p>
        </w:tc>
      </w:tr>
      <w:tr>
        <w:trPr>
          <w:trHeight w:val="210"/>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23.8</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Adjustments to reconcile loss from continuing operations to net cash used in operating activities from</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43"/>
        </w:trPr>
        <w:tc>
          <w:tcPr>
            <w:tcW w:w="7200" w:type="dxa"/>
            <w:vAlign w:val="bottom"/>
          </w:tcPr>
          <w:p>
            <w:pPr>
              <w:ind w:left="380"/>
              <w:spacing w:after="0"/>
              <w:rPr>
                <w:sz w:val="20"/>
                <w:szCs w:val="20"/>
                <w:color w:val="auto"/>
              </w:rPr>
            </w:pPr>
            <w:r>
              <w:rPr>
                <w:rFonts w:ascii="Arial" w:cs="Arial" w:eastAsia="Arial" w:hAnsi="Arial"/>
                <w:sz w:val="16"/>
                <w:szCs w:val="16"/>
                <w:color w:val="auto"/>
              </w:rPr>
              <w:t>Non-cash income tax benefit</w:t>
            </w:r>
          </w:p>
        </w:tc>
        <w:tc>
          <w:tcPr>
            <w:tcW w:w="28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Litigation related charges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non-cash 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Deferred acquisition payments</w:t>
            </w:r>
          </w:p>
        </w:tc>
        <w:tc>
          <w:tcPr>
            <w:tcW w:w="28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(213.9)</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503"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50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88" w:lineRule="auto"/>
        <w:rPr>
          <w:sz w:val="20"/>
          <w:szCs w:val="20"/>
          <w:color w:val="auto"/>
        </w:rPr>
      </w:pPr>
      <w:r>
        <w:rPr>
          <w:rFonts w:ascii="Arial" w:cs="Arial" w:eastAsia="Arial" w:hAnsi="Arial"/>
          <w:sz w:val="16"/>
          <w:szCs w:val="16"/>
          <w:color w:val="auto"/>
        </w:rPr>
        <w:t>The information as of September 25, 2016 and for the three and nine months ended September 25, 2016 and September 27, 2015 is unaudited. The condensed consolidated balance sheet as of December 27, 2015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27, 2015, included in the Company’s Annual Report on Form 10-K for the fiscal year ended December 27, 2015, filed with the U.S. Securities and Exchange Commission on March 11, 2016 (the “Form 10-K”). Interim operating results are not necessarily indicative of operating results expected in subsequent periods or for the year as a whole.</w:t>
      </w:r>
    </w:p>
    <w:p>
      <w:pPr>
        <w:spacing w:after="0" w:line="6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classifies assets and liabilities as held for sale (“disposal group”) when management, having the authority to approve the action, commits to a plan to sell the disposal group, the sale is probable within one year, and the disposal group is available for immediate sale in its present condition. The Company also considers whether an active program to locate a buyer has been initiated, whether the disposal group is marketed actively for sale at a price that is reasonable in relation to its current fair value, and whether actions required to complete the plan indicate that it is unlikely that significant changes to the plan will be made or the plan will be withdrawn.</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Assets held for sale in the Condensed Consolidated Balance Sheet consists of the Walterboro building facility, reported within the KGS segment with a carrying value of $1.9 million, which has been classified as held for sale due to the closure of the manufacturing facility in South Carolina. At the time of classifying the building as held for sale and at the end of each reporting period, the Company compares the carrying value of the building to estimates of fair value less costs to sell to assess for impairment utilizing the assistance of third-party broker opinions of value to assist in our fair value estimates; no impairment indicators were identified. Classification as held for sale began on the date that the Company met all of the criteria for classification as held for sale, and there are no other assets of liabilities that are associated with the facility.</w:t>
      </w:r>
    </w:p>
    <w:p>
      <w:pPr>
        <w:spacing w:after="0" w:line="19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discussed in Note 2 - Discontinued Operations, the amounts in these condensed consolidated financial statements reflect the August 21, 2015 disposition of the Company’s 100% owned subsidiary Herley Industries, Inc. (“Herley”) and certain of Herley’s subsidiaries, including Herley-CTI, Inc., EW Simulation Technology, Ltd. and Stapor Research, Inc. (collectively with Herley, the “Herley Entities”) as discontinued operations.</w:t>
      </w:r>
    </w:p>
    <w:p>
      <w:pPr>
        <w:spacing w:after="0" w:line="16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three and nine month periods ended September 25, 2016 and September 27, 2015 consisted of 13-week periods. There are 52 calendar weeks in the fiscal years ending on December 25, 2016 and December 27, 2015.</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There have been no significant changes in the Company’s accounting estimates for the three and nine months ended September 25, 2016 as compared to the accounting estimates described in the Form 10-K. On July 8, 2016, the Company was awarded a competitive, $40.8 million single award, cost-share contract by the Air Force Research Laboratory for the Low-Cost Attritable Strike Unmanned Aerial System Demonstration (“LCASD”). Under the terms of this contract, the Company will receive $7.3 million in government funding, and will invest approximately $33.5 million over the 30 month period of performance. The Company’s investment will include the production of two Company-owned air vehicles, production tooling equipment for future manufacture, related launch, and other equipment. The Company expects to capitalize that portion of the investment related to the assets that it will retain as fixed assets, which it currently estimates will be approximately $14.2 million. The amount that the Company expects to incur that is not expected to be capitalized and will be recorded as contract costs over the period of performance is a total estimated cost of $26.0 million. $18.7 million was recorded as a provision for loss on contract within cost of product sales with a remaining accrual of $16.6 million included in accrued expenses at September 25, 2016. Adjustments to the original estimate of total contract costs will be evaluated as work progresses under the contract. Revisions in estimated total contract costs, including the cost of estimated retained assets, for changing conditions and new developments may result in an increase or decrease in total costs and the estimated provision for contract loss. Such changes will be reflected as a change in accounting estimates. The Company is making this investment in order to retain the related intellectual property and system rights in the LCASD system and aircraft.</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 Update (“ASU”) 2016-15 (“ASU 2016-15”), </w:t>
      </w:r>
      <w:r>
        <w:rPr>
          <w:rFonts w:ascii="Arial" w:cs="Arial" w:eastAsia="Arial" w:hAnsi="Arial"/>
          <w:sz w:val="18"/>
          <w:szCs w:val="18"/>
          <w:i w:val="1"/>
          <w:iCs w:val="1"/>
          <w:color w:val="auto"/>
        </w:rPr>
        <w:t xml:space="preserve">Statement of Cash Flows (Topic 230): Classification of Certain Cash Receipts and Cash Payments. </w:t>
      </w:r>
      <w:r>
        <w:rPr>
          <w:rFonts w:ascii="Arial" w:cs="Arial" w:eastAsia="Arial" w:hAnsi="Arial"/>
          <w:sz w:val="18"/>
          <w:szCs w:val="18"/>
          <w:color w:val="auto"/>
        </w:rPr>
        <w:t>The objective of ASU 2016-15 is to reduce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in practice by addressing eight specific cash flow issues related to how certain cash receipts and cash payments are presented and classified in the statement of cash flows. ASU 2016-15 is effective for fiscal years beginning after December 15, 2017, including interim periods within those fiscal years. Early adoption is permitted. If early adopted, an entity must adopt all of the amendments in the same period. The Company is currently evaluating the impact of the adoption of ASU 2016-15 on the Company's financial statements.</w:t>
      </w:r>
    </w:p>
    <w:p>
      <w:pPr>
        <w:spacing w:after="0" w:line="19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In May 2016, the FASB issued ASU 2016-12 (“ASU 2016-12”), </w:t>
      </w:r>
      <w:r>
        <w:rPr>
          <w:rFonts w:ascii="Arial" w:cs="Arial" w:eastAsia="Arial" w:hAnsi="Arial"/>
          <w:sz w:val="16"/>
          <w:szCs w:val="16"/>
          <w:i w:val="1"/>
          <w:iCs w:val="1"/>
          <w:color w:val="auto"/>
        </w:rPr>
        <w:t>Revenue from Contracts with Customers, Narrow-Scope Improvements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Practical Expedients</w:t>
      </w:r>
      <w:r>
        <w:rPr>
          <w:rFonts w:ascii="Arial" w:cs="Arial" w:eastAsia="Arial" w:hAnsi="Arial"/>
          <w:sz w:val="16"/>
          <w:szCs w:val="16"/>
          <w:color w:val="auto"/>
        </w:rPr>
        <w:t>. ASU 2016-12 clarifies the assessment of the collectability criterion, the presentation of sales taxes, the measurement of noncash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the treatment of contract modifications at transition, and the treatment of completed contracts at transition. In April 2016, the FASB issued ASU 2016-10 (“ASU 2016-10”), </w:t>
      </w:r>
      <w:r>
        <w:rPr>
          <w:rFonts w:ascii="Arial" w:cs="Arial" w:eastAsia="Arial" w:hAnsi="Arial"/>
          <w:sz w:val="16"/>
          <w:szCs w:val="16"/>
          <w:i w:val="1"/>
          <w:iCs w:val="1"/>
          <w:color w:val="auto"/>
        </w:rPr>
        <w:t>Revenue from Contracts with Customers, Identifying Performance Obligations and Licensing</w:t>
      </w:r>
      <w:r>
        <w:rPr>
          <w:rFonts w:ascii="Arial" w:cs="Arial" w:eastAsia="Arial" w:hAnsi="Arial"/>
          <w:sz w:val="16"/>
          <w:szCs w:val="16"/>
          <w:color w:val="auto"/>
        </w:rPr>
        <w:t xml:space="preserve">. ASU 2016-10 provides additional guidance on identifying performance obligations and clarifies the implementation guidance on licensing. In March 2016, the FASB issued ASU 2016-08 (“ASU 2016-08”), </w:t>
      </w:r>
      <w:r>
        <w:rPr>
          <w:rFonts w:ascii="Arial" w:cs="Arial" w:eastAsia="Arial" w:hAnsi="Arial"/>
          <w:sz w:val="16"/>
          <w:szCs w:val="16"/>
          <w:i w:val="1"/>
          <w:iCs w:val="1"/>
          <w:color w:val="auto"/>
        </w:rPr>
        <w:t>Revenue from Contracts with Customers, Principal versus Agent Considerations.</w:t>
      </w:r>
      <w:r>
        <w:rPr>
          <w:rFonts w:ascii="Arial" w:cs="Arial" w:eastAsia="Arial" w:hAnsi="Arial"/>
          <w:sz w:val="16"/>
          <w:szCs w:val="16"/>
          <w:color w:val="auto"/>
        </w:rPr>
        <w:t xml:space="preserve"> ASU 2016-08 clarifies the implementation guidance and illustrations in the new revenue standard. In August 2015, the FASB issued ASU 2015-14 (“ASU 2015-14”),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Deferral of the Effective Date, </w:t>
      </w:r>
      <w:r>
        <w:rPr>
          <w:rFonts w:ascii="Arial" w:cs="Arial" w:eastAsia="Arial" w:hAnsi="Arial"/>
          <w:sz w:val="16"/>
          <w:szCs w:val="16"/>
          <w:color w:val="auto"/>
        </w:rPr>
        <w:t>that deferred the effective date of ASU 2014-09 (“ASU 2014-09”),</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Pursuant to ASU 2015-14, public business entities, certain not-for-profit entities, and certain employee benefit plans should apply the guidance in ASU 2014-09 to annual reporting periods beginning after December 15, 2017, including interim reporting periods within those reporting periods. The FASB issued ASU 2014-09 in May 2014. ASU 2014-09 affects any entity using GAAP that either enters into contracts with customers to transfer goods or services or enters into contracts for the transfer of nonfinancial assets unless those contracts are within the scope of other standards (</w:t>
      </w:r>
      <w:r>
        <w:rPr>
          <w:rFonts w:ascii="Arial" w:cs="Arial" w:eastAsia="Arial" w:hAnsi="Arial"/>
          <w:sz w:val="16"/>
          <w:szCs w:val="16"/>
          <w:i w:val="1"/>
          <w:iCs w:val="1"/>
          <w:color w:val="auto"/>
        </w:rPr>
        <w:t>e.g</w:t>
      </w:r>
      <w:r>
        <w:rPr>
          <w:rFonts w:ascii="Arial" w:cs="Arial" w:eastAsia="Arial" w:hAnsi="Arial"/>
          <w:sz w:val="16"/>
          <w:szCs w:val="16"/>
          <w:color w:val="auto"/>
        </w:rPr>
        <w:t xml:space="preserve">., insurance contracts or lease contracts). ASU 2014-09 will supersede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ASU 2014-09 also supersedes some cost guidance included in FASB Accounting Standards Codification (“ASC”) Subtopic 605-35, </w:t>
      </w:r>
      <w:r>
        <w:rPr>
          <w:rFonts w:ascii="Arial" w:cs="Arial" w:eastAsia="Arial" w:hAnsi="Arial"/>
          <w:sz w:val="16"/>
          <w:szCs w:val="16"/>
          <w:i w:val="1"/>
          <w:iCs w:val="1"/>
          <w:color w:val="auto"/>
        </w:rPr>
        <w:t xml:space="preserve">Revenue Recognition—Construction-Type and Production-Type Contracts. </w:t>
      </w:r>
      <w:r>
        <w:rPr>
          <w:rFonts w:ascii="Arial" w:cs="Arial" w:eastAsia="Arial" w:hAnsi="Arial"/>
          <w:sz w:val="16"/>
          <w:szCs w:val="16"/>
          <w:color w:val="auto"/>
        </w:rPr>
        <w:t>The guidance permits companies to either apply the requirements retrospectively to all prior periods presented or apply</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in the year of adoption, through a cumulative adjustment. The Company has not yet selected a transition method nor has it determined the impact of adoption on its condensed consolidated financial statements.</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March 2016, the FASB issued ASU 2016-09 (“ASU 2016-09”), </w:t>
      </w:r>
      <w:r>
        <w:rPr>
          <w:rFonts w:ascii="Arial" w:cs="Arial" w:eastAsia="Arial" w:hAnsi="Arial"/>
          <w:sz w:val="18"/>
          <w:szCs w:val="18"/>
          <w:i w:val="1"/>
          <w:iCs w:val="1"/>
          <w:color w:val="auto"/>
        </w:rPr>
        <w:t>Compensation — 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2016-09 simplifies several aspects of the accounting for employee share-based payments, including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forfeitures, statutory tax withholding requirements, and classification on the statement of cash flows. The amendments in this ASU are effective for annual periods beginning after December 15, 2016. Early adoption is permitted. The Company has not determined the impact of adoption on its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In February 2016, the FASB issued ASU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requires that lessees recognize assets and liabilities for the rights and obligations underlying leases with a lease term of more than one year. The amendments in this ASU are effective for annual periods ending after December 15, 2018. Early adoption is permitted. The standard must be applied using a modified retrospective approach. The Company has not determined the impact of adoption on its condensed consolidated financial statements.</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January 2015, the FASB issued ASU 2015-01 (“ASU 2015-01”), </w:t>
      </w:r>
      <w:r>
        <w:rPr>
          <w:rFonts w:ascii="Arial" w:cs="Arial" w:eastAsia="Arial" w:hAnsi="Arial"/>
          <w:sz w:val="18"/>
          <w:szCs w:val="18"/>
          <w:i w:val="1"/>
          <w:iCs w:val="1"/>
          <w:color w:val="auto"/>
        </w:rPr>
        <w:t>Income Statement - Extraordinary and Unusual Items (Subtopic 225-20):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Simplifying Income Statement Presentation by Eliminating the Concept of Extraordinary Items. </w:t>
      </w:r>
      <w:r>
        <w:rPr>
          <w:rFonts w:ascii="Arial" w:cs="Arial" w:eastAsia="Arial" w:hAnsi="Arial"/>
          <w:sz w:val="18"/>
          <w:szCs w:val="18"/>
          <w:color w:val="auto"/>
        </w:rPr>
        <w:t>ASU 2015-01 eliminates from GAAP the concept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extraordinary items. Subtopic 225-20, </w:t>
      </w:r>
      <w:r>
        <w:rPr>
          <w:rFonts w:ascii="Arial" w:cs="Arial" w:eastAsia="Arial" w:hAnsi="Arial"/>
          <w:sz w:val="18"/>
          <w:szCs w:val="18"/>
          <w:i w:val="1"/>
          <w:iCs w:val="1"/>
          <w:color w:val="auto"/>
        </w:rPr>
        <w:t>Income Statement - Extraordinary and Unusual Items</w:t>
      </w:r>
      <w:r>
        <w:rPr>
          <w:rFonts w:ascii="Arial" w:cs="Arial" w:eastAsia="Arial" w:hAnsi="Arial"/>
          <w:sz w:val="18"/>
          <w:szCs w:val="18"/>
          <w:color w:val="auto"/>
        </w:rPr>
        <w:t>, required that an entity separately classify, present, and disclose extraordinary events and transactions. Presently, an event or transaction is presumed to be an ordinary and usual activity of the reporting entity unless evidence clearly supports its classification as an extraordinary item. The amendments in this ASU are effective for fiscal years, and interim periods within those fiscal years, beginning after December 15, 2015. The Company adopted this standard in the quarter ended March 27, 2016, which did not have a material impact on its condensed consolidated financial statements.</w:t>
      </w:r>
    </w:p>
    <w:p>
      <w:pPr>
        <w:spacing w:after="0" w:line="12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In August 2014, the FASB issued ASU 2014-15 (“ASU 2014-15”), </w:t>
      </w:r>
      <w:r>
        <w:rPr>
          <w:rFonts w:ascii="Arial" w:cs="Arial" w:eastAsia="Arial" w:hAnsi="Arial"/>
          <w:sz w:val="16"/>
          <w:szCs w:val="16"/>
          <w:i w:val="1"/>
          <w:iCs w:val="1"/>
          <w:color w:val="auto"/>
        </w:rPr>
        <w:t>Presentation of Financial Statements—Going Concern (Subtopic 205-40):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of Uncertainties about an Entity’s Ability to Continue as a Going Concern. </w:t>
      </w:r>
      <w:r>
        <w:rPr>
          <w:rFonts w:ascii="Arial" w:cs="Arial" w:eastAsia="Arial" w:hAnsi="Arial"/>
          <w:sz w:val="16"/>
          <w:szCs w:val="16"/>
          <w:color w:val="auto"/>
        </w:rPr>
        <w:t>ASU 2014-15 is intended to define management’s responsibility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the first annual period ending after December 15, 2016, and for annual and interim periods thereafter. Early application is permitted for annual or interim reporting periods for which the financial statements have not previously been issued. The Company does not believe that the adoption of this guidance will have a material impact on its condensed consolidated financial statements.</w:t>
      </w:r>
    </w:p>
    <w:p>
      <w:pPr>
        <w:spacing w:after="0" w:line="20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other than the adoption of ASU 2015-01, for the three and nine months ended September 25, 2016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September 25, 2016 and December 27, 2015 are presented in Note 8 - Debt.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September 25, 2016 and December 27, 2015 due to the short-term nature of these instruments.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the Herley Entities, for $260.0 million in cash and $5.0 million for taxes incurred as part of the Transaction, less a $2.0 million escrow to satisfy any purchase price adjustments, and an estimated working capital adjustment of $8.3 million. The Purchase Agreement also contained certain non-compete and indemnification provisions. Under the Purchase Agreement, the Company entered into an agreement to indemnify the Buyer for any pre-acquisition tax liabilities. The Company also agreed to indemnify Ultra for pre-existing environmental conditions for a period of five years from the closing date, with a maximum indemnification payment of $34.0 million. The Company does not believe payments will be required under the environmental indemnification provision, and the assessment of the fair value is immaterial. Pursuant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to the terms of the Purchase Agreement, a joint 338(h)(10) election has been made for income tax purposes, providing a “step up” in tax basis to Ultra. The Company incurred approximately $11.5 million in Transaction-related costs. The gain on sale of $80.8 million is subject to change based on whether the Company incurs indemnification obligations. In accordance with </w:t>
      </w:r>
      <w:r>
        <w:rPr>
          <w:rFonts w:ascii="Arial" w:cs="Arial" w:eastAsia="Arial" w:hAnsi="Arial"/>
          <w:sz w:val="18"/>
          <w:szCs w:val="18"/>
          <w:i w:val="1"/>
          <w:iCs w:val="1"/>
          <w:color w:val="auto"/>
        </w:rPr>
        <w:t>ASC 360-10-45-9, Property, Plant, and Equipment (Topic 360)</w:t>
      </w:r>
      <w:r>
        <w:rPr>
          <w:rFonts w:ascii="Arial" w:cs="Arial" w:eastAsia="Arial" w:hAnsi="Arial"/>
          <w:sz w:val="18"/>
          <w:szCs w:val="18"/>
          <w:color w:val="auto"/>
        </w:rPr>
        <w:t xml:space="preserve"> and </w:t>
      </w:r>
      <w:r>
        <w:rPr>
          <w:rFonts w:ascii="Arial" w:cs="Arial" w:eastAsia="Arial" w:hAnsi="Arial"/>
          <w:sz w:val="18"/>
          <w:szCs w:val="18"/>
          <w:i w:val="1"/>
          <w:iCs w:val="1"/>
          <w:color w:val="auto"/>
        </w:rPr>
        <w:t>ASC 205-20-45-3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Financial Statements (Topic 205), </w:t>
      </w:r>
      <w:r>
        <w:rPr>
          <w:rFonts w:ascii="Arial" w:cs="Arial" w:eastAsia="Arial" w:hAnsi="Arial"/>
          <w:sz w:val="18"/>
          <w:szCs w:val="18"/>
          <w:color w:val="auto"/>
        </w:rPr>
        <w:t>the Herley Entities were classified as discontinued operations in the accompanying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all periods presented.</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Following the closing of the Transaction, those entities continued their operations as wholly owned subsidiaries of the Company.</w:t>
      </w:r>
    </w:p>
    <w:p>
      <w:pPr>
        <w:spacing w:after="0" w:line="15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November 2015, the Company and Ultra settled the working capital adjustment at $8.1 million, and the net cash position at closing, resulting in a net payment to the Company of $2.7 million. This represented a payment from escrow to the Company of $2.0 million, as well as a payment from Ultra to the Company of $0.7 million, reflecting the difference in the estimated working capital and actual working capital and the net cash position at the close of the Transaction. In January 2016, Ultra reimbursed the Company the $5.0 million maximum for taxes incurred as part of the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September 25, 2016</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25,</w:t>
            </w:r>
          </w:p>
        </w:tc>
        <w:tc>
          <w:tcPr>
            <w:tcW w:w="160" w:type="dxa"/>
            <w:vAlign w:val="bottom"/>
          </w:tcPr>
          <w:p>
            <w:pPr>
              <w:spacing w:after="0"/>
              <w:rPr>
                <w:sz w:val="13"/>
                <w:szCs w:val="13"/>
                <w:color w:val="auto"/>
              </w:rPr>
            </w:pPr>
          </w:p>
        </w:tc>
        <w:tc>
          <w:tcPr>
            <w:tcW w:w="10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 expense items that are not major</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disposal of discontinued operations before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Income (loss) on discontinued operations before income taxes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Depreciation and amortization expense included in selling, general and administrative expenses was $0.9 million and $4.2 million for the three and nine months ended September 27, 2015, respectively.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Interest expense is included based on an allocation consistent with the redemption of $175.0 million of the Company’s 7.00% Senior Secured Notes due 2019 (the “Notes”) and the repayment of $41.0 million in outstanding borrowings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Leader Arranger and Sole Book Runner, that was repaid upon the completion of the sale of the Herley Entities in accordance with the terms and conditions of the Indenture (as defined below) and the Credit Agreement, respectively. Refer to Note 8 - Debt for further discussion.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liabilities associated with discontinued operations in the accompanying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2016 and December 27, 2015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25,</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27,</w:t>
            </w: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September 25, 2016 and December 27, 2015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Public Safety &amp;</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Unmanned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As of September 25, 2016</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27, 2015</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$7.9 million and $10.1 million for the nine months ended September 25, 2016 and September 27, 2015,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8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 inventoried costs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inventoried costs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Stockholders’ Equity</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A summary of the changes in stockholders’ equity is provided below (in millions):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87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September 25, 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September 27, 2015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740" w:type="dxa"/>
            <w:vAlign w:val="bottom"/>
          </w:tcPr>
          <w:p>
            <w:pPr>
              <w:ind w:left="120"/>
              <w:spacing w:after="0"/>
              <w:rPr>
                <w:sz w:val="20"/>
                <w:szCs w:val="20"/>
                <w:color w:val="auto"/>
              </w:rPr>
            </w:pPr>
            <w:r>
              <w:rPr>
                <w:rFonts w:ascii="Arial" w:cs="Arial" w:eastAsia="Arial" w:hAnsi="Arial"/>
                <w:sz w:val="18"/>
                <w:szCs w:val="18"/>
                <w:color w:val="auto"/>
              </w:rPr>
              <w:t>Change in cumulative translation adjustment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 at end of period</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204.1</w:t>
            </w:r>
          </w:p>
        </w:tc>
        <w:tc>
          <w:tcPr>
            <w:tcW w:w="80" w:type="dxa"/>
            <w:vAlign w:val="bottom"/>
            <w:shd w:val="clear" w:color="auto" w:fill="CCEEFF"/>
          </w:tcPr>
          <w:p>
            <w:pPr>
              <w:spacing w:after="0"/>
              <w:rPr>
                <w:sz w:val="22"/>
                <w:szCs w:val="22"/>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0" w:type="dxa"/>
            <w:vAlign w:val="bottom"/>
            <w:tcBorders>
              <w:bottom w:val="single" w:sz="8" w:color="CCEEFF"/>
            </w:tcBorders>
          </w:tcPr>
          <w:p>
            <w:pPr>
              <w:spacing w:after="0"/>
              <w:rPr>
                <w:sz w:val="24"/>
                <w:szCs w:val="24"/>
                <w:color w:val="auto"/>
              </w:rPr>
            </w:pPr>
          </w:p>
        </w:tc>
        <w:tc>
          <w:tcPr>
            <w:tcW w:w="87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September 25, 2016</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September 27, 2015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Post-retirement benefit reserve adjustment net of tax expense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2"/>
                <w:szCs w:val="22"/>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There were no reclassifications from other comprehensive loss to net income (loss) for the nine months ended September 25, 2016 and September 27,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 issued by the Company for the nine months ended September 25, 2016 and September 27, 2015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25, 2016</w:t>
            </w:r>
          </w:p>
        </w:tc>
        <w:tc>
          <w:tcPr>
            <w:tcW w:w="124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FASB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w:t>
      </w:r>
      <w:r>
        <w:rPr>
          <w:rFonts w:ascii="Arial" w:cs="Arial" w:eastAsia="Arial" w:hAnsi="Arial"/>
          <w:sz w:val="17"/>
          <w:szCs w:val="17"/>
          <w:i w:val="1"/>
          <w:iCs w:val="1"/>
          <w:color w:val="auto"/>
        </w:rPr>
        <w:t>.</w:t>
      </w:r>
      <w:r>
        <w:rPr>
          <w:rFonts w:ascii="Arial" w:cs="Arial" w:eastAsia="Arial" w:hAnsi="Arial"/>
          <w:sz w:val="17"/>
          <w:szCs w:val="17"/>
          <w:color w:val="auto"/>
        </w:rPr>
        <w:t xml:space="preserve">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right="26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1.2 million and 1.4 million for the three and nine months ended September 25, 2016, respectively, and 2.1 million for the nine months ended September 27, 2015.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A reconciliation of the income tax benefit from continuing operations computed by applying the statutory federal income tax rate of 35% to loss from continuing operations before income taxes to the income tax provision (benefit) for the three and nine months ended September 25, 2016 and September 27, 2015 was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27,</w:t>
            </w: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 (benefit)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preceding months. This base limitation is subject to adjustments, including an increase for built-in gains recognized in the five-year period after the ownership change.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annual limitation amount is not utilized in a year, the excess can be carried forward and utilized in future years.</w:t>
      </w:r>
    </w:p>
    <w:p>
      <w:pPr>
        <w:spacing w:after="0" w:line="19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For the nine months ended September 25, 2016, such limitations did not impact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are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December 27, 2015, the Company had $17.2 million of unrecognized tax benefits that, if recognized, would impact the effective income tax rate, subject to possible offset by an increase in the deferred tax asset valuation allowance. During the nine months ended September 25, 2016, unrecognized tax benefits were increased by $1.3 million relating to various current year and prior year positions.</w:t>
      </w:r>
    </w:p>
    <w:p>
      <w:pPr>
        <w:spacing w:after="0" w:line="181" w:lineRule="exact"/>
        <w:rPr>
          <w:sz w:val="20"/>
          <w:szCs w:val="20"/>
          <w:color w:val="auto"/>
        </w:rPr>
      </w:pPr>
    </w:p>
    <w:p>
      <w:pPr>
        <w:ind w:right="160" w:firstLine="567"/>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nine months ended September 25, 2016 and September 27, 2015, a $0.8 million expense and $0.2 million expense, respectively, were recorded related to interest and penalties related to unrecognized tax benefits. For the nine months ended September 25, 2016 and September 27, 2015, there was no material benefit recorded related to the removal of interest and penalties. The Company does not reasonably expect that the amount of the liabilities for uncertain tax positions will change significantly within twelve months of September 25,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2014, the Company refinanced its $625.0 million 10% Senior Secured Notes due in 2017 (the “10% Notes”) with $625.0 million of newly issued Notes. The net proceeds from the issuance of the Notes was $618.5 million after an original issue discount of $6.5 million. The Company incurred debt issuance costs of $8.8 million associated with the new Notes. The Company utilized the net proceeds from the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completed the offering of the Notes in a private placement conducted pursuant to Rule 144A and Regulation S under the Securities Act of 1933, as amended (the “Act”). The Notes are governed by the Indenture, dated May 14, 2014 (the “Indenture”), among the Company, certain of the Company’s subsidiaries (the “Subsidiary Guarantors”) and Wilmington Trust, National Association, as Trustee and Collateral Agent. A Subsidiary Guarantor can be released from its Guarantee (as defined in the Indenture) (a) if all of the Capital Stock (as defined in the Indenture) issued by such Subsidiary Guarantor or all or substantially all of the assets of such Subsidiary Guarantor are sold or otherwise disposed of; (b) if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junior to the Company’s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25, 2016, the Company was in compliance with the covenants contained in the Indenture governing the Notes.</w:t>
      </w:r>
    </w:p>
    <w:p>
      <w:pPr>
        <w:spacing w:after="0" w:line="17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16, 2014, the Company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terms of the Indenture require that the net cash proceeds from asset dispositions be utilized, as applicable, to (i) repay or prepay amounts outstanding under the Company’s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(ii) and (iii), such amounts are required to be utilized to repurchase Notes at par after 360 days following the asset disposition.</w:t>
      </w:r>
    </w:p>
    <w:p>
      <w:pPr>
        <w:spacing w:after="0" w:line="171"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Following the sale of the Herley Entities (see Note 2 - Discontinued Operations), the Company, on August 21, 2015, paid down the $41.0 million outstanding on the Company’s $110.0 million Credit Agreement and on September 22, 2015, repurchased $175.0 million of the Notes at par, in accordance with the Indenture. In connection with the $175.0 million repurchase of Notes, the Company wrote off $1.8 million of unamortized issue costs, $1.4 million of unamortized discount, and incurred $0.2 million of legal fees, which resulted in a loss on extinguishment of debt of $3.4 million.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25, 2016, the Company has reinvested all net proceeds remaining after the repurchase of the $175.0 million of Notes in replacement collateral under the Indenture within the 360 days following the asset disposition.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25, 2016, there was $450.0 million in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May 14, 2014, the Company replaced its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obligations under the Credit Agreement are secured by a first priority lien on the Company’s accounts receivable, inventory, deposit accounts, securities accounts, cash, securities and general intangibles (other than intellectual property). The obligations under the Credit Agreement are secured by a second priority lien, junior to the lien securing the Notes, on all of the Company’s other assets.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September 25, 2016,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firstLine="8"/>
        <w:spacing w:after="0" w:line="252"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without limitation, amounts due and owing under billed and unbilled accounts receivables, then-held eligible raw materials inventory, work-in-process inventory, and applicable reserves.</w:t>
      </w:r>
    </w:p>
    <w:p>
      <w:pPr>
        <w:spacing w:after="0" w:line="193"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w:t>
      </w:r>
    </w:p>
    <w:p>
      <w:pPr>
        <w:spacing w:after="0" w:line="2" w:lineRule="exact"/>
        <w:rPr>
          <w:sz w:val="20"/>
          <w:szCs w:val="20"/>
          <w:color w:val="auto"/>
        </w:rPr>
      </w:pPr>
    </w:p>
    <w:p>
      <w:pPr>
        <w:ind w:right="20" w:firstLine="8"/>
        <w:spacing w:after="0" w:line="251"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98"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September 25, 2016,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reinstated the maximum facility to the full $110.0 million as of the end of the first quarter of 2016.</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credit exposure outstanding of up to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25, 2016, there were no borrowings outstanding on the Credit Agreement and $11.2 million outstanding on letters of credit, resulting in net borrowing base availability of $44.8 million. The Company was in compliance with the financial covenants of the Credit Agreement and its amendments as of September 25,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has a $10.0 million ten-year term loan with a bank in Israel entered into on September 16, 2008 in connection with the acquisition of one of its wholly owned subsidiaries. The balance under the term loan as of September 25, 2016 was $2.0 million, and the loan is payable in quarterly installments of $0.3 million plus interest at LIBOR plus a margin of 1.5%. The loan agreement governing the term loan contains various covenants, including a minimum net equity covenant as defined in the loan agreement. The Company was in compliance with all covenants contained in this loan agreement as of September 25, 2016.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September 25, 2016 and December 27, 2015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4"/>
                <w:szCs w:val="14"/>
                <w:b w:val="1"/>
                <w:bCs w:val="1"/>
                <w:color w:val="auto"/>
              </w:rPr>
              <w:t>As of September 25, 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27, 2015</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right="40" w:firstLine="683"/>
        <w:spacing w:after="0" w:line="276" w:lineRule="auto"/>
        <w:rPr>
          <w:sz w:val="20"/>
          <w:szCs w:val="20"/>
          <w:color w:val="auto"/>
        </w:rPr>
      </w:pPr>
      <w:r>
        <w:rPr>
          <w:rFonts w:ascii="Arial" w:cs="Arial" w:eastAsia="Arial" w:hAnsi="Arial"/>
          <w:sz w:val="17"/>
          <w:szCs w:val="17"/>
          <w:color w:val="auto"/>
        </w:rPr>
        <w:t>As of September 25, 2016, the difference between the carrying amount of $446.0 million and the principal amount of $452.0 million presented in the above table is the net unamortized original issue discount of $2.7 million and the unamortized debt issuance costs of $3.3 million, which are being accreted to interest expense over the term of the related debt. As of December 27, 2015, the difference between the carrying amount of $445.1 million and the principal amount of $452.7 million presented in the above table is the net unamortized original issue discount of $3.3 million and the unamortized debt issuance costs of $4.3 million, which are being accreted to interest expense over the term of the related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Kratos Government Solutions (“KGS”) reportable segment is comprised of an aggregation of KGS operating segments, including our microwave electronic products, satellite communications, modular systems and defense and rocket support operating segments. The Unmanned Systems (“US”) reportable segment consists of our unmanned aerial, ground,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The Public Safety &amp; Security (“PSS”) reportable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6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discussed in Note 2 - Discontinued Operations, the Company began reporting the Herley Entities as discontinued operations effective in the second quarter of fiscal 2015. Prior to the decision to sell the Herley Entities, the Company reported their financial results in the KGS reportable segment.</w:t>
      </w:r>
    </w:p>
    <w:p>
      <w:pPr>
        <w:spacing w:after="0" w:line="124"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During the nine months ended September 25, 2016, the PSS reportable segment recorded a $1.9 million charge related to a litigation settlement of a contract dispute and the KGS reportable segment recorded a $7.8 million charge as a result of the decision to close one of its manufacturing facilities and exit certain lower margin product business lines. The operating loss for the Unmanned Systems segment for the three and nine months ended September 25, 2016 includes an $18.7 million loss accrual recorded on the AFRL LCASD cost share contract awarded in July 2016.</w:t>
      </w:r>
    </w:p>
    <w:p>
      <w:pPr>
        <w:spacing w:after="0" w:line="154"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and nine month periods ended September 25, 2016 and September 27, 2015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27,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25, 2016</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27, 2015</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Unmanned Systems</w:t>
            </w: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161.7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 (loss) from continuing operations</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$95.4 million and $97.0 million, or 58% and 60% of total Kratos revenue, for the three months ended September 25, 2016 and September 27, 2015, respectively, and $293.6 million and $291.2 million, or 60% and 61% of total Kratos revenue, for the nine months ended September 25, 2016 and September 27,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On July 28, 2015, the Company received a determination letter from the Defense Contract Management Agency (“DCMA”) regarding what the DCMA believed were certain unallowable costs for one of the Company’s subsidiaries with respect to fiscal year 2007. In April 2016, the Company reached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operations or cash flows. In the first quarter of fiscal 2016, the Company recorded a charge of $1.9 million related to a litigation settlement of a contract dispute in the PSS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has $450.0 million in outstanding Notes (see Note 8 - Debt).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with respect to the Notes limiting cash transfers from Subsidiary Guarantors to the Company by dividends, loans or advances. The Notes are not guaranteed by the Company’s foreign subsidiaries (the “Non-Guarantor Subsidiaries”).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 Also, as discussed in Note 2 - Discontinued Operations, the following condensed consolidating financial statements reflect the disposition of the Herley Entities as discontinued operations.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208.0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809.6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875.9</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445.0</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809.6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875.9</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206.8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September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78.2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September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25, 2016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486.6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165.9</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190.2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345.5</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379.6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107.0</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120.1</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-2628265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27, 2015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254.6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right="620"/>
        <w:spacing w:after="0" w:line="389" w:lineRule="auto"/>
        <w:rPr>
          <w:sz w:val="20"/>
          <w:szCs w:val="20"/>
          <w:color w:val="auto"/>
        </w:rPr>
      </w:pPr>
      <w:r>
        <w:rPr>
          <w:rFonts w:ascii="Arial" w:cs="Arial" w:eastAsia="Arial" w:hAnsi="Arial"/>
          <w:sz w:val="14"/>
          <w:szCs w:val="14"/>
          <w:color w:val="auto"/>
        </w:rPr>
        <w:t>Income (loss) from discontinued operations 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161.5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332.7</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360.0</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119.6</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113.9</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459"/>
        </w:trPr>
        <w:tc>
          <w:tcPr>
            <w:tcW w:w="15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-2799715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-2456815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-2113915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-1762125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-1419225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-1076325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-492760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-149860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35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r>
      <w:tr>
        <w:trPr>
          <w:trHeight w:val="73"/>
        </w:trPr>
        <w:tc>
          <w:tcPr>
            <w:tcW w:w="354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42"/>
        </w:trPr>
        <w:tc>
          <w:tcPr>
            <w:tcW w:w="35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Comprehensive income (loss)</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Financings from affiliated companies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Extinguishment of long-term debt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4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from affiliated companies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(239.8)</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4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240.3</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6"/>
          <w:szCs w:val="16"/>
          <w:color w:val="auto"/>
        </w:rPr>
        <w:t>“</w:t>
      </w:r>
      <w:r>
        <w:rPr>
          <w:rFonts w:ascii="Arial" w:cs="Arial" w:eastAsia="Arial" w:hAnsi="Arial"/>
          <w:sz w:val="16"/>
          <w:szCs w:val="16"/>
          <w:i w:val="1"/>
          <w:iCs w:val="1"/>
          <w:color w:val="auto"/>
        </w:rPr>
        <w:t>DoD</w:t>
      </w:r>
      <w:r>
        <w:rPr>
          <w:rFonts w:ascii="Arial" w:cs="Arial" w:eastAsia="Arial" w:hAnsi="Arial"/>
          <w:sz w:val="16"/>
          <w:szCs w:val="16"/>
          <w:color w:val="auto"/>
        </w:rPr>
        <w:t>”)</w:t>
      </w:r>
      <w:r>
        <w:rPr>
          <w:rFonts w:ascii="Arial" w:cs="Arial" w:eastAsia="Arial" w:hAnsi="Arial"/>
          <w:sz w:val="16"/>
          <w:szCs w:val="16"/>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including the impact of the sale of the Herley Entities (defined below) and the repurchase of our outstanding 7.00% Senior Secured Notes due 2019 (the “Notes”) with a portion of the proceeds from the sale;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Part I, Item 1A, “Risk Factors” of our Annual Report on Form 10-K for the fiscal year ended December 27, 2015 filed with the U.S. Securities and Exchange Commission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 on March 11, 2016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a mid-tier government contractor at the forefront of the DoD’s Third Offset Strategy. We are a leading technology, intellectual property and proprietary product and solution company focused on the U.S. and its allies’ national security. We are an industry leader in high performance unmanned aerial drone target systems used to test weapon systems and to train the warfighter, and a provider of high performance unmanned combat aerial systems for force multiplication and amplification. We are also an industry leader in satellite communications, microwave electronics, cyber security/warfare, missile defense and combat systems. We have primarily an engineering and technically oriented work force of approximately 2,800 with a significant number of employees holding national security clearances. Substantially all of our work is performed on a military base, in a secure facility or at a critical infrastructure location. Our primary end customers are national security related agencies. We believe that our technology, intellectual property, proprietary products and designed-in positions on our customers’ platforms and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Faced with significant budget pressures, in recent years the U.S. Government has implemented reductions in government spending, including reductions in appropriations for the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FY 2013 to $495.5 billion. The DoD budget was approximately $496.0 billion in FY 2014 and remained at a similar level in FY 2015. The DoD base budget excludes funding for overseas contingency operations, such as Afghanistan, Iraq, Syria and ISIS, which are appropriated separately and are not currently subject to the BCA.</w:t>
      </w:r>
    </w:p>
    <w:p>
      <w:pPr>
        <w:spacing w:after="0" w:line="15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November 2, 2015, President Obama signed the Bipartisan Budget Act of 2015, formalizing the terms of a two year budget agreement which raises the U.S. debt ceiling and lifts the sequestration spending caps by $80.0 billion. Under the two year budget agreement, the total federal spending increase over the BCA topline funding caps will be $50.0 billion in FY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2016 and $30.0 billion in FY 2017, with the amounts divided equally between defense and domestic priorities. The overall discretionary budget will be</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$1.067 trillion in FY 2016 and $1.07 trillion in FY 2017. The FY 2016 discretionary defense budget will be $548.0 billion, a $25.0 billion increase over the BCA topline funding caps.</w:t>
      </w:r>
    </w:p>
    <w:p>
      <w:pPr>
        <w:spacing w:after="0" w:line="18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Under the Bipartisan Budget Act of 2015, the Obama Administration will receive $33.0 billion of the $38.0 billion national defense spending increase it sought in FY 2016. In summary, the budget agreement:</w:t>
      </w:r>
    </w:p>
    <w:p>
      <w:pPr>
        <w:spacing w:after="0" w:line="170"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extends the BCA out to 2025;</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suspends the U.S. debt limit/ceiling until March 2017;</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spending caps for FY 2016 and FY 2017, by $80.0 billion, including $50.0 billion in FY 2016 and $30.0 billion in FY 2017, split evenly between defense and domestic priorities;</w:t>
      </w: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FY 2016 DoD base budget of $548.0 billion;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FY 2016 overseas contingency operation budget of $59.0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operate in three reportable segments: Kratos Government Solutions (“KGS”), Unmanned Systems (“US”) and Public Safety &amp; Security (“PSS”). The KGS reportable segment is comprised of an aggregation of KGS operating segments, including our microwave electronic products, satellite communications, modular systems and rocket support operating segments. The US reportable segment consists of our unmanned aerial system and unmanned ground and seaborne system businesses. The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9 of the Notes to Condensed Consolidated Financial Statements. From a customer and solutions perspective, we view our business as an integrated whole, leveraging skills and assets wherever possible.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August 21, 2015, we completed the sale of the U.S. and U.K. operations of our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with Herley, the “Herley Entities”), for $260.0 million in cash plus $5.0 million for taxes incurred as part of the Transaction, less a $2.0 million escrow to satisfy any purchase price adjustments, and an estimated working capital adjustment of $8.3 million. The Purchase Agreement also contained certain non-compete and indemnification provisions. Under the Purchase Agreement, we entered into an agreement to indemnify the Buyer for any pre-acquisition tax liabilities. We also agreed to indemnify Ultra for pre-existing environmental conditions for a period of five years from the closing date, with a maximum indemnification payment of $34.0 million. We do not believe payments will be required under the environmental indemnification provision, and the assessment of the fair value is immaterial. Pursuant to the terms of the Purchase Agreement, a joint 338(h)</w:t>
      </w:r>
    </w:p>
    <w:p>
      <w:pPr>
        <w:spacing w:after="0" w:line="5" w:lineRule="exact"/>
        <w:rPr>
          <w:sz w:val="20"/>
          <w:szCs w:val="20"/>
          <w:color w:val="auto"/>
        </w:rPr>
      </w:pPr>
    </w:p>
    <w:p>
      <w:pPr>
        <w:ind w:right="80" w:firstLine="8"/>
        <w:spacing w:after="0" w:line="295" w:lineRule="auto"/>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election has been made for income tax purposes, providing a “step up” in tax basis to Ultra. We incurred approximately $11.5 million in Transaction-related costs. The gain on sale of $80.8 million is subject to changes in the indemnification obligations. In accordance with </w:t>
      </w:r>
      <w:r>
        <w:rPr>
          <w:rFonts w:ascii="Arial" w:cs="Arial" w:eastAsia="Arial" w:hAnsi="Arial"/>
          <w:sz w:val="16"/>
          <w:szCs w:val="16"/>
          <w:i w:val="1"/>
          <w:iCs w:val="1"/>
          <w:color w:val="auto"/>
        </w:rPr>
        <w:t>Accounting Standards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Codification </w:t>
      </w:r>
      <w:r>
        <w:rPr>
          <w:rFonts w:ascii="Arial" w:cs="Arial" w:eastAsia="Arial" w:hAnsi="Arial"/>
          <w:sz w:val="16"/>
          <w:szCs w:val="16"/>
          <w:color w:val="auto"/>
        </w:rPr>
        <w:t>(“ASC”)</w:t>
      </w:r>
      <w:r>
        <w:rPr>
          <w:rFonts w:ascii="Arial" w:cs="Arial" w:eastAsia="Arial" w:hAnsi="Arial"/>
          <w:sz w:val="16"/>
          <w:szCs w:val="16"/>
          <w:i w:val="1"/>
          <w:iCs w:val="1"/>
          <w:color w:val="auto"/>
        </w:rPr>
        <w:t xml:space="preserve"> 360-10-45-9, Property, Plant, and Equipment (Topic 360) and ASC 205-20-45-3 Presentation of Financial Statements (Topic 205),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Herley Entities are reported in discontinued operations in the accompanying condensed consolidated financial statements for all periods presented.</w:t>
      </w:r>
    </w:p>
    <w:p>
      <w:pPr>
        <w:spacing w:after="0" w:line="16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us, and those entities will continue their current operations as our wholly owned subsidiaries.</w:t>
      </w:r>
    </w:p>
    <w:p>
      <w:pPr>
        <w:spacing w:after="0" w:line="17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November 2015, we settled the working capital adjustment with Ultra at $8.1 million, and the net cash position at closing, resulting in a net payment to us of $2.7 million. This represented a payment from escrow to us of $2.0 million, as well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a payment from Ultra to us of $0.7 million, reflecting the difference in the estimated working capital and actual working capital and the net cash position at the close of the Transaction. In January 2016, Ultra reimbursed us the $5.0 million maximum for taxes incurred as part of the Transaction.</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Following the sale of the Herley Entities, on August 21, 2015, we paid down the $41.0 million outstanding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and on September 22, 2015, we repurchased $175.0 million of the Notes at par, in accordance with the Indenture, dated May 14, 2014 (the “Indenture”), among us, certain of our subsidiaries (the “Subsidiary Guarantors”) and Wilmington Trust, National Association, as Trustee and Collateral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There have been no material changes to our key financial statement concepts for the three months ended September 25, 2016. For a complete description of our business and a discussion of our critical accounting matters, please refer to Item 7, “Management’s Discussion and Analysis of Financial Condition and Results of Operations”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25, 2016 to the Three Months Ended September 27, 2015</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September 25, 2016 and September 27, 2015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25, 2016</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27, 2015</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Revenues increased $3.7 million to $165.4 million for the three months ended September 25, 2016 from $161.7 million for the three months ended September 27, 2015. The increase in revenues was primarily due to increased work in our satellite communications, ballistic missile targets and training businesses, offset partially by a reduction in government services revenue within our KGS segment, and increased revenues in our PSS business of $1.2 million due primarily to the ramp up on a certain security installation project. Revenues in our US segment decreased slightly due to a decrease in shipments of certain of our aerial target products.</w:t>
      </w:r>
    </w:p>
    <w:p>
      <w:pPr>
        <w:spacing w:after="0" w:line="1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Product sales increased $3.9 million to $78.2 million for the three months ended September 25, 2016 from $74.3 million for the three months ended September 27, 2015, primarily as a result of an increase in product shipments in our KGS segment. As a percentage of total revenue, product sales were</w:t>
      </w:r>
    </w:p>
    <w:p>
      <w:pPr>
        <w:ind w:right="80"/>
        <w:spacing w:after="0" w:line="255" w:lineRule="auto"/>
        <w:rPr>
          <w:sz w:val="20"/>
          <w:szCs w:val="20"/>
          <w:color w:val="auto"/>
        </w:rPr>
      </w:pPr>
      <w:r>
        <w:rPr>
          <w:rFonts w:ascii="Arial" w:cs="Arial" w:eastAsia="Arial" w:hAnsi="Arial"/>
          <w:sz w:val="18"/>
          <w:szCs w:val="18"/>
          <w:color w:val="auto"/>
        </w:rPr>
        <w:t>47.3% for the three months ended September 25, 2016 as compared to 45.9% for the three months ended September 27, 2015. Service revenues decreased by $0.2 million to $87.2 million for the three months ended September 25, 2016 from $87.4 million for the three months ended September 27, 2015 primarily due to the decrease in our KGS segment offset by the increase in our PSS segment.</w:t>
      </w:r>
    </w:p>
    <w:p>
      <w:pPr>
        <w:spacing w:after="0" w:line="1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$18.2 million to $139.5 million for the three months ended September 25, 2016 from $121.3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27, 2015. The increase in cost of revenues was primarily a result of the $18.7 million loss accrual that was recorded on the LCASD contract in our US segment during the three months ended September 25, 2016. The Company is making this investment on this project in order to retain the related LCASD system and aircraft intellectual property and system rights.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Gross margin decreased to 15.7% for the three months ended September 25, 2016 from 25.0% for the three months ended September 27, 2015. Margins on services increased to 25.8% for the three months ended September 25, 2016 from 25.2% for the three months ended September 27, 2015, due primarily to a more favorable mix of revenues. Margins on products decreased to 4.3% for the three months ended September 25, 2016 from 24.8% for the three months ended September 27, 2015. Margins in the KGS segment increased to 27.3% for the three months ended September 25, 2016 from 24.6% for the three months ended September 27, 2015, primarily as a result of a more favorable mix of revenues. Margins in the US segment decreased to (77.6)% for the three months ended September 25, 2016 from 25.6% for the three months ended September 27, 2015, primarily due to the $18.7 million loss accrual recorded on the LCASD contract during the three months ended September 25, 2016. Margins in the PSS segment increased to 27.1% for the three months ended September 25, 2016 from 26.0% for the three months ended September 27, 2015, due primarily to the change in strategic focus to smaller, higher margin projects.</w:t>
      </w:r>
    </w:p>
    <w:p>
      <w:pPr>
        <w:spacing w:after="0" w:line="19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was $35.5 million for the three months ended September 25,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$34.9 million for the three months ended September 27, 2015. As a percentage of revenues, SG&amp;A decreased to 21.5% at September 25, 2016 from 21.6% at September 27, 2015, which is primarily due to the increase in revenue discussed above, a $0.2 million decrease in amortization of intangibles, as well as due to cost reduction actions that we took in the first quarter of 2016 resulting in a reduction in personnel in certain of our businesses and the closure of our manufacturing facility in Charleston, South Carolina.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Research and Development (</w:t>
      </w:r>
      <w:r>
        <w:rPr>
          <w:rFonts w:ascii="Arial" w:cs="Arial" w:eastAsia="Arial" w:hAnsi="Arial"/>
          <w:sz w:val="16"/>
          <w:szCs w:val="16"/>
          <w:color w:val="auto"/>
        </w:rPr>
        <w:t>“</w:t>
      </w:r>
      <w:r>
        <w:rPr>
          <w:rFonts w:ascii="Arial" w:cs="Arial" w:eastAsia="Arial" w:hAnsi="Arial"/>
          <w:sz w:val="16"/>
          <w:szCs w:val="16"/>
          <w:i w:val="1"/>
          <w:iCs w:val="1"/>
          <w:color w:val="auto"/>
        </w:rPr>
        <w:t>R&amp;D</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R&amp;D expenses were $3.2 million for the three months ended September 25, 2016 as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 million for the three months ended September 27, 2015. As a percentage of revenues, R&amp;D decreased to 1.9% for the three months ended September 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from 2.2% of revenues in the three months ended September 27, 2015. R&amp;D expenditures are primarily related to investments we are making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conjunction with our customers, with the objectives of the Company’s products being the new platform for or “designed-in” to certain new long-term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opportunities and the Company owning certain intellectual property rights for products that support these programs as well as technology upgrades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refresh activities that are necessary for the next generation of our existing product lines.</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 xml:space="preserve">Unused Office Space, Restructuring Expenses, and Other. </w:t>
      </w:r>
      <w:r>
        <w:rPr>
          <w:rFonts w:ascii="Arial" w:cs="Arial" w:eastAsia="Arial" w:hAnsi="Arial"/>
          <w:sz w:val="16"/>
          <w:szCs w:val="16"/>
          <w:color w:val="auto"/>
        </w:rPr>
        <w:t>The expense of $0.2 million for the three months ended September 25, 2016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costs to move fixed assets and plant equipment from our closed modular systems facility. The expense of $0.4 million for the three months ended September 27, 2015 was primarily due to employee termination costs related to personnel reduction actions taken during the third quarter of 2015.</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$8.6 million from $12.6 million for the three months ended September 25,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2015, respectively. The decrease in expense of $4.0 million is primarily related to the $3.4 million loss on the extinguishment of the Company’s 7% Senior Secured Notes due 2019 (the “Notes”) which resulted from the Company’s repurchase of $175.0 million of Notes following the sale of the Herley Entities in the three months ended September 27, 2015.</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Provision (Benefit) for Income Taxes. </w:t>
      </w:r>
      <w:r>
        <w:rPr>
          <w:rFonts w:ascii="Arial" w:cs="Arial" w:eastAsia="Arial" w:hAnsi="Arial"/>
          <w:sz w:val="17"/>
          <w:szCs w:val="17"/>
          <w:color w:val="auto"/>
        </w:rPr>
        <w:t>Income tax expense (benefit) for the three months ended September 25, 2016 and September 27, 2015 was an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$1.9 million and a benefit of $15.3 million, respectively. For the three months ended September 25, 2016,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accounting principles generally accepted in the U.S. (“GAAP”) and the projected income or loss for the year. For the three months ended September 27, 2015, the tax benefit of $15.3 million was due to the intra-period allocation rules in ASC 740. Intra-period tax allocation rules require the Company to allocate its provision for income taxes between continuing operations and other categories of earnings, such as discontinued operations. In periods in which there is a year-to-date pre-tax loss from continuing operations and pre-tax income in other categories of earnings, such as discontinued operations, the Company must allocate the tax provision to the other categories of earnings. A related tax benefit is then recorded in continuing operations.</w:t>
      </w:r>
    </w:p>
    <w:p>
      <w:pPr>
        <w:spacing w:after="0" w:line="182" w:lineRule="exact"/>
        <w:rPr>
          <w:sz w:val="20"/>
          <w:szCs w:val="20"/>
          <w:color w:val="auto"/>
        </w:rPr>
      </w:pPr>
    </w:p>
    <w:p>
      <w:pPr>
        <w:ind w:right="460" w:firstLine="693"/>
        <w:spacing w:after="0" w:line="342"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The sale of the Herley Entities occurred on August 21, 2015. The net income from discontinued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$50.8 million for the three months ended September 27, 2015 includes the gain on sale of the Herley Entities of $80.3 million.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25, 2016 to the Nine Months Ended September 27, 2015</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nine months ended September 25, 2016 and September 27, 2015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25, 2016</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27, 2015</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Revenues increased $7.0 million to $486.6 million for the nine months ended September 25, 2016 from $479.6 million for the nine months ended September 27, 2015. The increase in revenues was primarily due to increased work in our satellite communications, microwave products, ballistic missile targets and training businesses, offset partially by a decline in our PSS business revenue of $11.2 million due to the wind-down of certain security installation projects and due to the Company’s change in strategic direction for the PSS business, whereby the Company will seek to capture higher margin work and only selectively bid on larger security integration projects that traditionally generate lower margins. The change in strategic focus was expected to result in overall reduced sales for PSS. Revenues in our US segment remained unchanged.</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Product sales increased $12.5 million to $228.6 million for the nine months ended September 25, 2016 from $216.1 million for the nine months ended September 27, 2015, primarily as a result of an increase in product shipments in our KGS segment. As a percentage of total revenue, product sales were 47.0% for the nine months ended September 25, 2016 as compared to 45.1% for the nine months ended September 27, 2015. Service revenues decreased by $5.5 million to $258.0 million for the nine months ended September 25, 2016 from $263.5 million for the nine months ended September 27, 2015. The decrease was primarily related to the change in strategic direction in our PSS segment.</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$19.6 million to $379.6 million for the nine months ended September 25, 2016 from $360.0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27, 2015. The increase in cost of revenues was primarily a result of the $18.7 million loss accrual that was recorded on the LCASD contract in our US segment during the three months ended September 25, 2016.</w:t>
      </w:r>
    </w:p>
    <w:p>
      <w:pPr>
        <w:spacing w:after="0" w:line="18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Gross margin decreased to 22.0% for the nine months ended September 25, 2016 from 24.9% for the nine months ended September 27, 2015. Margins on services increased to 26.6% for the nine months ended September 25, 2016 from 24.7% for the nine months ended September 27, 2015, due primarily to a more favorable mix of revenues. Margins on products decreased to 16.8% for the nine months ended September 25, 2016 from 25.3% for the nine months ended September 27, 2015, primarily due to the mix of products shipped. Margins in the KGS segment increased to 26.1% for the nine months ended September 25, 2016 from 25.1% for the nine months ended September 27, 2015. Margins in the US segment decreased to (16.5)% for the nine months ended September 25, 2016 from 21.7% for the nine months ended September 27, 2015, primarily due to the $18.7 million loss accrual that was recorded during the three months ended September 25, 2016. Margins in the PSS segment increased to 27.5% for the nine months ended September 25, 2016 from 25.9% for the nine months ended September 27, 2015, due primarily to the change in strategic focus to smaller, higher margin projects.</w:t>
      </w:r>
    </w:p>
    <w:p>
      <w:pPr>
        <w:spacing w:after="0" w:line="166"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i w:val="1"/>
          <w:iCs w:val="1"/>
          <w:color w:val="auto"/>
        </w:rPr>
        <w:t xml:space="preserve">SG&amp;A Expenses. </w:t>
      </w:r>
      <w:r>
        <w:rPr>
          <w:rFonts w:ascii="Arial" w:cs="Arial" w:eastAsia="Arial" w:hAnsi="Arial"/>
          <w:sz w:val="18"/>
          <w:szCs w:val="18"/>
          <w:color w:val="auto"/>
        </w:rPr>
        <w:t>SG&amp;A expense was $109.6 million for the nine months ended September 25, 2016 as compared to $112.6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27, 2015. As a percentage of revenues, SG&amp;A decreased to 22.5% at September 25, 2016 from 23.5% at September 27, 2015, which is primarily due to the increase in revenue discussed above and a $2.2 million decrease in amortization of intangibles, as well as due to the impact of cost reduction actions we took in the first quarter of 2016 resulting in a reduction in personnel in certain of our businesses and the closure of our manufacturing facility in Charleston, South Carolina.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R&amp;D expenses were $10.1 million for the nine months ended September 25, 2016 as compared to $11.7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2015. As a percentage of revenues, R&amp;D decreased to 2.1% for the nine months ended September 25, 2016 from 2.4% of revenues in the nine months ended September 27, 2015.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Unused Office Space, Restructuring Expenses, and Other. </w:t>
      </w:r>
      <w:r>
        <w:rPr>
          <w:rFonts w:ascii="Arial" w:cs="Arial" w:eastAsia="Arial" w:hAnsi="Arial"/>
          <w:sz w:val="16"/>
          <w:szCs w:val="16"/>
          <w:color w:val="auto"/>
        </w:rPr>
        <w:t>The expense of $10.5 million for the nine months ended September 25, 2016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 $7.8 million charge that was recorded in the Company’s modular systems business as a result of the closure of one of its manufacturing facilities and the exit from certain lower margin product business lines, a $1.9 million charge related to a litigation settlement of a contract dispute in our PSS business during the first quarter of 2016, and employee termination costs related to personnel reduction actions taken in the first quarter of 2016. The restructuring charge recorded in our modular systems business was comprised of $3.4 million related to fixed and intangible assets, $3.1 million related to exited product lines and $1.3 million related to excess facilities. The expense of $1.3 million for the nine months ended September 27, 2015 was primarily due to employee termination costs related to personnel reduction actions taken during the first three quarters of 2015.</w:t>
      </w:r>
    </w:p>
    <w:p>
      <w:pPr>
        <w:spacing w:after="0" w:line="16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$25.5 million from $31.3 million for the nine months ended September 25,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2015, respectively. The decrease in expense of $5.8 million is primarily related to the $3.4 million loss on the extinguishment of the Company’s 7% Senior Secured Notes due 2019 (the “Notes”) which occurred due to the repurchase of the $175.0 million of Notes in conjunction with the sale of the Herley Entities in the nine months ended September 25, 2016, $1.2 million decrease in interest expense, and $1.2 million related to foreign currency transaction gains in the nine months ended September 25, 2016 as compared to foreign currency transaction losses for the nine months ended September 27, 2015.</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Income tax expense (benefit) for the nine months ended September 25, 2016 and September 27, 2015 was an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$7.3 million and a benefit of $11.1 million, respectively. For the nine months ended September 25, 2016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 The income tax expense for the nine months ended September 25, 2016 includes a discrete tax expense of $1.9 million related to an increase in uncertain tax positions. For the nine months ended September 27, 2015, the tax benefit of $11.1 million was due to the intra-period allocation rules in ASC 740.</w:t>
      </w:r>
    </w:p>
    <w:p>
      <w:pPr>
        <w:spacing w:after="0" w:line="165" w:lineRule="exact"/>
        <w:rPr>
          <w:sz w:val="20"/>
          <w:szCs w:val="20"/>
          <w:color w:val="auto"/>
        </w:rPr>
      </w:pPr>
    </w:p>
    <w:p>
      <w:pPr>
        <w:ind w:right="460" w:firstLine="693"/>
        <w:spacing w:after="0" w:line="342"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The sale of the Herley Entities occurred on August 21, 2015. The net income from discontinued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$50.0 million for the nine months ended September 27, 2015 includes the gain on sale of the Herley Entities of $80.3 million.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September 25, 2016 and September 27, 2015, our backlog was approximately $900.9 million and $960.7 million, respectively, of which $582.4 million was funded in 2016 and $551.5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of September 25, 2016, we had cash and cash equivalents of $20.5 million compared with cash and cash equivalents of $28.5 million as of December 27, 2015, which includes $6.3 million and $10.8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we believe that they could be repatriated, and their repatriation into the U.S. may cause us to incur additional U.S. income taxes or foreign withholding taxes. We expect that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total debt, including capital lease obligations, principal due on our Notes, and other term debt increased from $445.1 million at December 27, 2015 to $446.0 million at September 25, 2016, due to the amortization of the discount on our Notes and the amortization of deferred financing costs, partially offset by the principal payment required on our ten-year term loan with a bank in Israel.</w:t>
      </w:r>
    </w:p>
    <w:p>
      <w:pPr>
        <w:spacing w:after="0" w:line="181"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Our operating cash flow is used to, among other things, finance trade accounts receivable, inventory, capital expenditures, support ongoing operations, fund investments for new products and offerings, service our debt and make strategic acquisitions. Cash from continuing operations is primarily derived from our customer contracts in progress and associated changes in working capital components. Our Days Sales Outstanding (“DSOs”) have increased from 106 days at December 27, 2015 to 114 days as of September 25, 2016, primarily as a result of certain contractual billing milestones that have not yet been attained, such as equipment shipments and deliveries on certain products, and for certain flight requirements that must be fulfilled on certain aerial target programs, and therefore we are unable to contractually bill for amounts outstanding related to those milestones at this time. In addition, during the first quarter of fiscal 2016 we invoiced sizable advanced billings on certain contracts for which work has not yet commenced or has recently commenced and therefore expected revenue has not yet been earned or recorded, which resulted in an increase to our DSOs. As work is performed and revenue is earned and recorded on these projects, the DSOs related to these projects are expected to reduce. The challenging DoD budgetary environment described above, which has in certain instances caused delays in obtaining funding necessary to proceed with payments, has contributed to the increase in our DSOs as well.</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summary of our net cash used in operating activities from continuing operations, investing activities, and financing activities and our cash flows from discontinued operations from our condensed consolidated statements of cash flows is as follows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2015</w:t>
            </w:r>
          </w:p>
        </w:tc>
      </w:tr>
      <w:tr>
        <w:trPr>
          <w:trHeight w:val="250"/>
        </w:trPr>
        <w:tc>
          <w:tcPr>
            <w:tcW w:w="8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 from continuing operations</w:t>
            </w:r>
          </w:p>
        </w:tc>
        <w:tc>
          <w:tcPr>
            <w:tcW w:w="4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8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investing cash flows of discontinued operations</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240.3</w:t>
            </w:r>
          </w:p>
        </w:tc>
      </w:tr>
      <w:tr>
        <w:trPr>
          <w:trHeight w:val="27"/>
        </w:trPr>
        <w:tc>
          <w:tcPr>
            <w:tcW w:w="8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Net cash used in operating activities from continuing operations for the nine months ended September 25, 2016 and September 27, 2015 was negatively impacted by our net loss and changes in working capital accounts.</w:t>
      </w:r>
    </w:p>
    <w:p>
      <w:pPr>
        <w:spacing w:after="0" w:line="170" w:lineRule="exact"/>
        <w:rPr>
          <w:sz w:val="20"/>
          <w:szCs w:val="20"/>
          <w:color w:val="auto"/>
        </w:rPr>
      </w:pPr>
    </w:p>
    <w:p>
      <w:pPr>
        <w:ind w:right="100" w:firstLine="693"/>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25, 2016 is comprised of capital expenditures, which consist primarily of investment in machinery, computer hardware and software and improvement of our physical properties in order to maintain suitable conditions in which to conduct our business. Net cash used in investing activities for the nine months ended September 27, 2015 is primarily driven by capital expenditures, offset by a reduction in our restricted cash balances.</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Net cash provided by financing activities from continuing operations for the nine months ended September 25, 2016 was primarily proceeds from our employee stock purchase plan. Net cash flows used in financing activities from continuing operations for the nine months ended September 27, 2015 was primarily due to the repurchase of $175.0 million of our 7% Notes and the repayment of $41.0 million outstanding on our Credit Agreement.</w:t>
      </w:r>
    </w:p>
    <w:p>
      <w:pPr>
        <w:spacing w:after="0" w:line="147"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investing cash flow from discontinued operations for the nine months ended September 25, 2016 reflects cash provided of $4.3 million, primarily related to the reimbursement of taxes related to the Transaction. The operating cash flow from discontinued operations for the nine month period ended September 27, 2015 is substantially related to the Herley Entities. The investing cash flow from discontinued operations for the nine months ended September 27, 2015 reflects cash provided of $240.3 million, which is related to the sale of the Herley Entities.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that our capital expenditures will increase in the next 24 to 30 months as we produce and manufacture two Company-owned air vehicles, production tooling equipment for manufacture, and related launch equipment related to our Low-Cost Attritable Strike Unmanned Aerial System demonstration contract in our unmanned systems segment. The expected capital expenditures related to this project are estimated to be approximately $14.2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7.00% Senior Secured Notes due 2019</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May 2014, we refinanced our $625.0 million 10% Senior Secured Notes due in 2017 (the “10% Notes”) with $625.0 million of newly issued Notes. The net proceeds from the issuance of the Notes was $618.5 million after an original issue discount of $6.5 million. We incurred debt issuance costs of $8.8 million associated with the new Notes. We utilized the net proceeds from the Notes, a $41.0 million draw on our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completed the offering of the Notes in a private placement conducted pursuant to Rule 144A and Regulation S under the Securities Act of 1933, as amended (the “Act”). The Notes are governed by the Indenture among us, the Subsidiary Guarantors and Wilmington Trust, National Association, as Trustee and Collateral Agent. A Subsidiary Guarantor can be released from its guarantee (a) if all of the Capital Stock (as defined by the Indenture) issued by such Subsidiary Guarantor or all or substantially all of the assets of such Subsidiary Guarantor are sold or otherwise disposed of; (b) if we designate such Subsidiary Guarantor as an Unrestricted Subsidiary (as defined by the Indenture); (c) if we exercised our legal defeasance option or our covenant defeasance option; or (d) upon satisfaction and discharge of the Indenture or payment in full in cash of the principal of, premium, if any,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accrued and unpaid interest.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the Notes have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Notes have a second priority lien junior to our $110.0 million Credit Agreement.</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pay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25, 2016, we were in compliance with the covenants contained in the Indenture governing the Notes.</w:t>
      </w:r>
    </w:p>
    <w:p>
      <w:pPr>
        <w:spacing w:after="0" w:line="19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6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October 16, 2014, we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terms of the Indenture require that the net cash proceeds from asset dispositions be utilized, as applicable, to (i) repay or prepay amounts outstanding under our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(ii) and (iii), such amounts are required to be utilized to repurchase Notes at par after 360 days following the asset disposition.</w:t>
      </w:r>
    </w:p>
    <w:p>
      <w:pPr>
        <w:spacing w:after="0" w:line="17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Following the sale of our U.S. and U.K. Electronic Products Division (see Note 2 of the Notes to the Condensed Consolidated Financial Statements), on September 22, 2015, we repurchased $175.0 million of the Notes at par, in accordance with the Indenture and on August 21, 2015 we paid down the $41.0 million outstanding on our $110.0 million Credit Agreement.</w:t>
      </w:r>
    </w:p>
    <w:p>
      <w:pPr>
        <w:spacing w:after="0" w:line="18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total reacquisition price of the Notes was $178.4 million, including the write off of $1.8 million of unamortized issue costs, $1.4 million of unamortized discount, along with $0.2 million of legal fees, which resulted in a loss on extinguishment of debt of $3.4 million.</w:t>
      </w:r>
    </w:p>
    <w:p>
      <w:pPr>
        <w:spacing w:after="0" w:line="14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September 25, 2016, we have reinvested all net proceeds remaining after the repurchase of the $175.0 million of Notes in replacement collateral under the Indenture within 360 days following the asset disposition.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25, 2016, there was $450.0 million in Notes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14, 2014, we replaced our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our assets and the assets of the guarantors thereunder, subject to certain exceptions and permitted liens. Our obligations under the Credit Agreement are secured by a first priority lien on our accounts receivable, inventory, deposit accounts, securities accounts, cash, securities and general intangibles (other than intellectual property). Our obligations under the Credit Agreement are secured by a second priority lien, junior to the lien securing the Notes, on all of our other assets.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September 25, 2016,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firstLine="8"/>
        <w:spacing w:after="0" w:line="270" w:lineRule="auto"/>
        <w:tabs>
          <w:tab w:leader="none" w:pos="32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then-held eligible raw materials inventory, work-in-process inventory, and applicable reserves.</w:t>
      </w:r>
    </w:p>
    <w:p>
      <w:pPr>
        <w:spacing w:after="0" w:line="17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consolidated interest expense in connection with the repurchase of Notes with proceeds from the sale of the Herley Entities will be deemed to have occurred on the first day of the most recently completed four quarterly reporting periods prior to the sale.</w:t>
      </w:r>
    </w:p>
    <w:p>
      <w:pPr>
        <w:spacing w:after="0" w:line="17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September 25, 2016, there was no reserve on the maximum borrowings, resulting from a cumulative reinvestment in similar collateral assets since the sale of the Herley Entities in excess of the $50.8 million reserve established at the date of the sale of the Herley Entities. We made investments in assets that replaced the collateral, which reinstated the maximum facility to the full $110.0 million as of the end of the first quarter of 2016.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August 19,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up to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September 25, 2016, there were no borrowings outstanding on the Credit Agreement and $11.2 million was outstanding on letters of credit, resulting in net borrowing base availability of $44.8 million. We were in compliance with the financial covenants as of September 25, 2016.</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firstLine="690"/>
        <w:spacing w:after="0" w:line="257" w:lineRule="auto"/>
        <w:rPr>
          <w:sz w:val="20"/>
          <w:szCs w:val="20"/>
          <w:color w:val="auto"/>
        </w:rPr>
      </w:pPr>
      <w:r>
        <w:rPr>
          <w:rFonts w:ascii="Arial" w:cs="Arial" w:eastAsia="Arial" w:hAnsi="Arial"/>
          <w:sz w:val="18"/>
          <w:szCs w:val="18"/>
          <w:color w:val="auto"/>
        </w:rPr>
        <w:t>We assumed a $10.0 million ten-year term loan with a bank in Israel entered into on September 16, 2008 in connection with the acquisition of one of its wholly owned subsidiaries. The balance under the term loan as of September 25, 2016 was $2.0 million, and the loan is payable in quarterly installments of $0.3 million plus interest at LIBOR plus a margin of 1.5%. The loan agreement governing the term loan contains various covenants, including a minimum net equity covenant as defined in the loan agreement. We were in compliance with the financial covenants contained in the loan agreement as of September 25,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on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As described in Note 1 to the Condensed Consolidated Financial Statements, we adopted Accounting Standards Update 2015-01, </w:t>
      </w:r>
      <w:r>
        <w:rPr>
          <w:rFonts w:ascii="Arial" w:cs="Arial" w:eastAsia="Arial" w:hAnsi="Arial"/>
          <w:sz w:val="17"/>
          <w:szCs w:val="17"/>
          <w:i w:val="1"/>
          <w:iCs w:val="1"/>
          <w:color w:val="auto"/>
        </w:rPr>
        <w:t>Income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Extraordinary and Unusual Items (Subtopic 225-20): Simplifying Income Statement Presentation by Eliminating the Concept of Extraordinary Items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 period ended March 27, 2016. Other than the adoption of ASU 2015-01, there have been no significant changes to our “Critical Accounting Policies or Estimates” as compared to the significant accounting policies described in the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6"/>
          <w:szCs w:val="16"/>
          <w:b w:val="1"/>
          <w:bCs w:val="1"/>
          <w:color w:val="auto"/>
        </w:rPr>
        <w:t>“</w:t>
      </w:r>
      <w:r>
        <w:rPr>
          <w:rFonts w:ascii="Arial" w:cs="Arial" w:eastAsia="Arial" w:hAnsi="Arial"/>
          <w:sz w:val="16"/>
          <w:szCs w:val="16"/>
          <w:color w:val="auto"/>
        </w:rPr>
        <w:t>Contractual Obligations and Commitments” above. Based on our current outstanding balance, a 1% change in the LIBOR would not significantly impact our financial position. We manage exposure to these risks through our operating and financing activities and, when deemed appropriate, through the use of derivative financial instruments. Derivative financial instruments are viewed as risk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management tools and are not used for speculation or for trading purposes. Derivative financial instruments would be contracted with investment grade counterparties to reduce exposure to nonperformance.</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enter into limited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cash and cash equivalents as of September 25, 2016 were $20.5 million and are primarily invested in money market interest bearing accounts. A hypothetical 10% adverse change in the average interest rate on our money market cash investments and short-term investments would have had no material effect on our net loss for the nine months ended September 25,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25,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September 25, 2016 that has materially affected, or is reasonably likely to materially affect, our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(which are hereby incorporated by reference),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125" w:right="14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Stock Purchase Agreement, dated May 31,</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2015, among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Solutions, Inc., Herley Industries, Inc., Ultra</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Electronics Defense Inc. and Ultra</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Electronics Holdings plc.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Amended and Restated Certificate of Incorporation of</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Certificate of Ownership and Merger of Kratos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09/14/2007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Defense &amp; Security Solutions, Inc. into Wireless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Facilities,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Certificate of Amendment to Amended and Restated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11/3/2009</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Certificate of Incorporation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Solutions,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Certificate of Designations, Preferences and Rights of</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Series A Preferred Stock.</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Certificate of Designations, Preferences and Rights of</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06/5/2002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Series B Preferred Stock (included as Exhibit A to the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3"/>
              </w:rPr>
              <w:t>Preferred Stock Purchase Agreement dated as of May 16,</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2002 among the Company, Meritech Capital Partners II</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L.P., Meritech Capital Affiliates II L.P., MCB</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3"/>
              </w:rPr>
              <w:t>Entrepreneur Partners II L.P., Oak Investment Partners X,</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Limited Partnership, Oak X Affiliates Fund, Limited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Partnership, Oak Investment Partners IX, L.P., Oak</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Affiliates Fund, L.P., Oak IX Affiliates Fund-A, L.P.,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the KLS Trust dated July 14, 1999).</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Certificate of Designation of the Series C Preferred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12/17/2004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Stock.</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Second Amended and Restated Bylaws of Kratos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03/15/2011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Defense &amp; Security Solutions,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Amendment to the Second Amended and Restated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11/07/2014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Bylaws of Kratos Defense &amp; Security Solutions,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Specimen Stock Certificate.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03/02/2011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Indenture, dated as of May 14, 2014, among Kratos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Defense &amp; Security Solutions, Inc., as Issuer, the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5"/>
              </w:rPr>
              <w:t>Guarantors party thereto, and Wilmington Trust, National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Association, as Trustee and Collateral Agent (including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the Form of 7.00% Senior Secured Notes due 2019).</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Registration Rights Agreement, dated as of May 14,</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2014, among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as Issuer, the Guarantors party thereto, and SunTrust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color w:val="auto"/>
        </w:rPr>
        <w:t>Robinson Humphrey, Inc., as Representative of the Initial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Purchasers.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Employment Agreement effective August 5, 2016, by and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83"/>
              <w:spacing w:after="0"/>
              <w:rPr>
                <w:sz w:val="20"/>
                <w:szCs w:val="20"/>
                <w:color w:val="auto"/>
              </w:rPr>
            </w:pPr>
            <w:r>
              <w:rPr>
                <w:rFonts w:ascii="Arial" w:cs="Arial" w:eastAsia="Arial" w:hAnsi="Arial"/>
                <w:sz w:val="18"/>
                <w:szCs w:val="18"/>
                <w:color w:val="auto"/>
              </w:rPr>
              <w:t>8/9/2016</w:t>
            </w:r>
          </w:p>
        </w:tc>
        <w:tc>
          <w:tcPr>
            <w:tcW w:w="100" w:type="dxa"/>
            <w:vAlign w:val="bottom"/>
          </w:tcPr>
          <w:p>
            <w:pPr>
              <w:spacing w:after="0"/>
              <w:rPr>
                <w:sz w:val="19"/>
                <w:szCs w:val="19"/>
                <w:color w:val="auto"/>
              </w:rPr>
            </w:pPr>
          </w:p>
        </w:tc>
        <w:tc>
          <w:tcPr>
            <w:tcW w:w="1360" w:type="dxa"/>
            <w:vAlign w:val="bottom"/>
          </w:tcPr>
          <w:p>
            <w:pPr>
              <w:jc w:val="right"/>
              <w:ind w:right="439"/>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between Kratos Defense &amp; Security Solutions, Inc.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63"/>
              <w:spacing w:after="0"/>
              <w:rPr>
                <w:sz w:val="20"/>
                <w:szCs w:val="20"/>
                <w:color w:val="auto"/>
              </w:rPr>
            </w:pPr>
            <w:r>
              <w:rPr>
                <w:rFonts w:ascii="Arial" w:cs="Arial" w:eastAsia="Arial" w:hAnsi="Arial"/>
                <w:sz w:val="18"/>
                <w:szCs w:val="18"/>
                <w:color w:val="auto"/>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Gerald Beaman.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18</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U.S.C. Section 1350, as adopted pursuant to Section 906</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of the Sarbanes-Oxley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18</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U.S.C. Section 1350, as adopted pursuant to Section 906</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of the Sarbanes-Oxley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for the quarter ended September 25, 2016 formatted 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XBRL: (i) the Condensed Consolidated Balance Sheets,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5980" w:firstLine="5"/>
        <w:spacing w:after="0" w:line="295" w:lineRule="auto"/>
        <w:tabs>
          <w:tab w:leader="none" w:pos="15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and Comprehensive Loss, (iii) the Condensed Consolidated Statements of Cash Flows, (iv) the Notes to the Condensed Consolidated Financial Statements.</w:t>
      </w:r>
    </w:p>
    <w:p>
      <w:pPr>
        <w:spacing w:after="0" w:line="200" w:lineRule="exact"/>
        <w:rPr>
          <w:rFonts w:ascii="Arial" w:cs="Arial" w:eastAsia="Arial" w:hAnsi="Arial"/>
          <w:sz w:val="16"/>
          <w:szCs w:val="16"/>
          <w:color w:val="auto"/>
        </w:rPr>
      </w:pPr>
    </w:p>
    <w:p>
      <w:pPr>
        <w:spacing w:after="0" w:line="366" w:lineRule="exact"/>
        <w:rPr>
          <w:rFonts w:ascii="Arial" w:cs="Arial" w:eastAsia="Arial" w:hAnsi="Arial"/>
          <w:sz w:val="16"/>
          <w:szCs w:val="16"/>
          <w:color w:val="auto"/>
        </w:rPr>
      </w:pPr>
    </w:p>
    <w:p>
      <w:pPr>
        <w:ind w:right="540" w:firstLine="8"/>
        <w:spacing w:after="0" w:line="308" w:lineRule="auto"/>
        <w:tabs>
          <w:tab w:leader="none" w:pos="2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2, 2016</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2016</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2016</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6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25, 2016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7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25, 2016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2"/>
    </w:lvl>
  </w:abstractNum>
  <w:abstractNum w:abstractNumId="4">
    <w:nsid w:val="66EF438D"/>
    <w:multiLevelType w:val="hybridMultilevel"/>
    <w:lvl w:ilvl="0">
      <w:lvlJc w:val="left"/>
      <w:lvlText w:val="(%1)"/>
      <w:numFmt w:val="lowerLetter"/>
      <w:start w:val="3"/>
    </w:lvl>
  </w:abstractNum>
  <w:abstractNum w:abstractNumId="5">
    <w:nsid w:val="140E0F76"/>
    <w:multiLevelType w:val="hybridMultilevel"/>
    <w:lvl w:ilvl="0">
      <w:lvlJc w:val="left"/>
      <w:lvlText w:val="(%1)"/>
      <w:numFmt w:val="lowerLetter"/>
      <w:start w:val="6"/>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Roman"/>
      <w:start w:val="3"/>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lowerRoman"/>
      <w:start w:val="3"/>
    </w:lvl>
  </w:abstractNum>
  <w:abstractNum w:abstractNumId="13">
    <w:nsid w:val="4E6AFB66"/>
    <w:multiLevelType w:val="hybridMultilevel"/>
    <w:lvl w:ilvl="0">
      <w:lvlJc w:val="left"/>
      <w:lvlText w:val="#"/>
      <w:numFmt w:val="bullet"/>
      <w:start w:val="1"/>
    </w:lvl>
    <w:lvl w:ilvl="1">
      <w:lvlJc w:val="left"/>
      <w:lvlText w:val="(%2)"/>
      <w:numFmt w:val="lowerRoman"/>
      <w:start w:val="2"/>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2019-12-29T09:40:58Z</dcterms:created>
  <dcterms:modified xsi:type="dcterms:W3CDTF">2019-12-29T09:40:58Z</dcterms:modified>
</cp:coreProperties>
</file>