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6"/>
        </w:rPr>
      </w:pPr>
      <w:r>
        <w:rPr>
          <w:rFonts w:ascii="Times New Roman;serif" w:hAnsi="Times New Roman;serif"/>
          <w:b/>
          <w:color w:val="000000"/>
          <w:sz w:val="26"/>
        </w:rPr>
        <w:t>UNITED STATES</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SECURITIES AND EXCHANGE COMMISSION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72"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44" w:after="283"/>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May 15, 2026</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Date of Report (Date of earliest event reported)</w:t>
      </w:r>
    </w:p>
    <w:p>
      <w:pPr>
        <w:pStyle w:val="TextBody"/>
        <w:bidi w:val="0"/>
        <w:spacing w:lineRule="auto" w:line="288" w:before="0" w:after="0"/>
        <w:jc w:val="center"/>
        <w:rPr/>
      </w:pPr>
      <w:r>
        <w:rPr>
          <w:rFonts w:ascii="Times New Roman;serif" w:hAnsi="Times New Roman;serif"/>
          <w:b/>
          <w:color w:val="000000"/>
          <w:sz w:val="36"/>
        </w:rPr>
        <w:t>KRATOS DEFENSE &amp; SECURITY SOLUTIONS, INC.</w:t>
      </w:r>
      <w:r>
        <w:rPr>
          <w:color w:val="000000"/>
        </w:rPr>
        <w:t xml:space="preserve">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6353" w:type="dxa"/>
        <w:jc w:val="left"/>
        <w:tblInd w:w="0" w:type="dxa"/>
        <w:tblLayout w:type="fixed"/>
        <w:tblCellMar>
          <w:top w:w="28" w:type="dxa"/>
          <w:left w:w="28" w:type="dxa"/>
          <w:bottom w:w="28" w:type="dxa"/>
          <w:right w:w="28" w:type="dxa"/>
        </w:tblCellMar>
      </w:tblPr>
      <w:tblGrid>
        <w:gridCol w:w="905"/>
        <w:gridCol w:w="795"/>
        <w:gridCol w:w="804"/>
        <w:gridCol w:w="109"/>
        <w:gridCol w:w="109"/>
        <w:gridCol w:w="109"/>
        <w:gridCol w:w="394"/>
        <w:gridCol w:w="394"/>
        <w:gridCol w:w="398"/>
        <w:gridCol w:w="109"/>
        <w:gridCol w:w="109"/>
        <w:gridCol w:w="109"/>
        <w:gridCol w:w="586"/>
        <w:gridCol w:w="586"/>
        <w:gridCol w:w="837"/>
      </w:tblGrid>
      <w:tr>
        <w:trPr/>
        <w:tc>
          <w:tcPr>
            <w:tcW w:w="90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001-34460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13-3818604</w:t>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Number)</w:t>
            </w:r>
          </w:p>
        </w:tc>
      </w:tr>
    </w:tbl>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2"/>
        </w:rPr>
        <w:t>1 Chisholm Trail</w:t>
      </w:r>
      <w:r>
        <w:rPr>
          <w:color w:val="000000"/>
        </w:rPr>
        <w:t xml:space="preserve"> </w:t>
      </w:r>
      <w:r>
        <w:rPr>
          <w:rFonts w:ascii="Times New Roman;serif" w:hAnsi="Times New Roman;serif"/>
          <w:b w:val="false"/>
          <w:color w:val="000000"/>
          <w:sz w:val="22"/>
        </w:rPr>
        <w:br/>
      </w:r>
      <w:r>
        <w:rPr>
          <w:rFonts w:ascii="Times New Roman;serif" w:hAnsi="Times New Roman;serif"/>
          <w:b/>
          <w:color w:val="000000"/>
          <w:sz w:val="22"/>
        </w:rPr>
        <w:t>Round Rock, TX 92131</w:t>
      </w:r>
      <w:r>
        <w:rPr>
          <w:color w:val="000000"/>
        </w:rPr>
        <w:t xml:space="preserve"> </w:t>
      </w:r>
      <w:r>
        <w:rPr>
          <w:rFonts w:ascii="Times New Roman;serif" w:hAnsi="Times New Roman;serif"/>
          <w:b w:val="false"/>
          <w:color w:val="000000"/>
          <w:sz w:val="22"/>
        </w:rPr>
        <w:b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(512) 238-9840</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(Former name or former address, if changed since last report.)</w:t>
      </w:r>
    </w:p>
    <w:p>
      <w:pPr>
        <w:pStyle w:val="TextBody"/>
        <w:bidi w:val="0"/>
        <w:spacing w:lineRule="auto" w:line="288" w:before="144" w:after="283"/>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tbl>
      <w:tblPr>
        <w:tblW w:w="7796" w:type="dxa"/>
        <w:jc w:val="center"/>
        <w:tblInd w:w="0" w:type="dxa"/>
        <w:tblLayout w:type="fixed"/>
        <w:tblCellMar>
          <w:top w:w="28" w:type="dxa"/>
          <w:left w:w="28" w:type="dxa"/>
          <w:bottom w:w="28" w:type="dxa"/>
          <w:right w:w="28" w:type="dxa"/>
        </w:tblCellMar>
      </w:tblPr>
      <w:tblGrid>
        <w:gridCol w:w="124"/>
        <w:gridCol w:w="109"/>
        <w:gridCol w:w="109"/>
        <w:gridCol w:w="2180"/>
        <w:gridCol w:w="2180"/>
        <w:gridCol w:w="30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30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bl>
    <w:tbl>
      <w:tblPr>
        <w:tblW w:w="7826" w:type="dxa"/>
        <w:jc w:val="center"/>
        <w:tblInd w:w="0" w:type="dxa"/>
        <w:tblLayout w:type="fixed"/>
        <w:tblCellMar>
          <w:top w:w="28" w:type="dxa"/>
          <w:left w:w="28" w:type="dxa"/>
          <w:bottom w:w="28" w:type="dxa"/>
          <w:right w:w="28" w:type="dxa"/>
        </w:tblCellMar>
      </w:tblPr>
      <w:tblGrid>
        <w:gridCol w:w="124"/>
        <w:gridCol w:w="109"/>
        <w:gridCol w:w="109"/>
        <w:gridCol w:w="2188"/>
        <w:gridCol w:w="2188"/>
        <w:gridCol w:w="31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31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Soliciting material pursuant to Rule 14a-12 under the Exchange Act (17 CFR 240.14a-12) </w:t>
            </w:r>
          </w:p>
        </w:tc>
      </w:tr>
    </w:tbl>
    <w:tbl>
      <w:tblPr>
        <w:tblW w:w="9566" w:type="dxa"/>
        <w:jc w:val="center"/>
        <w:tblInd w:w="0" w:type="dxa"/>
        <w:tblLayout w:type="fixed"/>
        <w:tblCellMar>
          <w:top w:w="28" w:type="dxa"/>
          <w:left w:w="28" w:type="dxa"/>
          <w:bottom w:w="28" w:type="dxa"/>
          <w:right w:w="28" w:type="dxa"/>
        </w:tblCellMar>
      </w:tblPr>
      <w:tblGrid>
        <w:gridCol w:w="124"/>
        <w:gridCol w:w="109"/>
        <w:gridCol w:w="109"/>
        <w:gridCol w:w="2702"/>
        <w:gridCol w:w="2702"/>
        <w:gridCol w:w="38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38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14d-2(b) under the Exchange Act (17 CFR 240.14d-2(b)) </w:t>
            </w:r>
          </w:p>
        </w:tc>
      </w:tr>
    </w:tbl>
    <w:tbl>
      <w:tblPr>
        <w:tblW w:w="9507" w:type="dxa"/>
        <w:jc w:val="center"/>
        <w:tblInd w:w="0" w:type="dxa"/>
        <w:tblLayout w:type="fixed"/>
        <w:tblCellMar>
          <w:top w:w="28" w:type="dxa"/>
          <w:left w:w="28" w:type="dxa"/>
          <w:bottom w:w="28" w:type="dxa"/>
          <w:right w:w="28" w:type="dxa"/>
        </w:tblCellMar>
      </w:tblPr>
      <w:tblGrid>
        <w:gridCol w:w="124"/>
        <w:gridCol w:w="109"/>
        <w:gridCol w:w="109"/>
        <w:gridCol w:w="2685"/>
        <w:gridCol w:w="2685"/>
        <w:gridCol w:w="37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7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13e-4(c) under the Exchange Act (17 CFR 240.13e-4(c)) </w:t>
            </w:r>
          </w:p>
        </w:tc>
      </w:tr>
    </w:tbl>
    <w:p>
      <w:pPr>
        <w:pStyle w:val="TextBody"/>
        <w:bidi w:val="0"/>
        <w:spacing w:before="20" w:after="283"/>
        <w:jc w:val="left"/>
        <w:rPr/>
      </w:pPr>
      <w:r>
        <w:rPr/>
      </w:r>
    </w:p>
    <w:p>
      <w:pPr>
        <w:pStyle w:val="TextBody"/>
        <w:bidi w:val="0"/>
        <w:spacing w:lineRule="auto" w:line="288" w:before="0" w:after="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28" w:type="dxa"/>
        <w:jc w:val="center"/>
        <w:tblInd w:w="0" w:type="dxa"/>
        <w:tblLayout w:type="fixed"/>
        <w:tblCellMar>
          <w:top w:w="28" w:type="dxa"/>
          <w:left w:w="28" w:type="dxa"/>
          <w:bottom w:w="28" w:type="dxa"/>
          <w:right w:w="28" w:type="dxa"/>
        </w:tblCellMar>
      </w:tblPr>
      <w:tblGrid>
        <w:gridCol w:w="1024"/>
        <w:gridCol w:w="900"/>
        <w:gridCol w:w="910"/>
        <w:gridCol w:w="589"/>
        <w:gridCol w:w="589"/>
        <w:gridCol w:w="591"/>
        <w:gridCol w:w="1118"/>
        <w:gridCol w:w="1118"/>
        <w:gridCol w:w="1589"/>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176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KTOS</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before="220" w:after="283"/>
        <w:jc w:val="center"/>
        <w:rPr/>
      </w:pPr>
      <w:r>
        <w:rPr/>
      </w:r>
    </w:p>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as defined in Rule 405 of the Securities Act of 1933 (§230.405 of this chapter) or Rule 12b-2 of the Securities Exchange Act of 1934 (§240.12b-2 of this chapter).</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On May 12, 2026, the Company held its Annual Meeting. As of the record date for the Annual Meeting, there were 187,333,628 shares of the Company’s common stock outstanding. At the Annual Meeting, the holders of 163,944,621 shares were represented in person or by proxy. Set forth below is a brief description of each matter acted upon by the stockholders of the Company at the Annual Meeting and the final voting results for each such proposal. These proposals are set out in more detail in the Company’s Proxy Statement.</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1. The stockholders considered a proposal to elect each of the individuals named below as directors to serve until the next annual meeting or until their successors are duly elected and qualified. The nominees for election to the Board of Directors were elected, each to serve until the next annual meeting, based upon the following votes:</w:t>
      </w:r>
    </w:p>
    <w:tbl>
      <w:tblPr>
        <w:tblW w:w="6074" w:type="dxa"/>
        <w:jc w:val="center"/>
        <w:tblInd w:w="0" w:type="dxa"/>
        <w:tblLayout w:type="fixed"/>
        <w:tblCellMar>
          <w:top w:w="28" w:type="dxa"/>
          <w:left w:w="28" w:type="dxa"/>
          <w:bottom w:w="28" w:type="dxa"/>
          <w:right w:w="28" w:type="dxa"/>
        </w:tblCellMar>
      </w:tblPr>
      <w:tblGrid>
        <w:gridCol w:w="564"/>
        <w:gridCol w:w="495"/>
        <w:gridCol w:w="500"/>
        <w:gridCol w:w="593"/>
        <w:gridCol w:w="593"/>
        <w:gridCol w:w="126"/>
        <w:gridCol w:w="540"/>
        <w:gridCol w:w="541"/>
        <w:gridCol w:w="291"/>
        <w:gridCol w:w="109"/>
        <w:gridCol w:w="109"/>
        <w:gridCol w:w="109"/>
        <w:gridCol w:w="540"/>
        <w:gridCol w:w="541"/>
        <w:gridCol w:w="423"/>
      </w:tblGrid>
      <w:tr>
        <w:trPr/>
        <w:tc>
          <w:tcPr>
            <w:tcW w:w="56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Nominee</w:t>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w:t>
            </w:r>
          </w:p>
        </w:tc>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Broker</w:t>
              <w:br/>
              <w:t>Non-Votes</w:t>
            </w:r>
          </w:p>
        </w:tc>
      </w:tr>
      <w:tr>
        <w:trPr/>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Anderson</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133,987,961 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9,972,861 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19,983,799 </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Bradley Boyd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143,476,284 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484,538 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19,983,799 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DeMarco</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142,865,781 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1,095,041 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19,983,799 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Bobbi Doorenbos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141,611,070 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2,349,752 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19,983,799 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Hoglund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129,413,145 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14,547,677 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19,983,799 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 Jarvis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132,134,404 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11,826,418 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19,983,799 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King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143,485,906 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474,916 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19,983,799 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Deanna Lund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132,986,601 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10,974,221 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19,983,799 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Amy Zegart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130,003,985 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13,956,837 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19,983,799 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2. The stockholders considered a proposal to ratify the selection of Deloitte &amp; Touche LLP as the Company’s independent registered public accounting firm for the fiscal year ending December 27, 2026. This proposal was approved based upon the following votes:</w:t>
      </w:r>
    </w:p>
    <w:tbl>
      <w:tblPr>
        <w:tblW w:w="2091" w:type="dxa"/>
        <w:jc w:val="center"/>
        <w:tblInd w:w="0" w:type="dxa"/>
        <w:tblLayout w:type="fixed"/>
        <w:tblCellMar>
          <w:top w:w="28" w:type="dxa"/>
          <w:left w:w="28" w:type="dxa"/>
          <w:bottom w:w="28" w:type="dxa"/>
          <w:right w:w="28" w:type="dxa"/>
        </w:tblCellMar>
      </w:tblPr>
      <w:tblGrid>
        <w:gridCol w:w="270"/>
        <w:gridCol w:w="238"/>
        <w:gridCol w:w="243"/>
        <w:gridCol w:w="593"/>
        <w:gridCol w:w="593"/>
        <w:gridCol w:w="154"/>
      </w:tblGrid>
      <w:tr>
        <w:trPr/>
        <w:tc>
          <w:tcPr>
            <w:tcW w:w="27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162,870,324 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Against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Abstain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 The stockholders considered a proposal to approve an amendment to the Company’s Certificate of Incorporation to increase the number of authorized shares of Common Stock from 195,000,000 to 245,000,000, as presented in the Company’s Proxy Statement. This proposal was approved based upon the following votes:</w:t>
      </w:r>
    </w:p>
    <w:tbl>
      <w:tblPr>
        <w:tblW w:w="2091" w:type="dxa"/>
        <w:jc w:val="center"/>
        <w:tblInd w:w="0" w:type="dxa"/>
        <w:tblLayout w:type="fixed"/>
        <w:tblCellMar>
          <w:top w:w="28" w:type="dxa"/>
          <w:left w:w="28" w:type="dxa"/>
          <w:bottom w:w="28" w:type="dxa"/>
          <w:right w:w="28" w:type="dxa"/>
        </w:tblCellMar>
      </w:tblPr>
      <w:tblGrid>
        <w:gridCol w:w="270"/>
        <w:gridCol w:w="238"/>
        <w:gridCol w:w="243"/>
        <w:gridCol w:w="593"/>
        <w:gridCol w:w="593"/>
        <w:gridCol w:w="154"/>
      </w:tblGrid>
      <w:tr>
        <w:trPr/>
        <w:tc>
          <w:tcPr>
            <w:tcW w:w="27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161,513,573 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Against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Abstain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4. The stockholders considered a proposal to approve an amendment to the Company’s Certificate of Incorporation to provide for officer exculpation, as presented in the Company’s Proxy Statement. This proposal was approved based upon the following votes:</w:t>
      </w:r>
    </w:p>
    <w:tbl>
      <w:tblPr>
        <w:tblW w:w="2930" w:type="dxa"/>
        <w:jc w:val="center"/>
        <w:tblInd w:w="0" w:type="dxa"/>
        <w:tblLayout w:type="fixed"/>
        <w:tblCellMar>
          <w:top w:w="28" w:type="dxa"/>
          <w:left w:w="28" w:type="dxa"/>
          <w:bottom w:w="28" w:type="dxa"/>
          <w:right w:w="28" w:type="dxa"/>
        </w:tblCellMar>
      </w:tblPr>
      <w:tblGrid>
        <w:gridCol w:w="571"/>
        <w:gridCol w:w="504"/>
        <w:gridCol w:w="515"/>
        <w:gridCol w:w="593"/>
        <w:gridCol w:w="593"/>
        <w:gridCol w:w="154"/>
      </w:tblGrid>
      <w:tr>
        <w:trPr/>
        <w:tc>
          <w:tcPr>
            <w:tcW w:w="57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127,312,589 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Against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16,326,148 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Abstain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 Non-Votes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19,983,799 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5. The stockholders considered a proposal to approve an amendment and restatement of the 2023 Equity Incentive Plan to increase the number of shares of Common Stock issuable under such plan by 6,900,000 shares, as presented in the Company’s Proxy Statement. This proposal was approved based upon the following votes:</w:t>
      </w:r>
    </w:p>
    <w:tbl>
      <w:tblPr>
        <w:tblW w:w="2930" w:type="dxa"/>
        <w:jc w:val="center"/>
        <w:tblInd w:w="0" w:type="dxa"/>
        <w:tblLayout w:type="fixed"/>
        <w:tblCellMar>
          <w:top w:w="28" w:type="dxa"/>
          <w:left w:w="28" w:type="dxa"/>
          <w:bottom w:w="28" w:type="dxa"/>
          <w:right w:w="28" w:type="dxa"/>
        </w:tblCellMar>
      </w:tblPr>
      <w:tblGrid>
        <w:gridCol w:w="571"/>
        <w:gridCol w:w="504"/>
        <w:gridCol w:w="515"/>
        <w:gridCol w:w="593"/>
        <w:gridCol w:w="593"/>
        <w:gridCol w:w="154"/>
      </w:tblGrid>
      <w:tr>
        <w:trPr/>
        <w:tc>
          <w:tcPr>
            <w:tcW w:w="57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141,381,593 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Against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Abstain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 Non-Votes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19,983,799 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6. The stockholders considered a proposal to approve, on an advisory (non-binding) basis, the compensation of the Company’s named executive officers, as presented in the Company’s Proxy Statement. This proposal was approved based upon the following votes:</w:t>
      </w:r>
    </w:p>
    <w:tbl>
      <w:tblPr>
        <w:tblW w:w="2930" w:type="dxa"/>
        <w:jc w:val="center"/>
        <w:tblInd w:w="0" w:type="dxa"/>
        <w:tblLayout w:type="fixed"/>
        <w:tblCellMar>
          <w:top w:w="28" w:type="dxa"/>
          <w:left w:w="28" w:type="dxa"/>
          <w:bottom w:w="28" w:type="dxa"/>
          <w:right w:w="28" w:type="dxa"/>
        </w:tblCellMar>
      </w:tblPr>
      <w:tblGrid>
        <w:gridCol w:w="571"/>
        <w:gridCol w:w="504"/>
        <w:gridCol w:w="515"/>
        <w:gridCol w:w="593"/>
        <w:gridCol w:w="593"/>
        <w:gridCol w:w="154"/>
      </w:tblGrid>
      <w:tr>
        <w:trPr/>
        <w:tc>
          <w:tcPr>
            <w:tcW w:w="57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139,479,306 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Against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Abstain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 Non-Votes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19,983,799 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(d)    Exhibits.</w:t>
      </w:r>
    </w:p>
    <w:tbl>
      <w:tblPr>
        <w:tblW w:w="9208" w:type="dxa"/>
        <w:jc w:val="left"/>
        <w:tblInd w:w="0" w:type="dxa"/>
        <w:tblLayout w:type="fixed"/>
        <w:tblCellMar>
          <w:top w:w="28" w:type="dxa"/>
          <w:left w:w="28" w:type="dxa"/>
          <w:bottom w:w="28" w:type="dxa"/>
          <w:right w:w="28" w:type="dxa"/>
        </w:tblCellMar>
      </w:tblPr>
      <w:tblGrid>
        <w:gridCol w:w="158"/>
        <w:gridCol w:w="138"/>
        <w:gridCol w:w="140"/>
        <w:gridCol w:w="109"/>
        <w:gridCol w:w="109"/>
        <w:gridCol w:w="109"/>
        <w:gridCol w:w="2473"/>
        <w:gridCol w:w="2473"/>
        <w:gridCol w:w="349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c>
          <w:tcPr>
            <w:tcW w:w="349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formatting Inline Extensible Business Reporting Language (iXBRL).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15, 2026</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Kratos Defense &amp; Security Solutions, Inc. </w:t>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lineRule="auto" w:line="288" w:before="0" w:after="0"/>
        <w:jc w:val="left"/>
        <w:rPr/>
      </w:pPr>
      <w:r>
        <w:rPr>
          <w:rFonts w:ascii="Times New Roman;serif" w:hAnsi="Times New Roman;serif"/>
          <w:b w:val="false"/>
          <w:color w:val="000000"/>
          <w:sz w:val="20"/>
        </w:rPr>
        <w:t>By:</w:t>
      </w:r>
      <w:r>
        <w:rPr>
          <w:color w:val="000000"/>
          <w:u w:val="single"/>
        </w:rPr>
        <w:t xml:space="preserve"> </w:t>
      </w:r>
      <w:r>
        <w:rPr>
          <w:rFonts w:ascii="Times New Roman;serif" w:hAnsi="Times New Roman;serif"/>
          <w:b w:val="false"/>
          <w:color w:val="000000"/>
          <w:sz w:val="20"/>
          <w:u w:val="single"/>
        </w:rPr>
        <w:t>/s/ Marie Mendoza</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Marie Mendoza</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Senior Vice President, General Counsel &amp; Secretary</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839</Words>
  <Characters>4797</Characters>
  <CharactersWithSpaces>5652</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