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29, 2014</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 2014, 57,746,916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4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December 29, 2013 and June 29, 2014 (unaudited)</w:t>
              </w:r>
            </w:hyperlink>
          </w:p>
        </w:tc>
        <w:tc>
          <w:tcPr>
            <w:tcW w:w="310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and Comprehensive Income (Loss) for the Three and Six Months Ended June 30,</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2013 and June 29, 2014 (unaudited)</w:t>
              </w:r>
            </w:hyperlink>
          </w:p>
        </w:tc>
        <w:tc>
          <w:tcPr>
            <w:tcW w:w="360" w:type="dxa"/>
            <w:vAlign w:val="bottom"/>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for the Six Months Ended June 30, 2013 and June 29, 2014 (unaudited)</w:t>
              </w:r>
            </w:hyperlink>
          </w:p>
        </w:tc>
        <w:tc>
          <w:tcPr>
            <w:tcW w:w="10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99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99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9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w:t>
              </w:r>
            </w:hyperlink>
          </w:p>
        </w:tc>
        <w:tc>
          <w:tcPr>
            <w:tcW w:w="99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900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9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9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90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90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38</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98"/>
        </w:trPr>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29, 2013</w:t>
            </w:r>
          </w:p>
        </w:tc>
        <w:tc>
          <w:tcPr>
            <w:tcW w:w="380" w:type="dxa"/>
            <w:vAlign w:val="bottom"/>
          </w:tcPr>
          <w:p>
            <w:pPr>
              <w:spacing w:after="0"/>
              <w:rPr>
                <w:sz w:val="24"/>
                <w:szCs w:val="24"/>
                <w:color w:val="auto"/>
              </w:rPr>
            </w:pP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June 29, 2014</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78.5</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84.2</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62.6</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r>
      <w:tr>
        <w:trPr>
          <w:trHeight w:val="28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1,172.1</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40.8</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246.9</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Line of credit</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29, 2013 and June 29, 2014</w:t>
            </w:r>
          </w:p>
        </w:tc>
        <w:tc>
          <w:tcPr>
            <w:tcW w:w="5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57,056,892 and 57,435,202 shares</w:t>
            </w: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at December 29, 2013 and June 29, 2014, respectively</w:t>
            </w:r>
          </w:p>
        </w:tc>
        <w:tc>
          <w:tcPr>
            <w:tcW w:w="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856.0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862.3</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(624.3)</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237.1</w:t>
            </w:r>
          </w:p>
        </w:tc>
      </w:tr>
      <w:tr>
        <w:trPr>
          <w:trHeight w:val="244"/>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1,172.1</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 2014</w:t>
            </w:r>
          </w:p>
        </w:tc>
        <w:tc>
          <w:tcPr>
            <w:tcW w:w="440" w:type="dxa"/>
            <w:vAlign w:val="bottom"/>
          </w:tcPr>
          <w:p>
            <w:pPr>
              <w:spacing w:after="0"/>
              <w:rPr>
                <w:sz w:val="22"/>
                <w:szCs w:val="22"/>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2013</w:t>
            </w:r>
          </w:p>
        </w:tc>
        <w:tc>
          <w:tcPr>
            <w:tcW w:w="6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29, 2014</w:t>
            </w:r>
          </w:p>
        </w:tc>
        <w:tc>
          <w:tcPr>
            <w:tcW w:w="0" w:type="dxa"/>
            <w:vAlign w:val="bottom"/>
          </w:tcPr>
          <w:p>
            <w:pPr>
              <w:spacing w:after="0"/>
              <w:rPr>
                <w:sz w:val="1"/>
                <w:szCs w:val="1"/>
                <w:color w:val="auto"/>
              </w:rPr>
            </w:pPr>
          </w:p>
        </w:tc>
      </w:tr>
      <w:tr>
        <w:trPr>
          <w:trHeight w:val="236"/>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362.3</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126.2</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 restructuring</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Provision (benefit) for income taxes from continuing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Six Months Ended</w:t>
            </w:r>
          </w:p>
        </w:tc>
        <w:tc>
          <w:tcPr>
            <w:tcW w:w="16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June 30, 2013</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June 29, 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680" w:type="dxa"/>
            <w:vAlign w:val="bottom"/>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Loss from discontinued operations</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 (used in)</w:t>
            </w:r>
          </w:p>
        </w:tc>
        <w:tc>
          <w:tcPr>
            <w:tcW w:w="1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6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16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Changes in unused office space accrual</w:t>
            </w:r>
          </w:p>
        </w:tc>
        <w:tc>
          <w:tcPr>
            <w:tcW w:w="16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interest payable</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discontinued operations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(decrease) in restricted cash</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6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618.5</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6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Credit agreement borrowings</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16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 from continuing operations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55.7</w:t>
            </w:r>
          </w:p>
        </w:tc>
      </w:tr>
      <w:tr>
        <w:trPr>
          <w:trHeight w:val="33"/>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80" w:type="dxa"/>
            <w:vAlign w:val="bottom"/>
            <w:tcBorders>
              <w:bottom w:val="single" w:sz="8" w:color="auto"/>
            </w:tcBorders>
            <w:shd w:val="clear" w:color="auto" w:fill="CCEEFF"/>
          </w:tcPr>
          <w:p>
            <w:pPr>
              <w:jc w:val="right"/>
              <w:ind w:right="14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07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07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information as of June 29, 2014 and for the three and six months ended June 30, 2013 and June 29, 2014 is unaudited. The condensed consolidated balance sheet as of December 29, 2013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(“GAAP”). These unaudited condensed consolidated financial statements should be read in conjunction with the consolidated financial statements and the related notes included in the Company’s audited annual consolidated financial statements for the fiscal year ended December 29, 2013, included in the Company’s Annual Report on Form 10-K filed with the U.S. Securities and Exchange Commission ("SEC") on March 12, 2014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and six month periods ended June 30, 2013 and June 29, 2014 consisted of 13-week and 26-week periods, respectively. There are 52 calendar weeks in the fiscal years ending on December 29, 2013 and December 28, 2014.</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accounting for our long-term contracts for production of products and services provided to the U.S. Government and provided to our Public Safety and Security ("PSS") segment customers under fixed price contracts, we utilize both cost-to-cost and units delivered measures under the percentage-of-completion method of accounting in accordance with the provisions of Financial Accounting Standards Board (“FASB”) Accounting Standards Codification (“ASC”) Topic 605</w:t>
      </w:r>
      <w:r>
        <w:rPr>
          <w:rFonts w:ascii="Arial" w:cs="Arial" w:eastAsia="Arial" w:hAnsi="Arial"/>
          <w:sz w:val="18"/>
          <w:szCs w:val="18"/>
          <w:i w:val="1"/>
          <w:iCs w:val="1"/>
          <w:color w:val="auto"/>
        </w:rPr>
        <w:t>, Revenue Recognition</w:t>
      </w:r>
      <w:r>
        <w:rPr>
          <w:rFonts w:ascii="Arial" w:cs="Arial" w:eastAsia="Arial" w:hAnsi="Arial"/>
          <w:sz w:val="18"/>
          <w:szCs w:val="18"/>
          <w:color w:val="auto"/>
        </w:rPr>
        <w:t>.</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Due to the size and nature of many of our contracts accounted for under the percentage-of-completion method of accounting, the estimation of total revenues and costs at completion is complicated and subject to many variables. For example,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16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April 2014, the FASB issued Accounting Standards Update 2014-08 ("ASU 2014-18") "Presentation of Financial Statements (Topic 205) and Property, Plant, and Equipment (Topic 360): Reporting Discontinued Operations and Disclosures of Disposals of Components of an Entity"</w:t>
      </w:r>
      <w:r>
        <w:rPr>
          <w:rFonts w:ascii="Arial" w:cs="Arial" w:eastAsia="Arial" w:hAnsi="Arial"/>
          <w:sz w:val="16"/>
          <w:szCs w:val="16"/>
          <w:color w:val="000080"/>
        </w:rPr>
        <w:t>.</w:t>
      </w:r>
      <w:r>
        <w:rPr>
          <w:rFonts w:ascii="Arial" w:cs="Arial" w:eastAsia="Arial" w:hAnsi="Arial"/>
          <w:sz w:val="16"/>
          <w:szCs w:val="16"/>
          <w:color w:val="auto"/>
        </w:rPr>
        <w:t xml:space="preserve"> The amendments in the ASU 2014-08 change the criteria for reporting discontinued operations and requires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the ASU</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2014-08 are effective in the first quarter of 2015 for public organizations with calendar year ends. Early adoption is permitted. We are currently evaluating the impact of ASU 2014-08, but do not expect the adoption to have a material impact on our condensed consolidated financial statements.</w:t>
      </w:r>
    </w:p>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FASB issued Accounting Standards Update 2014-09 ("ASU 2014-09") "Revenue from Contracts with Customers". ASU 2014-09 affects any entity using GAAP that either enters into contracts with customers to transfer goods or services or enters into contracts for the transfer of nonfinancial assets unless those contracts are within the scope of other standards (e.g., insurance contracts or lease contracts). The ASU will supersede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The ASU also supersedes some cost guidance included in ASC Subtopic 605-35, </w:t>
      </w:r>
      <w:r>
        <w:rPr>
          <w:rFonts w:ascii="Arial" w:cs="Arial" w:eastAsia="Arial" w:hAnsi="Arial"/>
          <w:sz w:val="17"/>
          <w:szCs w:val="17"/>
          <w:i w:val="1"/>
          <w:iCs w:val="1"/>
          <w:color w:val="auto"/>
        </w:rPr>
        <w:t>Revenue Recognition—Construction-Type and Production-Type Contracts</w:t>
      </w:r>
      <w:r>
        <w:rPr>
          <w:rFonts w:ascii="Arial" w:cs="Arial" w:eastAsia="Arial" w:hAnsi="Arial"/>
          <w:sz w:val="17"/>
          <w:szCs w:val="17"/>
          <w:color w:val="auto"/>
        </w:rPr>
        <w:t>. For a public entity, the amendments in this ASU are effective for annual reporting periods beginning after December 15, 2016, including interim periods within that reporting period. Early application is not permitted.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condensed consolidated financial statements.</w:t>
      </w:r>
    </w:p>
    <w:p>
      <w:pPr>
        <w:spacing w:after="0" w:line="22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six months ended June 29, 2014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December 29, 2013 and June 29, 2014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December 29, 2013 and June 29, 2014 due to the short-term nature of these instruments.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amounts of goodwill as of December 29, 2013 and June 29, 2014 by reportable segment are as follows (in millions):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Public Safety &amp; Security</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 Government</w:t>
            </w:r>
          </w:p>
        </w:tc>
        <w:tc>
          <w:tcPr>
            <w:tcW w:w="400" w:type="dxa"/>
            <w:vAlign w:val="bottom"/>
          </w:tcPr>
          <w:p>
            <w:pPr>
              <w:spacing w:after="0"/>
              <w:rPr>
                <w:sz w:val="14"/>
                <w:szCs w:val="1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value</w:t>
            </w: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impairment</w:t>
            </w:r>
          </w:p>
        </w:tc>
        <w:tc>
          <w:tcPr>
            <w:tcW w:w="7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29, 2013</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29, 2014</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36.7</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7"/>
              </w:rPr>
              <w:t>Acquired indefinite-lived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Consolidated amortization expense related to intangible assets subject to amortization was $9.0 million and $5.7 million for the three months ended June 30, 2013 and June 29, 2014, respectively, and $18.3 million and $11.3 million for the six months ended June 30, 2013 and June 29,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Inventoried Costs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of delivery method of revenue recognition. These costs represent accumulated contract costs less the portion of such costs allocated to delivered items. Accumulated contract costs include direct production costs, factory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4"/>
                <w:szCs w:val="14"/>
                <w:color w:val="auto"/>
              </w:rPr>
            </w:pPr>
          </w:p>
        </w:tc>
        <w:tc>
          <w:tcPr>
            <w:tcW w:w="126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Stockholders’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2013</w:t>
            </w:r>
          </w:p>
        </w:tc>
        <w:tc>
          <w:tcPr>
            <w:tcW w:w="220" w:type="dxa"/>
            <w:vAlign w:val="bottom"/>
          </w:tcPr>
          <w:p>
            <w:pPr>
              <w:spacing w:after="0"/>
              <w:rPr>
                <w:sz w:val="22"/>
                <w:szCs w:val="22"/>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June 29, 2014</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 of stock options and warrants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2013</w:t>
            </w:r>
          </w:p>
        </w:tc>
        <w:tc>
          <w:tcPr>
            <w:tcW w:w="220" w:type="dxa"/>
            <w:vAlign w:val="bottom"/>
          </w:tcPr>
          <w:p>
            <w:pPr>
              <w:spacing w:after="0"/>
              <w:rPr>
                <w:sz w:val="24"/>
                <w:szCs w:val="24"/>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June 29, 2014</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 retirement benefit reserve adjustment net of tax expense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other comprehensive income to net loss for the three and six months ended June 30, 2013 or June 29,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six months ended June 30, 2013 and June 29, 2014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2013</w:t>
            </w:r>
          </w:p>
        </w:tc>
        <w:tc>
          <w:tcPr>
            <w:tcW w:w="148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29, 2014</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Common Share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FASB ASC Topic 260, </w:t>
      </w:r>
      <w:r>
        <w:rPr>
          <w:rFonts w:ascii="Arial" w:cs="Arial" w:eastAsia="Arial" w:hAnsi="Arial"/>
          <w:sz w:val="17"/>
          <w:szCs w:val="17"/>
          <w:i w:val="1"/>
          <w:iCs w:val="1"/>
          <w:color w:val="auto"/>
        </w:rPr>
        <w:t>Earnings per Share (“</w:t>
      </w:r>
      <w:r>
        <w:rPr>
          <w:rFonts w:ascii="Arial" w:cs="Arial" w:eastAsia="Arial" w:hAnsi="Arial"/>
          <w:sz w:val="17"/>
          <w:szCs w:val="17"/>
          <w:color w:val="auto"/>
        </w:rPr>
        <w:t>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w:t>
      </w:r>
      <w:r>
        <w:rPr>
          <w:rFonts w:ascii="Arial" w:cs="Arial" w:eastAsia="Arial" w:hAnsi="Arial"/>
          <w:sz w:val="17"/>
          <w:szCs w:val="17"/>
          <w:i w:val="1"/>
          <w:iCs w:val="1"/>
          <w:color w:val="auto"/>
        </w:rPr>
        <w:t>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loss per share because their inclusion would have been anti-dilutive, were 2.9 million and 0.8 million for the three months ended June 30, 2013 and June 29, 2014, respectively, and 3.2 million and 0.9 million for the six months ended June 30, 2013 and June 29, 2014,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A reconciliation of the total income tax benefit, computed by applying the statutory federal income tax rate of 35% to loss from continuing operations before income tax provision, to the total income tax provision (benefit) for the three and six months ended June 30, 2013 and June 29, 2014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51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0.8</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Increase/(decrease) in reserves for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17.4</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 (benefit)</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and six months ended June 29, 2014, there was no impact of such limitations on the income tax provision, since the amount of taxable income did not exceed the annual limitation amount. In addition, future equity offerings or acquisitions that have equity as a component of the purchase price could also cause in an “ownership change.” If and when any other “ownership change” occurs, utilization of the NOL or other tax attributes may be further limited.</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December 29, 2013, the Company had $15.8 million of unrecognized tax benefits that, if recognized, would impact the effective income tax rate, subject to possible offset by an increase in the deferred tax asset valuation allowance. During the six months ended June 29, 2014, unrecognized tax benefits were increased by $3.0 million relating to various current year and prior positions. This increase in unrecognized tax benefits was offset in full by an increase in the deferred tax asset valuation allowance.</w:t>
      </w:r>
    </w:p>
    <w:p>
      <w:pPr>
        <w:spacing w:after="0" w:line="187"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There was no material expense or benefit recorded for the six months ended June 30, 2013. During the six months ended June 29, 2014, a $0.1 million expense was recorded related to interest and penalties. The Company recorded a benefit for interest and penalties related to the reversal of prior position of $0.2 million for the six months ended June 30, 2013. There was no material benefit recorded for the six months ended June 29, 2014. The Company believes that no significant amount of the liabilities for uncertain tax positions will expire within twelve months of June 29, 2014.</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June 2012, consistent with its plans to complete an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ASC Topic 205</w:t>
      </w:r>
      <w:r>
        <w:rPr>
          <w:rFonts w:ascii="Arial" w:cs="Arial" w:eastAsia="Arial" w:hAnsi="Arial"/>
          <w:sz w:val="16"/>
          <w:szCs w:val="16"/>
          <w:i w:val="1"/>
          <w:iCs w:val="1"/>
          <w:color w:val="auto"/>
        </w:rPr>
        <w:t>, Presentation of Financial Statements ("</w:t>
      </w:r>
      <w:r>
        <w:rPr>
          <w:rFonts w:ascii="Arial" w:cs="Arial" w:eastAsia="Arial" w:hAnsi="Arial"/>
          <w:sz w:val="16"/>
          <w:szCs w:val="16"/>
          <w:color w:val="auto"/>
        </w:rPr>
        <w:t>Topic 205</w:t>
      </w:r>
      <w:r>
        <w:rPr>
          <w:rFonts w:ascii="Arial" w:cs="Arial" w:eastAsia="Arial" w:hAnsi="Arial"/>
          <w:sz w:val="16"/>
          <w:szCs w:val="16"/>
          <w:i w:val="1"/>
          <w:iCs w:val="1"/>
          <w:color w:val="auto"/>
        </w:rPr>
        <w:t>"),</w:t>
      </w:r>
      <w:r>
        <w:rPr>
          <w:rFonts w:ascii="Arial" w:cs="Arial" w:eastAsia="Arial" w:hAnsi="Arial"/>
          <w:sz w:val="16"/>
          <w:szCs w:val="16"/>
          <w:color w:val="auto"/>
        </w:rPr>
        <w:t xml:space="preserve"> these businesses have been classified as held for sale and reported in discontinued operations in the accompanying condensed consolidated financial statements.</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the second quarter of 2012, the Company recorded a $1.5 million impairment charge associated with the portion of goodwill that was allocated to the discontinued businesses based on management's estimate of the fair value of the business.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5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June 30,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June 29, 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June 30, 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29, 2014</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 before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right="660" w:firstLine="690"/>
        <w:spacing w:after="0" w:line="308" w:lineRule="auto"/>
        <w:rPr>
          <w:sz w:val="20"/>
          <w:szCs w:val="20"/>
          <w:color w:val="auto"/>
        </w:rPr>
      </w:pPr>
      <w:r>
        <w:rPr>
          <w:rFonts w:ascii="Arial" w:cs="Arial" w:eastAsia="Arial" w:hAnsi="Arial"/>
          <w:sz w:val="17"/>
          <w:szCs w:val="17"/>
          <w:color w:val="auto"/>
        </w:rPr>
        <w:t>The following is a summary of the assets and liabilities of discontinued operations, which are in other current liabilities and other long-term liabilities in the accompanying condensed consolidated balance sheets as of December 29, 2013 and June 29, 2014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December 29,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29,</w:t>
            </w:r>
          </w:p>
        </w:tc>
      </w:tr>
      <w:tr>
        <w:trPr>
          <w:trHeight w:val="192"/>
        </w:trPr>
        <w:tc>
          <w:tcPr>
            <w:tcW w:w="8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116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r>
      <w:tr>
        <w:trPr>
          <w:trHeight w:val="20"/>
        </w:trPr>
        <w:tc>
          <w:tcPr>
            <w:tcW w:w="8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16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$8.4 million associated with the new 7% Notes. The Company utilized the net proceeds from the 7% Notes, a $41.0 million draw on a new credit agreement discussed below, as well as cash from operations to extinguish the 10% Notes. The total reacquisition price of the 10% Notes was $661.5 million including a $31.2 million early termination fee, the write off of $15.5 million of unamortized issue costs, $12.9 million of unamortized premium, along with the $5.3 million of additional interest while in excrow, which resulted in a loss on extinguishment of $39.1 million.</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completed the offering of the 7.00% Notes (hereafter the “Notes”) in a private placement conducted pursuant to Rule 144A and Regulation S under the Securities Act of 1933, as amended (the “Act”). The Notes are governed by an Indenture dated May 14, 2014 (the “Indenture”) among the Company, certain of the Company’s subsidiaries (the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(d) upon satisfaction and discharge of the Indenture or payment in full in cash of the principal of, premium, if any, accrued and unpaid interest.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new $110.0 million credit agreement.</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29, 2014, the Company was in compliance with the covenants contained in the Indenture governing the Notes.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of the aggregate principal amount of such notes plus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accrued and unpaid interest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sale of the Notes, the Company entered into a Registration Rights Agreement dated as of May 14, 2014 (the “Registration Rights Agreement”) with the Guarantors and the representative of the initial purchasers of the Notes identified therein. Under the Registration Rights Agreement, the Company and the Guarantors have agreed to (i) file a registration statement with respect to a registered exchange offer to exchange the Notes for new registered notes with terms substantially identical in all material respects with the Notes (except that the exchange notes will not contain terms with respect to additional interest, registration rights or transfer restrictions); (ii) use our commercially reasonable efforts to cause the exchange offer registration statement to be declared effective by the SEC under the Act; (iii) use our commercially reasonable efforts to, on or before the 365th day after the date of the initial issuance of the Notes, have consummated the exchange offer; and (iv) in certain circumstances, file a shelf registration statement to cover resales of the Notes. If the Company and the Guarantors fail to consummate the exchange offer within 365 days of the issue date of the Notes or otherwise fail to satisfy their registration obligations under the Registration Rights Agreement, then the annual interest rate on the Notes will increase by 0.25% per annum for the first 90 days commencing on the 366th day following the date of issuance or the day a shelf registration statement ceases to be effective, if applicable, and by an additional 0.25% per annum for each subsequent 90-day period during which the registration default continues, up to a maximum additional interest rate of 1.0% per annum.</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the Company replaced its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places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right="20" w:firstLine="8"/>
        <w:spacing w:after="0" w:line="277"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June 29, 2014, there was $41.0 million outstanding on the Credit Agreement and $9.5 million was outstanding on letters of credit, resulting in net borrowing base availability of $56.6 million. The Company was in compliance with the financial covenants of the Credit Agreement as of June 29, 2014.</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wholly owned subsidiaries. The balance as of June 29, 2014 was $4.2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June 29, 2014.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29, 2013 and June 29, 2014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29,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As of Jun 29,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629.8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663.9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fair value of the Company’s long-term debt as of December 29, 2013 was based upon actual trading activity (Level 1, Observable inputs that reflect quoted prices in active markets. The fair value of the Company’s long-term debt as of June 29, 2014 was based upon broker reported trading activity by sophisticated investors (Level 2, Quoted prices in markets that are not active). The fair value at both December 29, 2013 and June 29, 2014 is the estimated amount the Company would have to pay to repurchase its debt, including any premium or discount attributable to the difference between the stated interest rate and market value of interest at the balance sheet date.</w:t>
      </w:r>
    </w:p>
    <w:p>
      <w:pPr>
        <w:spacing w:after="0" w:line="188"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The net unamortized original issue discount of $6.3 million as of June 29, 2014, which is the difference between the carrying amount of $663.9 million and the principal amount of $670.2 million presented in the previous table, is being accreted to interest expense over the term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operates in two principal reportable business segments: Kratos Government Solutions ("KGS") and Public Safety &amp; Security ("PSS").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organizes its reportable business segments based on the nature of the services offered.</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current reportable segments for the three and six month periods ended June 30, 2013 and June 29, 2014 are as follows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2014</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29, 2014</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214.0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r>
      <w:tr>
        <w:trPr>
          <w:trHeight w:val="297"/>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429.4</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w:t>
            </w:r>
          </w:p>
        </w:tc>
      </w:tr>
      <w:tr>
        <w:trPr>
          <w:trHeight w:val="210"/>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Total operating income of the reportable business segments is reconciled to the corresponding consolidated amount. The reconciling item “Unallocated corporate expense, net” includes costs for certain stock-based compensation programs,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$152.2 million and $123.0 million, or 65% and 54% of total Kratos revenue, for the three months ended June 30, 2013 and June 29, 2014, respectively, and approximately $317.6 million and $239.3 million, or 65% and 56% of total revenue, for the six months ended June 30, 2013 and June 29, 2014,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its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and legal matters are inherently unpredictable and unfavorable resolutions could occur, assessing litigation and legal matter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the Company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on the Company's condensed consolidated financial statements; and the unique facts and circumstances of the particular matter that may give rise to additional factors.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Regulatory Matters</w:t>
      </w:r>
    </w:p>
    <w:p>
      <w:pPr>
        <w:spacing w:after="0" w:line="144"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Department of Defense are subject to audit by the Defense Contract Audit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the Company's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The Company reviews such accruals on a quarterly basis for sufficiency based on the most recent information available. Based on its assessment, the Company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8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 currently believe that the outcome of any such matters will have a material adverse impact on our financial condition, results of operations or cash flows.</w:t>
      </w:r>
    </w:p>
    <w:p>
      <w:pPr>
        <w:spacing w:after="0" w:line="24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440" w:type="dxa"/>
            <w:vAlign w:val="bottom"/>
          </w:tcPr>
          <w:p>
            <w:pPr>
              <w:spacing w:after="0"/>
              <w:rPr>
                <w:sz w:val="13"/>
                <w:szCs w:val="13"/>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accrued and revenues deferred</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liabilities assumed from acquisitions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8). The Notes are guaranteed by all of the Company's 100% owned domestic subsidiaries (the "Subsidiary Guarantors") and are collateralized by the assets of all of the Company's 100% owned subsidiaries. The Notes are fully and unconditionally guaranteed on a joint and several basis by each Subsidiary Guarantors and the Company. There are no contractual restrictions limiting cash transfers from Subsidiary Guarantors by dividends, loans or advances to the Company. The Senior Secured Notes are not guaranteed by the Company's foreign subsidiaries (the “Non-Guarantor Subsidiaries”).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Subsequent to the issuance of the Company’s condensed consolidated financial statements for the quarter ended June 30, 2013, the Company reclassified cash flows related to Investment in affiliated companies to a separate line item in its Condensed Consolidating Statement of Cash Flows. These amounts were previously combined with financings from affiliated companies. There was no total impact on cash flow from either investing or financing activities.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29,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920.8</w:t>
            </w:r>
          </w:p>
        </w:tc>
        <w:tc>
          <w:tcPr>
            <w:tcW w:w="0" w:type="dxa"/>
            <w:vAlign w:val="bottom"/>
          </w:tcPr>
          <w:p>
            <w:pPr>
              <w:spacing w:after="0"/>
              <w:rPr>
                <w:sz w:val="1"/>
                <w:szCs w:val="1"/>
                <w:color w:val="auto"/>
              </w:rPr>
            </w:pPr>
          </w:p>
        </w:tc>
      </w:tr>
      <w:tr>
        <w:trPr>
          <w:trHeight w:val="217"/>
        </w:trPr>
        <w:tc>
          <w:tcPr>
            <w:tcW w:w="3540" w:type="dxa"/>
            <w:vAlign w:val="bottom"/>
          </w:tcPr>
          <w:p>
            <w:pPr>
              <w:ind w:left="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29,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398.5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Amounts due from affiliated companies, long-term</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662.9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30,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29,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Combined Basis</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 Combined Basis</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8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and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14"/>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262.3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expense, net</w:t>
      </w:r>
    </w:p>
    <w:p>
      <w:pPr>
        <w:spacing w:after="0" w:line="86" w:lineRule="exact"/>
        <w:rPr>
          <w:sz w:val="20"/>
          <w:szCs w:val="20"/>
          <w:color w:val="auto"/>
        </w:rPr>
      </w:pPr>
    </w:p>
    <w:p>
      <w:pPr>
        <w:ind w:left="40" w:right="26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58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-2113915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-1771015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-1419225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-1076325</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-492760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40" w:space="10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73"/>
        </w:trPr>
        <w:tc>
          <w:tcPr>
            <w:tcW w:w="354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42"/>
        </w:trPr>
        <w:tc>
          <w:tcPr>
            <w:tcW w:w="35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Comprehensive income (loss)</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29,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227.0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109.0</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expense, net</w:t>
      </w:r>
    </w:p>
    <w:p>
      <w:pPr>
        <w:spacing w:after="0" w:line="86" w:lineRule="exact"/>
        <w:rPr>
          <w:sz w:val="20"/>
          <w:szCs w:val="20"/>
          <w:color w:val="auto"/>
        </w:rPr>
      </w:pPr>
    </w:p>
    <w:p>
      <w:pPr>
        <w:ind w:left="40" w:right="28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Provision (benefit)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89.9</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11.1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8.0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76"/>
        </w:trPr>
        <w:tc>
          <w:tcPr>
            <w:tcW w:w="150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64"/>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0.4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(60.8)</w:t>
            </w:r>
          </w:p>
        </w:tc>
      </w:tr>
      <w:tr>
        <w:trPr>
          <w:trHeight w:val="459"/>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3.9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3"/>
                <w:szCs w:val="23"/>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60" w:space="8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8.4</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1.2</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decrease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4"/>
              </w:rPr>
              <w:t>Net cash used in investing activities from continuing</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7"/>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Cash paid for contingent acquisition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Financing from affiliated companies</w:t>
            </w:r>
          </w:p>
        </w:tc>
        <w:tc>
          <w:tcPr>
            <w:tcW w:w="14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7"/>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0.8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 cash</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w w:val="91"/>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0.7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29,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decrease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used in investing activities from continuing</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618.5</w:t>
            </w: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Payment of long-term debt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(661.5)</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Borrowings under line of credit</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41.0</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Financings from affiliated companies</w:t>
            </w:r>
          </w:p>
        </w:tc>
        <w:tc>
          <w:tcPr>
            <w:tcW w:w="14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6"/>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1.5</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ind w:right="36"/>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tcPr>
          <w:p>
            <w:pPr>
              <w:jc w:val="right"/>
              <w:ind w:right="36"/>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 cash</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0.1</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w w:val="91"/>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29, 2013 filed with the Securities and Exchange Commission on March 12, 2014.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 specialized security technology business providing mission critical products, technology solutions and services for domestic and international customers, with our principal customers being national security related agencies of the U.S. Government.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design, engineer and manufacture specialized electronic components, subsystems and systems for electronic attack, electronic warfare, radar, and missile system platforms; integrated product, software and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customer base, strong customer relationships, intellectual property, broad array of contract vehicles, "designed in" positions on strategic national security platforms, large employee base possessing specialized skills, specialized manufacturing facilities and equipment, extensive list of past performance qualifications, and significant management and operational capabilities position us for success.</w:t>
      </w:r>
    </w:p>
    <w:p>
      <w:pPr>
        <w:spacing w:after="0" w:line="17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 We completed our exit of the commercial wireless industry, began building a national security focused business and changed the Company's name to Kratos Defense &amp; Security Solutions, Inc. in September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February 15, 2014, legislation was signed that raises the U.S. debt limit through March 2015. In addition, in January 2014, appropriators passed legislation that offsets a significant portion of the sequester cuts. This translates to a better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outlook for the defense industry than what was generally expected for both this year and next. However, we still expect lower or delayed awards on some of our programs, with a related negative impact on our revenues, earnings and cash flows.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2014, the Pentagon submitted its FY 2015 Budget Request of approximately $496 billion, which is consistent with the Bipartisan Budget Spending Authorization. Also in March 2014, the Pentagon published the Quadrennial Defense Review ("QDR"). Both the Pentagon’s FY 2015 Budget Request and the QDR provide important insight for future national security funding priorities and related programs, which include cyber security and warfare, unmanned systems, satellite communications, missile defense and electronic warfare.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operate in two principal reportable business segments: Kratos Government Solutions (“KGS”) and Public Safety &amp; Security (“PSS”). We organize our reportable business segments based on the nature of the products, solutions and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9 of the notes to the condensed consolidated financial statements. From a customer and solutions perspective, we view our business as an integrated whole, leveraging skills and assets wherever possible.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supplemented our organic growth by identifying, acquiring and integrating businesses that meet our primary objective of providing us with the technology, intellectual property, manufacturing facilities and production equipment to address strategic national security programs and platforms, primarily in the unmanned systems, electronic warfare, satellite communications and missile system and radar areas of the DoD. We have also made certain acquisitions in the critical infrastructure security, strategic asset protection and public safety areas to expand our capabilities, scope, national depth, breadth and overall service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29, 2014, we consider the following factors to be important in understanding our financial statements.</w:t>
      </w:r>
    </w:p>
    <w:p>
      <w:pPr>
        <w:spacing w:after="0" w:line="22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KGS' business with the U.S. Government and prime contractors is generally performed under fixed price, time and material and cost reimbursable contracts. 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 under the provisions of ASC Topic 605</w:t>
      </w:r>
      <w:r>
        <w:rPr>
          <w:rFonts w:ascii="Arial" w:cs="Arial" w:eastAsia="Arial" w:hAnsi="Arial"/>
          <w:sz w:val="16"/>
          <w:szCs w:val="16"/>
          <w:i w:val="1"/>
          <w:iCs w:val="1"/>
          <w:color w:val="auto"/>
        </w:rPr>
        <w:t>, Revenue Recognition</w:t>
      </w:r>
      <w:r>
        <w:rPr>
          <w:rFonts w:ascii="Arial" w:cs="Arial" w:eastAsia="Arial" w:hAnsi="Arial"/>
          <w:sz w:val="16"/>
          <w:szCs w:val="16"/>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complete the project. We periodically review all retainages for collectability and record allowances for doubtful accounts when deemed appropriate, based on our assessment of the associated risks.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programs and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30, 2013 to the Three Months Ended June 29, 2014</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June 30, 2013 and June 29, 2014 are as follows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2014</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23.0 %</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Revenues decreased $5.9 million from $235.2 million for the three months ended June 30, 2013 to $229.3 million for the three months ended June 29, 2014. KGS segment revenue decreased by $17.8 million. This net decrease was primarily due to a decline in shipments of our defense products aggregating $10.5 million, resulting from a delay in orders and awards as a result of the challenging federal government and DoD funding environment including an Extended Continuing Resolution Authorization (CRA), federal government personnel furloughs and a federal government shutdown, all of which adversely impacted new contract awards, bookings and the Company’s revenues, which was offset partially by an increase in product sales of our specialized ground equipment of $9.0 million. Additionally, revenue was also adversely impacted by the decrease resulting in the expected completion of a sizable satellite communications program, which impacted revenues by approximately $4.4 million, and continued ongoing weakness and increased competition in our legacy government services businesses of approximately $5.1 million, which were partially offset by increased service revenues of $2.2 million, primarily related to our work at certain weapon ranges. PSS segment revenue increased by $11.9 million, primarily driven by the delivery of sophisticated communication equipment aggregating $13.0 million that will be integrated into a customer’s command and control network.</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Product sales increased $2.5 million from $125.0 million for the three months ended June 30, 2013 to $127.5 million for the three months ended June 29, 2014, primarily as a result of a $13.0 million sale of communication equipment in the PSS segment offset by the decline in net product shipments in the KGS segment due to the factors discussed above. As a percentage of total revenue, product sales were 53.1% for the three months ended June 30, 2013 as compared to 55.6% for the three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months ended June 29, 2014. Service revenues decreased by $8.4 million from $110.2 million for the three months ended June 30, 2013 to $101.8 million for the three months ended June 29, 2014. The decrease was primarily related to reductions in the legacy government service revenues and other service contracts in the KGS segment, which reductions are being experienced industry wide as a result of declining DoD budgets, changes in certain DoD procurement rules and other factors.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decreased $1.9 million from $174.8 million for the three months ended June 30, 2013 to $172.9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29, 2014. The decrease in cost of revenues was primarily a result of the changes discussed above.</w:t>
      </w:r>
    </w:p>
    <w:p>
      <w:pPr>
        <w:spacing w:after="0" w:line="170"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Gross margin decreased from 25.7% for the three months ended June 30, 2013 to 24.6% for the three months ended June 29, 2014. Margins on services decreased from the three months ended June 30, 2013 to June 29, 2014, from 24.4% to 23.5%, respectively, due primarily to an unfavorable mix of revenues and decreased margins in our PSS segment. Margins on products decreased from the three months ended June 30, 2013 to June 29, 2014 from</w:t>
      </w:r>
    </w:p>
    <w:p>
      <w:pPr>
        <w:jc w:val="both"/>
        <w:ind w:right="120"/>
        <w:spacing w:after="0" w:line="254" w:lineRule="auto"/>
        <w:rPr>
          <w:sz w:val="20"/>
          <w:szCs w:val="20"/>
          <w:color w:val="auto"/>
        </w:rPr>
      </w:pPr>
      <w:r>
        <w:rPr>
          <w:rFonts w:ascii="Arial" w:cs="Arial" w:eastAsia="Arial" w:hAnsi="Arial"/>
          <w:sz w:val="18"/>
          <w:szCs w:val="18"/>
          <w:color w:val="auto"/>
        </w:rPr>
        <w:t>26.8% to 25.5%, respectively, primarily due to the mix of products shipped. Margins in the KGS segment increased from 25.3% for the three months ended June 30, 2013 to 25.9% for the three months ended June 29, 2014, primarily as a result of a favorable mix of revenues. Margins in the PSS segment declined from 27.1% for the three months ended June 30, 2013 to 21.2% for the three months ended June 29, 2014 due primarily to a less favorable mix of revenues, with a lower margin on the product sale discussed previously.</w:t>
      </w:r>
    </w:p>
    <w:p>
      <w:pPr>
        <w:spacing w:after="0" w:line="1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decreased $3.1 million from $48.0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2013 to $44.9 million for the three months ended June 29, 2014, primarily as a result of a $3.3 million reduction of amortization of intangibles in 2014. As a percentage of revenues, SG&amp;A decreased from 20.4% to 19.6%. Excluding amortization of intangibles of $9.0 million for the three months ended June 30, 2013 and amortization of intangibles of $5.7 million for the three months ended June 29, 2014, SG&amp;A increased as a percentage of revenues from 16.6% to 17.1%, or from $39.0 million to $39.2 million for the three months ended June 30, 2013 and June 29, 2014, respectively, primarily as a result of increased Sarbanes Oxley related compliance costs and internal information technology costs incurred to continue to protect the Company from external cyber threats.</w:t>
      </w:r>
    </w:p>
    <w:p>
      <w:pPr>
        <w:spacing w:after="0" w:line="18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The benefit of $2.6 million for the three months ended June 30, 2013 was due to the reduction in a $3.1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 a result of the final settlement of our indemnity obligations related to former directors and officers of Integral, partially offset by $0.4 million of legal fees on another matter related to a prior acquisition.</w:t>
      </w:r>
    </w:p>
    <w:p>
      <w:pPr>
        <w:spacing w:after="0" w:line="18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i w:val="1"/>
          <w:iCs w:val="1"/>
          <w:color w:val="auto"/>
        </w:rPr>
        <w:t xml:space="preserve">Internal Research and Development ("IR&amp;D") Expenses. </w:t>
      </w:r>
      <w:r>
        <w:rPr>
          <w:rFonts w:ascii="Arial" w:cs="Arial" w:eastAsia="Arial" w:hAnsi="Arial"/>
          <w:sz w:val="17"/>
          <w:szCs w:val="17"/>
          <w:color w:val="auto"/>
        </w:rPr>
        <w:t>IR&amp;D expenses were $4.8 million for the three months ended June 30, 2013 and $5.9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29, 2014. As a percentage of revenues, IR&amp;D increased from 2.0% of revenues in the three months ended June 30, 2013 to 2.6% of revenues in the three months ended June 29, 2014 as a result of certain investments the Company is making related to new programs and platforms in the electronic products business, the unmanned systems area, and the satellite communications business. We are making certain of these investments in conjunction with our customers, with the objectives of the Company’s products being “designed in” to these new long term program opportunities and the Company owning certain intellectual property rights for products that support these programs.</w:t>
      </w:r>
    </w:p>
    <w:p>
      <w:pPr>
        <w:spacing w:after="0" w:line="17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i w:val="1"/>
          <w:iCs w:val="1"/>
          <w:color w:val="auto"/>
        </w:rPr>
        <w:t xml:space="preserve">Unused office space and other restructuring. </w:t>
      </w:r>
      <w:r>
        <w:rPr>
          <w:rFonts w:ascii="Arial" w:cs="Arial" w:eastAsia="Arial" w:hAnsi="Arial"/>
          <w:sz w:val="16"/>
          <w:szCs w:val="16"/>
          <w:color w:val="auto"/>
        </w:rPr>
        <w:t>The expense of $1.3 million for the three months ended June 30, 2013 was due to expenses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workforce reductions as a result of cost saving initiatives we have implemented across the Company. The expense of $0.9 million for the three months ended June 29, 2014 was primarily due to employee termination costs related to personnel reduction actions taken during the second quarter of 2014.</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$16.1 million to $52.9 million for the three months ended June 30, 2013 and June 29,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$36.8 million is primarily related to the $39.1 million loss on the extinguishment of the Company’s 10% Senior Secured Notes due 2017.</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(benefit) for the three months ended June 30, 2013 and June 29, 2014 was $(0.1) million and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These amounts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7" w:lineRule="exact"/>
        <w:rPr>
          <w:sz w:val="20"/>
          <w:szCs w:val="20"/>
          <w:color w:val="auto"/>
        </w:rPr>
      </w:pPr>
    </w:p>
    <w:p>
      <w:pPr>
        <w:ind w:right="40" w:firstLine="693"/>
        <w:spacing w:after="0" w:line="259"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Revenue from discontinued operations was $0.5 million and $0 million and loss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$2.5 million and $0.1 million for the three months ended June 30, 2013 and June 29, 2014, respectively. The revenue and income for the three months ended June 30, 2013 and June 29, 2014 were primarily related to operations of the non-core businesses from the Integral acquisition that were classified as held for sale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subsequently sold. See Note 7 of the Notes to the Condensed Consolidated Financial Statements for a further discussion of our discontinued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30, 2013 to the Six Months Ended June 29,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six months ended June 30, 2013 and June 29, 2014 are as follows (dollars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2014</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Revenues decreased $59.1 million from $488.5 million for the six months ended June 30, 2013 to $429.4 million for the six months ended June 29, 2014. KGS segment revenue decreased by $69.3 million. The decrease in product sales of $48.3 million was primarily due to a decline in shipments of our defense products, resulting from a delay in orders and awards as a result of the challenging federal government and DoD funding environment including an Extended Continuing Resolution Authorization (CRA), federal government personnel furloughs and a federal government shutdown, all of which adversely impacted new contract awards, bookings and the Company’s revenues. Additionally, revenue was also adversely impacted by the decrease resulting from the expected completion of a sizable satellite communications program, which impacted revenues by approximately $9.5 million, and continued ongoing weakness and increased competition in our legacy government services businesses of approximately $11.6 million. PSS segment revenue increased by $10.2 million, primarily due to a $13.0 million product sale of communication equipment.</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Product sales decreased $35.3 million from $262.3 million for the six months ended June 30, 2013 to $227.0 million for the six months ended June 29, 2014, primarily as a result of the decline in product shipments due to the factors discussed above. As a percentage of total revenue, product sales were 53.7% for the six months ended June 30, 2013 as compared to 52.9% for the six months ended June 29, 2014. Service revenues decreased by $23.8 million from $226.2 million for the six months ended June 30, 2013 to $202.4 million for the six months ended June 29, 2014. The decrease was primarily related to reductions in the legacy government service revenues and other service contracts in the KGS segment, which reductions are being experienced industry wide as a result of declining DoD budgets, changes in certain DoD procurement rules and other factors, as well as due to the expected completion of a sizable satellite communications program.</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decreased $41.9 million from $362.3 million for the six months ended June 30, 2013 to $320.4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29, 2014. The decrease in cost of revenues was primarily a result of the changes discussed above.</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Gross margin decreased from 25.7% for the six months ended June 30, 2013 to 25.4% for the six months ended June 29, 2014. Margins on services increased from the six months ended June 30, 2013 to June 29, 2014, from 24.0% to 24.9%, respectively, due primarily to a favorable mix of revenues and increased margins in our KGS segment. Margins on products decreased for the six months ended June 30, 2013 to June 29, 2014 from 27.4% to 25.8%, respectively, primarily as a result of increased costs recorded on certain aerial target contracts to reflect retrofits and changes necessary to address a design issue on certain of the Company's new aerial target platforms and due to the unfavorable mix of revenues related to a product sale in the PSS segment, as well as, to a lesser degree, a mix of products shipped. Margins in the KGS segment increased from 25.7% for the six months ended June 30, 2013 to 26.2% for the six months ended June 29, 2014, primarily as a result of a favorable mix of revenues. Margins in the PSS segment decreased from 26.2% for the six months ended June 30, 2013 and 23.0% for the six months ended June 29, 2014, primarily due to decreased service margins and the product sale noted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$8.8 million from $97.1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2013 to $88.3 million for the six months ended June 29, 2014, primarily as a result a $7.0 million reduction of amortization of intangibles in 2014, as well as cost reduction actions taken by the Company. As a percentage of revenues, SG&amp;A increased from 19.9% to 20.6%. Excluding amortization of intangibles of $18.3 million for the six months ended June 30, 2013 and amortization of intangibles of $11.3 million for the six months ended June 29, 2014, SG&amp;A increased as a percentage of revenues from 16.1% to 17.9%, or from $78.8 million to $77.0 million for the six months ended June 30, 2013 and June 29, 2014, respectively, primarily as a result of the decline in revenues discussed previously.</w:t>
      </w:r>
    </w:p>
    <w:p>
      <w:pPr>
        <w:spacing w:after="0" w:line="17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The benefit of $2.5 million for the six months ended June 30, 2013 was due to the reduction in a $3.1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 a result of the final settlement of our indemnity obligations related to former directors and officers of Integral, partially offset by other merger expenses and legal fees related to prior acquisitions.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Internal Research and Development ("IR&amp;D") Expenses. </w:t>
      </w:r>
      <w:r>
        <w:rPr>
          <w:rFonts w:ascii="Arial" w:cs="Arial" w:eastAsia="Arial" w:hAnsi="Arial"/>
          <w:sz w:val="17"/>
          <w:szCs w:val="17"/>
          <w:color w:val="auto"/>
        </w:rPr>
        <w:t>IR&amp;D expenses were $9.7 million for the six months ended June 30, 2013 and $11.1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29, 2014. As a percentage of revenues, IR&amp;D increased from 2.0% of revenues in the six months ended June 30, 2013 to 2.6% of revenues in the six months ended June 29, 2014 as a result of certain investments the Company is making related to new programs and platforms in the electronic products business, the unmanned systems area, and the satellite communications business. We are making certain of these investments in conjunction with our customers, with the objectives of the Company’s products being “designed in” to these new long term program opportunities and the Company owning certain intellectual property rights for products that support these programs.</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Unused office space and other restructuring. </w:t>
      </w:r>
      <w:r>
        <w:rPr>
          <w:rFonts w:ascii="Arial" w:cs="Arial" w:eastAsia="Arial" w:hAnsi="Arial"/>
          <w:sz w:val="17"/>
          <w:szCs w:val="17"/>
          <w:color w:val="auto"/>
        </w:rPr>
        <w:t>The expense of $1.6 million for the six months ended June 30, 2013 was due to expenses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workforce reductions as a result of cost saving initiatives we have implemented across the Company. The expense of $1.6 million for the six months ended June 29, 2014 was primarily due to an estimated excess facility accrual of office space at our Sacramento, California administrative facilities, as well as due to employee termination costs related to personnel reduction actions taken during the six-month period ended June 29, 2014.</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$33.1 million to $68.8 million for the six months ended June 30, 2013 and June 29,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$35.7 million is primarily related to $39.1 million loss on the extinguishment of the Company’s 10% Senior Secured Notes due 2017.</w:t>
      </w:r>
    </w:p>
    <w:p>
      <w:pPr>
        <w:spacing w:after="0" w:line="181" w:lineRule="exact"/>
        <w:rPr>
          <w:sz w:val="20"/>
          <w:szCs w:val="20"/>
          <w:color w:val="auto"/>
        </w:rPr>
      </w:pPr>
    </w:p>
    <w:p>
      <w:pPr>
        <w:ind w:right="40" w:firstLine="612"/>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(benefit) for the six months ended June 30, 2013 and June 29, 2014 was $2.7 million and $3.9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These amounts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7" w:lineRule="exact"/>
        <w:rPr>
          <w:sz w:val="20"/>
          <w:szCs w:val="20"/>
          <w:color w:val="auto"/>
        </w:rPr>
      </w:pPr>
    </w:p>
    <w:p>
      <w:pPr>
        <w:ind w:right="160" w:firstLine="693"/>
        <w:spacing w:after="0" w:line="25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Revenue from discontinued operations was $3.6 million and $0 million and loss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$4.4 million and $0.2 million for the six months ended June 30, 2013 and June 29, 2014, respectively. The revenue and income for the six months ended June 30, 2013 and June 29, 2014 were primarily related to operations of the non-core businesses from the Integral acquisition that have been classified as held for sale. See Note 7 of the Notes to the Condensed Consolidated Financial Statements for a further discussion of our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both June 30, 2013 and June 29, 2014, our backlog was approximately $1.0 billion of which $558.0 million was funded in 2013 and $557.0 million was funded in 2014.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Unfunded backlog reflects our estimate of future revenue under awarded government contracts and task orders for which either funding has not yet been appropriated or expenditure has not yet been authorized. Our total backlog does not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of June 29, 2014, we had cash and cash equivalents of $26.9 million compared with cash and cash equivalents of $55.7 million as of December 29, 2013, which includes $10.1 million and $16.0 million, respectively, of cash and cash equivalents held by our foreign subsidiaries. We are not presently aware of any restrictions on the repatriation of these funds; however, they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total debt, including capital lease obligations, principal due on Senior Secured Notes, and other term debt increased by $19.5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$644.7 million on December 29, 2013 to $664.2 million on June 29, 2014. The increase in debt was primarily due to an offering of $625.0 million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7.00% Senior Secured Notes due 2019 in a private placement conducted pursuant to Rule 144A and Regulation S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1933, as amended. The proceeds from the offering, as well as borrowings of $41.0 million from our new credit facility and cash from operations were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extinguish the Company’s existing 10% Senior Secured Notes due 2017 and to pay all fees and expenses related thereto.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operating cash flow is used to finance trade accounts receivable, inventory, capital expenditures, support ongoing operations, service our debt and make strategic acquisitions. Cash from continuing operations is primarily derived from our customer contracts in progress and associated changes in working capital components. Our Days Sales Outstanding (DSOs) have increased from 103 days at December 29, 2013 to 106 days as of June 29, 2014, primarily as a result of certain contractual milestones that have not yet been attained, such as equipment deliveries on a missile system program that has been delayed due to a subcontractor issue, and for certain flight requirements that must be fulfilled on certain aerial target programs, and therefore we are unable to bill for amounts outstanding related to those milestones. The challenging DoD budgetary environment described above, which has in certain instances caused delays in obtaining funding necessary to proceed with payments, has impacted our DSOs as well. Our accounts receivable balance of $265.9 million at June 29, 2014 includes $1.3 million of receivables due from a Greek customer under a subcontract arrangement Gichner Holdings, Inc. (“Gichner”) entered into with the Greek Ministry of Defense ("GMoD") in 2004 prior to our acquisition of Gichner in 2010. We do not have any significant direct exposure to European government receivables, and our customers do not rely heavily on European government subsidies or other European government support. We will continue to monitor our exposure to risks related to European sovereign debt.</w:t>
      </w:r>
    </w:p>
    <w:p>
      <w:pPr>
        <w:spacing w:after="0" w:line="18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investing activities, and financing activities from our condensed consolidated statements of cash flows is as follows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29, 2014</w:t>
            </w:r>
          </w:p>
        </w:tc>
      </w:tr>
      <w:tr>
        <w:trPr>
          <w:trHeight w:val="250"/>
        </w:trPr>
        <w:tc>
          <w:tcPr>
            <w:tcW w:w="8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Net cash flows provided by (used in) discontinued operations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r>
    </w:tbl>
    <w:p>
      <w:pPr>
        <w:spacing w:after="0" w:line="229" w:lineRule="exact"/>
        <w:rPr>
          <w:sz w:val="20"/>
          <w:szCs w:val="20"/>
          <w:color w:val="auto"/>
        </w:rPr>
      </w:pPr>
    </w:p>
    <w:p>
      <w:pPr>
        <w:ind w:right="160" w:firstLine="693"/>
        <w:spacing w:after="0" w:line="277" w:lineRule="auto"/>
        <w:rPr>
          <w:sz w:val="20"/>
          <w:szCs w:val="20"/>
          <w:color w:val="auto"/>
        </w:rPr>
      </w:pPr>
      <w:r>
        <w:rPr>
          <w:rFonts w:ascii="Arial" w:cs="Arial" w:eastAsia="Arial" w:hAnsi="Arial"/>
          <w:sz w:val="18"/>
          <w:szCs w:val="18"/>
          <w:color w:val="auto"/>
        </w:rPr>
        <w:t>Net cash used in operating activities for the six months ended June 29, 2014 was negatively impacted by reduced operating income and changes in working capital accounts.</w:t>
      </w:r>
    </w:p>
    <w:p>
      <w:pPr>
        <w:spacing w:after="0" w:line="170" w:lineRule="exact"/>
        <w:rPr>
          <w:sz w:val="20"/>
          <w:szCs w:val="20"/>
          <w:color w:val="auto"/>
        </w:rPr>
      </w:pPr>
    </w:p>
    <w:p>
      <w:pPr>
        <w:ind w:right="140" w:firstLine="45"/>
        <w:spacing w:after="0" w:line="308" w:lineRule="auto"/>
        <w:rPr>
          <w:sz w:val="20"/>
          <w:szCs w:val="20"/>
          <w:color w:val="auto"/>
        </w:rPr>
      </w:pPr>
      <w:r>
        <w:rPr>
          <w:rFonts w:ascii="Arial" w:cs="Arial" w:eastAsia="Arial" w:hAnsi="Arial"/>
          <w:sz w:val="17"/>
          <w:szCs w:val="17"/>
          <w:color w:val="auto"/>
        </w:rPr>
        <w:t>Net cash used in investing activities is primarily comprised of capital expenditures, which consist primarily of investment in machinery, computer hardware and software and improvement of our physical properties in order to maintain suitable conditions in which to conduct our business.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29, 2014 reflects refinancing $625 million of our 10% Senior Secured Notes with $625 million of 7% Senior Secured Notes as well as a $41.0 million borrowing on our new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 Senior Secured Notes due 2019</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May 14, 2014, the Company completed an offering of $625.0 million aggregate principal amount of 7.00% Senior Secured Notes due 2019 (the "Notes") in a private placement conducted pursuant to Rule 144A and Regulation S under the Securities Act of 1933, as amended. The proceeds from the offering, as well as borrowings of $41.0 million from our new credit facility and cash from operations, were used to refinance the Company’s existing 10% Senior Secured Notes due 2017 (the "10% Notes") and to pay all fees and expenses related thereto. The loss on the extinguishment of the 10% Notes was $39.1 million.</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29, 2014, the Company was in compliance with the covenants contained in the Indenture governing the Notes.</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14, 2014, the Company replaced the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June 29, 2014, there was $41.0 million outstanding on the Credit Agreement and $9.5 million was outstanding on letters of credit, resulting in net borrowing base availability of $56.6 million. The Company was in compliance with the financial covenants as of June 29, 2014.</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wholly owned subsidiaries. The balance as of June 29, 2014 was $4.2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June 29,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six months ended June 29, 2014,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7"/>
          <w:szCs w:val="17"/>
          <w:b w:val="1"/>
          <w:bCs w:val="1"/>
          <w:color w:val="auto"/>
        </w:rPr>
        <w:t>"</w:t>
      </w:r>
      <w:r>
        <w:rPr>
          <w:rFonts w:ascii="Arial" w:cs="Arial" w:eastAsia="Arial" w:hAnsi="Arial"/>
          <w:sz w:val="17"/>
          <w:szCs w:val="17"/>
          <w:color w:val="auto"/>
        </w:rPr>
        <w:t>Contractual Obligations and Commitments" above. Based on our current outstanding balance, a 1% change in the LIBOR rate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 on our prior credit facilities.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cash and cash equivalents as of June 29, 2014 were $26.9 million and are primarily invested in money market interest bearing accounts. A hypothetical 10% adverse change in the average interest rate on our money market cash investments and short-term investments would have had no material effect on our net loss for the six months ended June 29, 2014.</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29,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June 29, 2014 that has materially affected, or is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29, 2013, which we filed with the SEC on March 12, 2014. The risks and uncertainties described in “Item 1A - Risk Factors” of our Annual Report on Form 10-K have not materially changed. Any of the risks discussed in this Quarterly Report on Form 10-Q or any of the risks disclosed in Item 1A. to Part I of our Annual Report on Form 10-K for the fiscal year ended December 29, 2013, as well as additional risks and uncertainties not currently known to us or that we currently deem immaterial, could materially and adversely affect our results of operations or financial condition or cash flow.</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six month period ended June 29, 2014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125" w:right="144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472"/>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9/30/2001(000-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25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9/14/2007(000-</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48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88"/>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9/30/2001(000-</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256"/>
        </w:trPr>
        <w:tc>
          <w:tcPr>
            <w:tcW w:w="800" w:type="dxa"/>
            <w:vAlign w:val="bottom"/>
          </w:tcPr>
          <w:p>
            <w:pPr>
              <w:jc w:val="center"/>
              <w:ind w:right="250"/>
              <w:spacing w:after="0"/>
              <w:rPr>
                <w:sz w:val="20"/>
                <w:szCs w:val="20"/>
                <w:color w:val="auto"/>
              </w:rPr>
            </w:pPr>
            <w:r>
              <w:rPr>
                <w:rFonts w:ascii="Arial" w:cs="Arial" w:eastAsia="Arial" w:hAnsi="Arial"/>
                <w:sz w:val="18"/>
                <w:szCs w:val="18"/>
                <w:color w:val="auto"/>
              </w:rPr>
              <w:t>8-K/A</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6/5/2002(000-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5500" w:space="120"/>
            <w:col w:w="5800"/>
          </w:cols>
          <w:pgMar w:left="240" w:top="125"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06/28/2010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06/07/2011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10/25/2011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41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Jefferies &amp; Company, Inc., KeyBanc Capital Markets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May 14, 2014,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as Issuer,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Guarantors party thereto, and Wilmington Trust,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National Association,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Registration Rights Agreement dated May 14, 2014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among Kratos Defense &amp; Security Solutions, Inc.,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Issuer, the Guarantors party thereto, and SunTrust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Robinson Humphrey, Inc., as Representative of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Initial Purchasers.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Credit and Security Agreement, dated May 14, 2014,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among Kratos Defense &amp; Security Solutions, Inc.,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Borrower, the lenders named therein, SunTrust 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as Agent, and SunTrust Robinson Humphrey, Inc.,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Lead Arranger and Sole Book Runner.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Certification of Chief Executive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39"/>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03/29/2011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04/04/2011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03/29/2011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05/15/2014</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05/15/2014</w:t>
            </w: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05/15/2014</w:t>
      </w:r>
      <w:r>
        <w:rPr>
          <w:sz w:val="20"/>
          <w:szCs w:val="20"/>
          <w:color w:val="auto"/>
        </w:rPr>
        <w:tab/>
      </w:r>
      <w:r>
        <w:rPr>
          <w:rFonts w:ascii="Arial" w:cs="Arial" w:eastAsia="Arial" w:hAnsi="Arial"/>
          <w:sz w:val="16"/>
          <w:szCs w:val="16"/>
          <w:color w:val="auto"/>
        </w:rPr>
        <w:t>10.2</w:t>
      </w:r>
    </w:p>
    <w:p>
      <w:pPr>
        <w:spacing w:after="0" w:line="63"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439"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8"/>
          <w:szCs w:val="18"/>
          <w:color w:val="auto"/>
        </w:rPr>
        <w:t>Solutions, Inc. for the quarter ended June 29, 2014</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formatted in XBRL: (i) the Condensed Consolidated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 Sheets, (ii) the Condensed Consolidated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Statements of Operations and Comprehensive Income,</w:t>
      </w:r>
    </w:p>
    <w:p>
      <w:pPr>
        <w:spacing w:after="0" w:line="9" w:lineRule="exact"/>
        <w:rPr>
          <w:sz w:val="20"/>
          <w:szCs w:val="20"/>
          <w:color w:val="auto"/>
        </w:rPr>
      </w:pPr>
    </w:p>
    <w:p>
      <w:pPr>
        <w:jc w:val="both"/>
        <w:ind w:left="1540" w:right="6080" w:hanging="6"/>
        <w:spacing w:after="0" w:line="255" w:lineRule="auto"/>
        <w:tabs>
          <w:tab w:leader="none" w:pos="18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(iv) the Notes to the Condensed Consolidated Financial Statements.</w:t>
      </w: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56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August 7, 2014</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29, 2014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29, 2014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2"/>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Letter"/>
      <w:start w:val="6"/>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Roman"/>
      <w:start w:val="3"/>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
      <w:numFmt w:val="bullet"/>
      <w:start w:val="1"/>
    </w:lvl>
    <w:lvl w:ilvl="1">
      <w:lvlJc w:val="left"/>
      <w:lvlText w:val="(%2)"/>
      <w:numFmt w:val="lowerRoman"/>
      <w:start w:val="3"/>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2019-12-06T20:39:29Z</dcterms:created>
  <dcterms:modified xsi:type="dcterms:W3CDTF">2019-12-06T20:39:29Z</dcterms:modified>
</cp:coreProperties>
</file>