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2" w:lineRule="exact"/>
        <w:rPr>
          <w:rFonts w:ascii="MS PGothic" w:cs="MS PGothic" w:eastAsia="MS PGothic" w:hAnsi="MS PGothic"/>
          <w:sz w:val="22"/>
          <w:szCs w:val="22"/>
          <w:color w:val="auto"/>
        </w:rPr>
      </w:pPr>
    </w:p>
    <w:p>
      <w:pPr>
        <w:ind w:left="38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March 27, 2016</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283"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08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San Diego, CA 92121</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255"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7140" w:space="720"/>
            <w:col w:w="3480"/>
          </w:cols>
          <w:pgMar w:left="240" w:top="233" w:right="319" w:bottom="1440" w:gutter="0" w:footer="0" w:header="0"/>
          <w:type w:val="continuous"/>
        </w:sectPr>
      </w:pPr>
    </w:p>
    <w:p>
      <w:pPr>
        <w:spacing w:after="0" w:line="156"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00" w:space="720"/>
            <w:col w:w="3820"/>
          </w:cols>
          <w:pgMar w:left="240" w:top="233" w:right="31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40"/>
          </w:cols>
          <w:pgMar w:left="240" w:top="233" w:right="319" w:bottom="1440" w:gutter="0" w:footer="0" w:header="0"/>
          <w:type w:val="continuous"/>
        </w:sectPr>
      </w:pPr>
    </w:p>
    <w:p>
      <w:pPr>
        <w:spacing w:after="0" w:line="189" w:lineRule="exact"/>
        <w:rPr>
          <w:sz w:val="24"/>
          <w:szCs w:val="24"/>
          <w:color w:val="auto"/>
        </w:rPr>
      </w:pPr>
    </w:p>
    <w:p>
      <w:pPr>
        <w:ind w:left="340" w:right="17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29, 2016, 59,670,226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27,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80" w:type="dxa"/>
            <w:vAlign w:val="bottom"/>
            <w:tcBorders>
              <w:bottom w:val="single" w:sz="8" w:color="0000EE"/>
            </w:tcBorders>
            <w:gridSpan w:val="6"/>
          </w:tcPr>
          <w:p>
            <w:pPr>
              <w:jc w:val="center"/>
              <w:ind w:right="20"/>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42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9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at March 27, 2016 and December 27, 2015 (unaudited)</w:t>
              </w:r>
            </w:hyperlink>
          </w:p>
        </w:tc>
        <w:tc>
          <w:tcPr>
            <w:tcW w:w="296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for the Three Months Ended March 27, 2016 and March</w:t>
              </w:r>
            </w:hyperlink>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29, 2015 (unaudited)</w:t>
              </w:r>
            </w:hyperlink>
          </w:p>
        </w:tc>
        <w:tc>
          <w:tcPr>
            <w:tcW w:w="8400" w:type="dxa"/>
            <w:vAlign w:val="bottom"/>
            <w:gridSpan w:val="13"/>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for the Three Months Ended March 27, 2016 and March 29, 2015 (unaudited)</w:t>
              </w:r>
            </w:hyperlink>
          </w:p>
        </w:tc>
        <w:tc>
          <w:tcPr>
            <w:tcW w:w="54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990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990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990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990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9000" w:type="dxa"/>
            <w:vAlign w:val="bottom"/>
            <w:gridSpan w:val="15"/>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990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990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5.</w:t>
              </w:r>
            </w:hyperlink>
          </w:p>
        </w:tc>
        <w:tc>
          <w:tcPr>
            <w:tcW w:w="990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990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9"/>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27, 2016</w:t>
            </w:r>
          </w:p>
        </w:tc>
        <w:tc>
          <w:tcPr>
            <w:tcW w:w="240" w:type="dxa"/>
            <w:vAlign w:val="bottom"/>
          </w:tcPr>
          <w:p>
            <w:pPr>
              <w:spacing w:after="0"/>
              <w:rPr>
                <w:sz w:val="24"/>
                <w:szCs w:val="24"/>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27, 2015</w:t>
            </w:r>
          </w:p>
        </w:tc>
        <w:tc>
          <w:tcPr>
            <w:tcW w:w="0" w:type="dxa"/>
            <w:vAlign w:val="bottom"/>
          </w:tcPr>
          <w:p>
            <w:pPr>
              <w:spacing w:after="0"/>
              <w:rPr>
                <w:sz w:val="1"/>
                <w:szCs w:val="1"/>
                <w:color w:val="auto"/>
              </w:rPr>
            </w:pPr>
          </w:p>
        </w:tc>
      </w:tr>
      <w:tr>
        <w:trPr>
          <w:trHeight w:val="33"/>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208.8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206.8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Inventoried costs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305.3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483.4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483.4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903.3</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Long-term debt principal, net of current portion</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444.4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444.1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649.1</w:t>
            </w:r>
          </w:p>
        </w:tc>
        <w:tc>
          <w:tcPr>
            <w:tcW w:w="0" w:type="dxa"/>
            <w:vAlign w:val="bottom"/>
          </w:tcPr>
          <w:p>
            <w:pPr>
              <w:spacing w:after="0"/>
              <w:rPr>
                <w:sz w:val="1"/>
                <w:szCs w:val="1"/>
                <w:color w:val="auto"/>
              </w:rPr>
            </w:pP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3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180"/>
              <w:spacing w:after="0"/>
              <w:rPr>
                <w:sz w:val="20"/>
                <w:szCs w:val="20"/>
                <w:color w:val="auto"/>
              </w:rPr>
            </w:pPr>
            <w:r>
              <w:rPr>
                <w:rFonts w:ascii="Arial" w:cs="Arial" w:eastAsia="Arial" w:hAnsi="Arial"/>
                <w:sz w:val="16"/>
                <w:szCs w:val="16"/>
                <w:color w:val="auto"/>
                <w:w w:val="90"/>
              </w:rPr>
              <w:t>Preferred stock, $0.001 par value, 5,000,000 shares authorized, 0 shares outstanding at March 27, 2016 and</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180"/>
              <w:spacing w:after="0"/>
              <w:rPr>
                <w:sz w:val="20"/>
                <w:szCs w:val="20"/>
                <w:color w:val="auto"/>
              </w:rPr>
            </w:pPr>
            <w:r>
              <w:rPr>
                <w:rFonts w:ascii="Arial" w:cs="Arial" w:eastAsia="Arial" w:hAnsi="Arial"/>
                <w:sz w:val="16"/>
                <w:szCs w:val="16"/>
                <w:color w:val="auto"/>
              </w:rPr>
              <w:t>December 27, 2015</w:t>
            </w:r>
          </w:p>
        </w:tc>
        <w:tc>
          <w:tcPr>
            <w:tcW w:w="300" w:type="dxa"/>
            <w:vAlign w:val="bottom"/>
          </w:tcPr>
          <w:p>
            <w:pPr>
              <w:spacing w:after="0"/>
              <w:rPr>
                <w:sz w:val="17"/>
                <w:szCs w:val="17"/>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Common stock, $0.001 par value, 195,000,000 shares authorized; 59,583,569 and 59,139,651 shares issued</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outstanding at March 27, 2016 and December 27, 2015,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875.9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873.2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(639.8)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(617.6)</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254.2</w:t>
            </w:r>
          </w:p>
        </w:tc>
        <w:tc>
          <w:tcPr>
            <w:tcW w:w="0" w:type="dxa"/>
            <w:vAlign w:val="bottom"/>
          </w:tcPr>
          <w:p>
            <w:pPr>
              <w:spacing w:after="0"/>
              <w:rPr>
                <w:sz w:val="1"/>
                <w:szCs w:val="1"/>
                <w:color w:val="auto"/>
              </w:rPr>
            </w:pPr>
          </w:p>
        </w:tc>
      </w:tr>
      <w:tr>
        <w:trPr>
          <w:trHeight w:val="244"/>
        </w:trPr>
        <w:tc>
          <w:tcPr>
            <w:tcW w:w="7200" w:type="dxa"/>
            <w:vAlign w:val="bottom"/>
          </w:tcPr>
          <w:p>
            <w:pPr>
              <w:ind w:left="38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884.4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903.3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OPERATIONS AND COMPREHENSIVE LOSS (in millions, except per share amounts)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27, 2016</w:t>
            </w:r>
          </w:p>
        </w:tc>
        <w:tc>
          <w:tcPr>
            <w:tcW w:w="160" w:type="dxa"/>
            <w:vAlign w:val="bottom"/>
          </w:tcPr>
          <w:p>
            <w:pPr>
              <w:spacing w:after="0"/>
              <w:rPr>
                <w:sz w:val="22"/>
                <w:szCs w:val="22"/>
                <w:color w:val="auto"/>
              </w:rPr>
            </w:pPr>
          </w:p>
        </w:tc>
        <w:tc>
          <w:tcPr>
            <w:tcW w:w="1200" w:type="dxa"/>
            <w:vAlign w:val="bottom"/>
          </w:tcPr>
          <w:p>
            <w:pPr>
              <w:jc w:val="right"/>
              <w:ind w:right="119"/>
              <w:spacing w:after="0"/>
              <w:rPr>
                <w:sz w:val="20"/>
                <w:szCs w:val="20"/>
                <w:color w:val="auto"/>
              </w:rPr>
            </w:pPr>
            <w:r>
              <w:rPr>
                <w:rFonts w:ascii="Arial" w:cs="Arial" w:eastAsia="Arial" w:hAnsi="Arial"/>
                <w:sz w:val="14"/>
                <w:szCs w:val="14"/>
                <w:b w:val="1"/>
                <w:bCs w:val="1"/>
                <w:color w:val="auto"/>
                <w:w w:val="98"/>
              </w:rPr>
              <w:t>March 29, 2015</w:t>
            </w:r>
          </w:p>
        </w:tc>
        <w:tc>
          <w:tcPr>
            <w:tcW w:w="0" w:type="dxa"/>
            <w:vAlign w:val="bottom"/>
          </w:tcPr>
          <w:p>
            <w:pPr>
              <w:spacing w:after="0"/>
              <w:rPr>
                <w:sz w:val="1"/>
                <w:szCs w:val="1"/>
                <w:color w:val="auto"/>
              </w:rPr>
            </w:pPr>
          </w:p>
        </w:tc>
      </w:tr>
      <w:tr>
        <w:trPr>
          <w:trHeight w:val="236"/>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17"/>
        </w:trPr>
        <w:tc>
          <w:tcPr>
            <w:tcW w:w="8580" w:type="dxa"/>
            <w:vAlign w:val="bottom"/>
          </w:tcPr>
          <w:p>
            <w:pPr>
              <w:ind w:left="600"/>
              <w:spacing w:after="0"/>
              <w:rPr>
                <w:sz w:val="20"/>
                <w:szCs w:val="20"/>
                <w:color w:val="auto"/>
              </w:rPr>
            </w:pPr>
            <w:r>
              <w:rPr>
                <w:rFonts w:ascii="Arial" w:cs="Arial" w:eastAsia="Arial" w:hAnsi="Arial"/>
                <w:sz w:val="16"/>
                <w:szCs w:val="16"/>
                <w:color w:val="auto"/>
              </w:rPr>
              <w:t>Total costs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Unused office space, restructuring expenses, and other</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Operating 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858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Discontinued operations (Note 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Loss from operations of discontinued component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6"/>
                <w:szCs w:val="16"/>
                <w:color w:val="auto"/>
              </w:rPr>
              <w:t>Basic loss per common share:</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loss from discontinued operations</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loss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6"/>
                <w:szCs w:val="16"/>
                <w:color w:val="auto"/>
              </w:rPr>
              <w:t>Diluted loss per common share:</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loss from discontinued operations</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loss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loss (from above)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cumulative translation adjustment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4"/>
        </w:trPr>
        <w:tc>
          <w:tcPr>
            <w:tcW w:w="858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72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27, 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29, 2015</w:t>
            </w:r>
          </w:p>
        </w:tc>
        <w:tc>
          <w:tcPr>
            <w:tcW w:w="500" w:type="dxa"/>
            <w:vAlign w:val="bottom"/>
            <w:tcBorders>
              <w:bottom w:val="single" w:sz="8" w:color="auto"/>
            </w:tcBorders>
          </w:tcPr>
          <w:p>
            <w:pPr>
              <w:spacing w:after="0"/>
              <w:rPr>
                <w:sz w:val="22"/>
                <w:szCs w:val="22"/>
                <w:color w:val="auto"/>
              </w:rPr>
            </w:pPr>
          </w:p>
        </w:tc>
      </w:tr>
      <w:tr>
        <w:trPr>
          <w:trHeight w:val="21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60"/>
        </w:trPr>
        <w:tc>
          <w:tcPr>
            <w:tcW w:w="72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580" w:type="dxa"/>
            <w:vAlign w:val="bottom"/>
          </w:tcPr>
          <w:p>
            <w:pPr>
              <w:jc w:val="right"/>
              <w:ind w:right="1383"/>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1540" w:type="dxa"/>
            <w:vAlign w:val="bottom"/>
          </w:tcPr>
          <w:p>
            <w:pPr>
              <w:jc w:val="right"/>
              <w:ind w:right="13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discontinued operations</w:t>
            </w:r>
          </w:p>
        </w:tc>
        <w:tc>
          <w:tcPr>
            <w:tcW w:w="15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17"/>
        </w:trPr>
        <w:tc>
          <w:tcPr>
            <w:tcW w:w="720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5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Adjustments to reconcile loss from continuing operations to net cash used in operating activities from</w:t>
            </w:r>
          </w:p>
        </w:tc>
        <w:tc>
          <w:tcPr>
            <w:tcW w:w="1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15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5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5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Amortization of discount on Senior Secured Notes</w:t>
            </w:r>
          </w:p>
        </w:tc>
        <w:tc>
          <w:tcPr>
            <w:tcW w:w="15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Litigation related charges</w:t>
            </w:r>
          </w:p>
        </w:tc>
        <w:tc>
          <w:tcPr>
            <w:tcW w:w="15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non-cash restructuring charges</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Inventoried costs</w:t>
            </w:r>
          </w:p>
        </w:tc>
        <w:tc>
          <w:tcPr>
            <w:tcW w:w="15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Prepaid expenses and other assets</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15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compensation</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expenses</w:t>
            </w:r>
          </w:p>
        </w:tc>
        <w:tc>
          <w:tcPr>
            <w:tcW w:w="15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Advance payments received on contracts</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interest</w:t>
            </w:r>
          </w:p>
        </w:tc>
        <w:tc>
          <w:tcPr>
            <w:tcW w:w="15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Income tax receivable and payable</w:t>
            </w:r>
          </w:p>
        </w:tc>
        <w:tc>
          <w:tcPr>
            <w:tcW w:w="15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 liabilities</w:t>
            </w:r>
          </w:p>
        </w:tc>
        <w:tc>
          <w:tcPr>
            <w:tcW w:w="1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used in operating activities from continuing operations</w:t>
            </w:r>
          </w:p>
        </w:tc>
        <w:tc>
          <w:tcPr>
            <w:tcW w:w="15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5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Change in restricted cash</w:t>
            </w:r>
          </w:p>
        </w:tc>
        <w:tc>
          <w:tcPr>
            <w:tcW w:w="15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provided by (used in) investing activities from continuing operations</w:t>
            </w:r>
          </w:p>
        </w:tc>
        <w:tc>
          <w:tcPr>
            <w:tcW w:w="15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15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1"/>
              </w:rPr>
              <w:t>Proceeds from exercise of restricted stock units, employee stock options, and employee stock purchase plan</w:t>
            </w:r>
          </w:p>
        </w:tc>
        <w:tc>
          <w:tcPr>
            <w:tcW w:w="1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15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5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5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of discontinued operations</w:t>
            </w: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5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5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5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33.5</w:t>
            </w:r>
          </w:p>
        </w:tc>
      </w:tr>
      <w:tr>
        <w:trPr>
          <w:trHeight w:val="33"/>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580" w:type="dxa"/>
            <w:vAlign w:val="bottom"/>
            <w:tcBorders>
              <w:bottom w:val="single" w:sz="8" w:color="auto"/>
            </w:tcBorders>
            <w:shd w:val="clear" w:color="auto" w:fill="CCEEFF"/>
          </w:tcPr>
          <w:p>
            <w:pPr>
              <w:jc w:val="right"/>
              <w:ind w:right="138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r>
      <w:tr>
        <w:trPr>
          <w:trHeight w:val="20"/>
        </w:trPr>
        <w:tc>
          <w:tcPr>
            <w:tcW w:w="7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90"/>
        <w:spacing w:after="0" w:line="270" w:lineRule="auto"/>
        <w:rPr>
          <w:sz w:val="20"/>
          <w:szCs w:val="20"/>
          <w:color w:val="auto"/>
        </w:rPr>
      </w:pPr>
      <w:r>
        <w:rPr>
          <w:rFonts w:ascii="Arial" w:cs="Arial" w:eastAsia="Arial" w:hAnsi="Arial"/>
          <w:sz w:val="17"/>
          <w:szCs w:val="17"/>
          <w:color w:val="auto"/>
        </w:rPr>
        <w:t>The information as of March 27, 2016 and for the three months ended March 27, 2016 and March 29, 2015 is unaudited. The condensed consolidated balance sheet as of December 27, 2015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27, 2015, included in the Company’s Annual Report on Form 10-K filed with the U.S. Securities and Exchange Commission (the “SEC”) on March 11, 2016 (the “Form 10-K”). Interim operating results are not necessarily indicative of operating results expected in subsequent periods or for the year as a whole.</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discussed in Note 2 - Discontinued Operations, the amounts related to the first quarter of fiscal 2015 in these condensed consolidated financial statements have been recast to reflect the August 21, 2015 disposition of the Company’s 100% owned subsidiary Herley Industries, Inc. (“Herley”) and certain of Herley’s subsidiaries, including Herley-CTI, Inc., EW Simulation Technology, Ltd. and Stapor Research, Inc. (collectively, the “Herley Entities”) as discontinued operations.</w:t>
      </w:r>
    </w:p>
    <w:p>
      <w:pPr>
        <w:spacing w:after="0" w:line="183"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100%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Company has a 52/53 week fiscal year ending on the last Sunday of the calendar year, with interim fiscal periods ending on the last Sunday of each calendar quarter. The three month periods ended March 27, 2016 and March 29, 2015 consisted of 13-week periods. There are 52 calendar weeks in the fiscal years ending on December 25, 2016 and December 27, 2015.</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three months ended March 27, 2016 as compared to the accounting estimates described in the Form 10-K.</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In April 2016, the Financial Accounting Standards Board (“FASB”) issued Accounting Standards Updated (“ASU”) 2016-10 (“ASU 2016-10”), </w:t>
      </w:r>
      <w:r>
        <w:rPr>
          <w:rFonts w:ascii="Arial" w:cs="Arial" w:eastAsia="Arial" w:hAnsi="Arial"/>
          <w:sz w:val="18"/>
          <w:szCs w:val="18"/>
          <w:i w:val="1"/>
          <w:iCs w:val="1"/>
          <w:color w:val="auto"/>
        </w:rPr>
        <w:t>Revenue from Contracts with Customers, Identifying Performance Obligations and Licensing</w:t>
      </w:r>
      <w:r>
        <w:rPr>
          <w:rFonts w:ascii="Arial" w:cs="Arial" w:eastAsia="Arial" w:hAnsi="Arial"/>
          <w:sz w:val="18"/>
          <w:szCs w:val="18"/>
          <w:color w:val="auto"/>
        </w:rPr>
        <w:t>. ASU 2016-10 provides additional guidance on identifying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performance obligations and clarifies the implementation guidance on licensing. In March 2016, the FASB issued ASU 2016-08 (“ASU 2016-08”),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Principal versus Agent Considerations. </w:t>
      </w:r>
      <w:r>
        <w:rPr>
          <w:rFonts w:ascii="Arial" w:cs="Arial" w:eastAsia="Arial" w:hAnsi="Arial"/>
          <w:sz w:val="18"/>
          <w:szCs w:val="18"/>
          <w:color w:val="auto"/>
        </w:rPr>
        <w:t>ASU 2016-08 clarifies the implementation guidance and illustrations in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 standard. In August 2015, the FASB issued ASU 2015-14 (“ASU 2015-14”), </w:t>
      </w:r>
      <w:r>
        <w:rPr>
          <w:rFonts w:ascii="Arial" w:cs="Arial" w:eastAsia="Arial" w:hAnsi="Arial"/>
          <w:sz w:val="18"/>
          <w:szCs w:val="18"/>
          <w:i w:val="1"/>
          <w:iCs w:val="1"/>
          <w:color w:val="auto"/>
        </w:rPr>
        <w:t>Revenue from Contracts with Customers, Deferral of the Effective Date</w:t>
      </w:r>
      <w:r>
        <w:rPr>
          <w:rFonts w:ascii="Arial" w:cs="Arial" w:eastAsia="Arial" w:hAnsi="Arial"/>
          <w:sz w:val="18"/>
          <w:szCs w:val="18"/>
          <w:color w:val="auto"/>
        </w:rPr>
        <w:t xml:space="preserve"> that deferred the effective date of ASU 2014-09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Pursuant to ASU 2015-14, public business entities, certain not-for-profit entities, and certain employee benefit plans should apply the guidance in ASU 2014-09 to annual reporting periods beginning after December 15, 2017, including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interim reporting periods within that reporting period. The FASB issued ASU 2014-09 in May 2014. ASU 2014-09 affects any entity using GAAP that either enters into contracts with customers to transfer goods or services or enters into contracts for the transfer of nonfinancial assets unless those contracts are within the scope of other standards (</w:t>
      </w:r>
      <w:r>
        <w:rPr>
          <w:rFonts w:ascii="Arial" w:cs="Arial" w:eastAsia="Arial" w:hAnsi="Arial"/>
          <w:sz w:val="16"/>
          <w:szCs w:val="16"/>
          <w:i w:val="1"/>
          <w:iCs w:val="1"/>
          <w:color w:val="auto"/>
        </w:rPr>
        <w:t>e.g</w:t>
      </w:r>
      <w:r>
        <w:rPr>
          <w:rFonts w:ascii="Arial" w:cs="Arial" w:eastAsia="Arial" w:hAnsi="Arial"/>
          <w:sz w:val="16"/>
          <w:szCs w:val="16"/>
          <w:color w:val="auto"/>
        </w:rPr>
        <w:t xml:space="preserve">., insurance contracts or lease contracts). ASU 2014-09 will supersede the revenue recognition requirements in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most industry-specific guidance. ASU 2014-09 also supersedes some cost guidance included in FASB Accounting Standards Codification (“ASC”) Subtopic 605-35, </w:t>
      </w:r>
      <w:r>
        <w:rPr>
          <w:rFonts w:ascii="Arial" w:cs="Arial" w:eastAsia="Arial" w:hAnsi="Arial"/>
          <w:sz w:val="16"/>
          <w:szCs w:val="16"/>
          <w:i w:val="1"/>
          <w:iCs w:val="1"/>
          <w:color w:val="auto"/>
        </w:rPr>
        <w:t>Revenue Recognition—Construction-Type and Production-Type Contracts.</w:t>
      </w:r>
      <w:r>
        <w:rPr>
          <w:rFonts w:ascii="Arial" w:cs="Arial" w:eastAsia="Arial" w:hAnsi="Arial"/>
          <w:sz w:val="16"/>
          <w:szCs w:val="16"/>
          <w:color w:val="auto"/>
        </w:rPr>
        <w:t xml:space="preserve"> The guidance permits companies to either apply the requirements retrospectively to all prior periods presented or apply the requirements in the year of adoption, through a cumulative adjustment. The Company has not yet selected a transition method nor has it determined the impact of adoption on its condensed consolidated financial statements.</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March 2016, the FASB issued ASU 2016-09 (“ASU 2016-09”), </w:t>
      </w:r>
      <w:r>
        <w:rPr>
          <w:rFonts w:ascii="Arial" w:cs="Arial" w:eastAsia="Arial" w:hAnsi="Arial"/>
          <w:sz w:val="18"/>
          <w:szCs w:val="18"/>
          <w:i w:val="1"/>
          <w:iCs w:val="1"/>
          <w:color w:val="auto"/>
        </w:rPr>
        <w:t>Compensation — Stock Compensation (Topic 718): 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ASU 2016-09 simplifies several aspects of the accounting for employee share-based payments, including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forfeitures, statutory tax withholding requirements, and classification on the statement of cash flows. The amendments in this ASU are effective for annual periods beginning after December 15, 2016. Early adoption is permitted. The Company has not determined the impact of adoption on its condensed consolidated financial statements.</w:t>
      </w:r>
    </w:p>
    <w:p>
      <w:pPr>
        <w:spacing w:after="0" w:line="18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 xml:space="preserve">In February 2016, the FASB issued ASU 2016-02 (“ASU 2016-02”), </w:t>
      </w:r>
      <w:r>
        <w:rPr>
          <w:rFonts w:ascii="Arial" w:cs="Arial" w:eastAsia="Arial" w:hAnsi="Arial"/>
          <w:sz w:val="16"/>
          <w:szCs w:val="16"/>
          <w:i w:val="1"/>
          <w:iCs w:val="1"/>
          <w:color w:val="auto"/>
        </w:rPr>
        <w:t>Leases</w:t>
      </w:r>
      <w:r>
        <w:rPr>
          <w:rFonts w:ascii="Arial" w:cs="Arial" w:eastAsia="Arial" w:hAnsi="Arial"/>
          <w:sz w:val="16"/>
          <w:szCs w:val="16"/>
          <w:color w:val="auto"/>
        </w:rPr>
        <w:t>. ASU 2016-02 requires that lessees recognize assets and liabilities for the rights and obligations for leases with a lease term of more than one year. The amendments in this ASU are effective for annual periods ending after December 15, 2018. Early adoption is permitted. The Company has not determined the impact of adoption on its condensed consolidated financial statements.</w:t>
      </w:r>
    </w:p>
    <w:p>
      <w:pPr>
        <w:spacing w:after="0" w:line="14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The ASU eliminates the current requirement for organizations to present deferred tax liabilities and assets as current and noncurrent in a classified balance sheet. Instead, organizations will be required to classify all deferred tax assets and liabilities as noncurrent. The amendments apply to all organizations that present a classified balance sheet. For public companies, the amendments are effective for financial statements issued for annual periods beginning after December 15, 2016, and interim periods within those annual periods. The FASB also decided to permit earlier application by all entities as of the beginning of any interim or annual reporting period. The amendment provides the reporting entity with an option to apply the amendment prospectively, or retrospectively to all prior periods presented in the financial statements. The Company adopted ASU 2015-17 prospectively for the fiscal year ended December 27, 2015.</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August 2015, the FASB issued ASU 2015-15, </w:t>
      </w:r>
      <w:r>
        <w:rPr>
          <w:rFonts w:ascii="Arial" w:cs="Arial" w:eastAsia="Arial" w:hAnsi="Arial"/>
          <w:sz w:val="18"/>
          <w:szCs w:val="18"/>
          <w:i w:val="1"/>
          <w:iCs w:val="1"/>
          <w:color w:val="auto"/>
        </w:rPr>
        <w:t>Interest - Imputation of Interest (Subtopic 835-30): Presentation and Subsequent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Debt Issuance Costs Associated with Line-of-Credit Arrangements - Amendments to SEC Paragraphs Pursuant to Staff Announcement at June 18, 2015 EITF Meeting</w:t>
      </w:r>
      <w:r>
        <w:rPr>
          <w:rFonts w:ascii="Arial" w:cs="Arial" w:eastAsia="Arial" w:hAnsi="Arial"/>
          <w:sz w:val="18"/>
          <w:szCs w:val="18"/>
          <w:color w:val="auto"/>
        </w:rPr>
        <w:t>. ASU 2015-15 supplements the requirements of ASU 2015-03 by allowing an entity to defer and present debt issuance costs related to a line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as an asset and subsequently amortize the deferred costs ratably over the term of the line of credit arrangement. The Company adopted ASU 2015-15 for the fiscal year ended December 27, 2015.</w:t>
      </w:r>
    </w:p>
    <w:p>
      <w:pPr>
        <w:spacing w:after="0" w:line="18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Interest - Imputation of Interest (Subtopic 835-30): Simplifying the Presentation of Debt Issuance Costs</w:t>
      </w:r>
      <w:r>
        <w:rPr>
          <w:rFonts w:ascii="Arial" w:cs="Arial" w:eastAsia="Arial" w:hAnsi="Arial"/>
          <w:sz w:val="16"/>
          <w:szCs w:val="16"/>
          <w:color w:val="auto"/>
        </w:rPr>
        <w:t>. ASU 2015-03 requires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ASU 2015-03. The amendments in this ASU are effective for financial statements issued for fiscal years beginning after December 15, 2015 and interim periods within those fiscal years and early adoption of the amendments is permitted for financial statements that have not been previously issued and should be applied on a retrospective basis. The Company adopted ASU 2015-03 for the fiscal year ended December 27, 2015</w:t>
      </w:r>
    </w:p>
    <w:p>
      <w:pPr>
        <w:spacing w:after="0" w:line="16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January 2015, the FASB issued ASU 2015-01 (“ASU 2015-01”), </w:t>
      </w:r>
      <w:r>
        <w:rPr>
          <w:rFonts w:ascii="Arial" w:cs="Arial" w:eastAsia="Arial" w:hAnsi="Arial"/>
          <w:sz w:val="18"/>
          <w:szCs w:val="18"/>
          <w:i w:val="1"/>
          <w:iCs w:val="1"/>
          <w:color w:val="auto"/>
        </w:rPr>
        <w:t>Income Statement - Extraordinary and Unusual Items (Subtopic 225-20):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Simplifying Income Statement Presentation by Eliminating the Concept of Extraordinary Items. </w:t>
      </w:r>
      <w:r>
        <w:rPr>
          <w:rFonts w:ascii="Arial" w:cs="Arial" w:eastAsia="Arial" w:hAnsi="Arial"/>
          <w:sz w:val="18"/>
          <w:szCs w:val="18"/>
          <w:color w:val="auto"/>
        </w:rPr>
        <w:t>ASU 2015-01 eliminates from GAAP the concept of</w:t>
      </w:r>
      <w:r>
        <w:rPr>
          <w:rFonts w:ascii="Arial" w:cs="Arial" w:eastAsia="Arial" w:hAnsi="Arial"/>
          <w:sz w:val="18"/>
          <w:szCs w:val="18"/>
          <w:i w:val="1"/>
          <w:iCs w:val="1"/>
          <w:color w:val="auto"/>
        </w:rPr>
        <w:t xml:space="preserve"> </w:t>
      </w:r>
      <w:r>
        <w:rPr>
          <w:rFonts w:ascii="Arial" w:cs="Arial" w:eastAsia="Arial" w:hAnsi="Arial"/>
          <w:sz w:val="18"/>
          <w:szCs w:val="18"/>
          <w:color w:val="auto"/>
        </w:rPr>
        <w:t>extraordinary items. Subtopic 225-20, Income Statement - Extraordinary and Unusual Items, required that an entity separately classify, present, and disclose extraordinary events and transactions. Presently, an event or transaction is presumed to be an ordinary and usual activity of the reporting entity unless evidence clearly supports its classification as an extraordinary item. The amendments in this ASU are effective for fiscal years, and interim periods within those fiscal years, beginning after December 15, 2015. The Company adopted this standard in the quarter ended March 27, 2016, which did not have a material impact on its condensed consolidated financial statements.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In August 2014, the FASB issued ASU 2014-15 (“ASU 2014-15”), </w:t>
      </w:r>
      <w:r>
        <w:rPr>
          <w:rFonts w:ascii="Arial" w:cs="Arial" w:eastAsia="Arial" w:hAnsi="Arial"/>
          <w:sz w:val="17"/>
          <w:szCs w:val="17"/>
          <w:i w:val="1"/>
          <w:iCs w:val="1"/>
          <w:color w:val="auto"/>
        </w:rPr>
        <w:t>Presentation of Financial Statements—Going Concern (Subtopic 205-40):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Disclosure of Uncertainties about an Entity’s Ability to Continue as a Going Concern. </w:t>
      </w:r>
      <w:r>
        <w:rPr>
          <w:rFonts w:ascii="Arial" w:cs="Arial" w:eastAsia="Arial" w:hAnsi="Arial"/>
          <w:sz w:val="18"/>
          <w:szCs w:val="18"/>
          <w:color w:val="auto"/>
        </w:rPr>
        <w:t>ASU</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2014-15 is intended to define management’s responsibility to evaluate whether there is substantial doubt about an organization’s ability to continue as a going concern and to provide related footnote disclosures. Under GAAP, financial statements are prepared under the presumption that the reporting organization will continue to operate as a going concern, except in limited circumstances. Financial reporting under this presumption is commonly referred to as the going concern basis of accounting. The going concern basis of accounting is critical to financial reporting because it establishes the fundamental basis for measuring and classifying assets and liabilities. Currently, GAAP lacks guidance about management’s responsibility to evaluate whether there is substantial doubt about the organization’s ability to continue as a going concern or to provide related footnote disclosures. ASU 2014-15 provides guidance to an organization’s management, with principles and definitions that are intended to reduce diversity in the timing and content of disclosures that are commonly provided by organizations today in the financial statement footnotes. The amendments are effective for the annual period ending after December 15, 2016, and for annual and interim periods thereafter. Early application is permitted for annual or interim reporting periods for which the financial statements have not previously been issued. The Company does not believe that the adoption of this guidance will have a material impact on its condensed consolidated financial statements.</w:t>
      </w:r>
    </w:p>
    <w:p>
      <w:pPr>
        <w:spacing w:after="0" w:line="21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other than the adoption of ASU 2015-01, for the three months ended March 27, 2016 as compared to the significant accounting policies described in the Form 10-K.</w:t>
      </w:r>
    </w:p>
    <w:p>
      <w:pPr>
        <w:spacing w:after="0" w:line="27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carrying amounts and the related estimated fair values of the Company’s long-term debt financial instruments not measured at fair value on a recurring basis at March 27, 2016 and December 27, 2015 are presented in Note 8.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March 27, 2016 and December 27, 2015 due to the short-term nature of these instruments.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On August 21, 2015, the Company completed the sale of the U.S. and U.K. operations of its Electronic Products Division to Ultra Electronics Holdings plc (“Ultra”), a public limited company formed under the laws of England and Wales and traded on the London Stock Exchange, and Ultra Electronics Defense Inc. (the “Buyer”), a Delaware corporation ultimately owned by Ultra (the “Transaction”). Pursuant to the terms of that certain Stock Purchase Agreement, dated May 31, 2015, by and among the Company, Ultra and the Buyer (the “Purchase Agreement”), the Company sold to the Buyer all of the issued and outstanding capital stock of its wholly owned subsidiary Herley and the Herley Entities, for $260.0 million and $5.0 million for taxes incurred as part of the Transaction, less a $2.0 million escrow to satisfy any purchase price adjustments, and an estimated working capital adjustment of $8.3 million. The Purchase Agreement also contains certain non-compete and indemnification provisions. Under the Purchase Agreement, the Company entered into an agreement to indemnify the Buyer for any pre-acquisition tax liabilities. As a result of this arrangement, the Company recorded amounts that have historically been classified as unrecognized tax benefits into other long-term liabilities. The Company also agreed to indemnify Ultra for pre-existing environmental conditions for a period of five years from the closing date, with a maximum indemnification payment of $34.0 million. The Company does not believe payments will be required under the indemnification provision, and the assessment of the fair value is immaterial. Under the terms of the Purchase Agreement, a joint 338(h)(10) election has been made for income tax purposes, providing a “step up” in tax basis to Ultra. The Company incurred approximately $11.5 million in transaction-related costs. The gain on sale of $80.8 million is subject to changes in the indemnification obligations. In accordance with </w:t>
      </w:r>
      <w:r>
        <w:rPr>
          <w:rFonts w:ascii="Arial" w:cs="Arial" w:eastAsia="Arial" w:hAnsi="Arial"/>
          <w:sz w:val="16"/>
          <w:szCs w:val="16"/>
          <w:i w:val="1"/>
          <w:iCs w:val="1"/>
          <w:color w:val="auto"/>
        </w:rPr>
        <w:t>ASC 360-10-45-9, Property, Plant, and Equipment (Topic 360)</w:t>
      </w:r>
      <w:r>
        <w:rPr>
          <w:rFonts w:ascii="Arial" w:cs="Arial" w:eastAsia="Arial" w:hAnsi="Arial"/>
          <w:sz w:val="16"/>
          <w:szCs w:val="16"/>
          <w:color w:val="auto"/>
        </w:rPr>
        <w:t xml:space="preserve"> and </w:t>
      </w:r>
      <w:r>
        <w:rPr>
          <w:rFonts w:ascii="Arial" w:cs="Arial" w:eastAsia="Arial" w:hAnsi="Arial"/>
          <w:sz w:val="16"/>
          <w:szCs w:val="16"/>
          <w:i w:val="1"/>
          <w:iCs w:val="1"/>
          <w:color w:val="auto"/>
        </w:rPr>
        <w:t>ASC 205-20-45-3 Presentation of Financial Statements (Topic 205),</w:t>
      </w:r>
      <w:r>
        <w:rPr>
          <w:rFonts w:ascii="Arial" w:cs="Arial" w:eastAsia="Arial" w:hAnsi="Arial"/>
          <w:sz w:val="16"/>
          <w:szCs w:val="16"/>
          <w:color w:val="auto"/>
        </w:rPr>
        <w:t xml:space="preserve"> the Herley Entities were classified as discontinued operations in the accompanying condensed consolidated financial statements for all periods presented.</w:t>
      </w:r>
    </w:p>
    <w:p>
      <w:pPr>
        <w:spacing w:after="0" w:line="16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Immediately prior to the closing of the Transaction, the outstanding shares of the capital stock of (i) General Microwave Corporation, a New York corporation, and its direct and indirect wholly owned subsidiaries General Microwave Israel Corporation, a Delaware corporation, General Microwave Israel (1987) Ltd., an Israeli company, and Herley GMI Eyal Ltd., an Israeli company, (ii) MSI Acquisition Corp., a Delaware corporation and its wholly owned subsidiary Micro Systems, Inc., a Florida corporation, and (iii) Herley-RSS, Inc., a Delaware corporation, were distributed as a dividend by Herley to the Company and will continue their current operations as wholly owned subsidiaries of the Company.</w:t>
      </w:r>
    </w:p>
    <w:p>
      <w:pPr>
        <w:spacing w:after="0" w:line="17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November 2015, the Company and Ultra settled the working capital adjustment at $8.1 million, and the net cash position at closing, resulting in a net payment to the Company of $2.7 million. This represents the payment from escrow to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Company of $2.0 million, as well as the payment from Ultra of $0.7 million, reflecting the difference in the estimated working capital and actual working capital and the net cash position at the close of the Transaction. In January 2016, Ultra reimbursed the Company the $5.0 million maximum for taxes incurred as part of the Transaction.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6"/>
              </w:rPr>
              <w:t>Three Months Ended</w:t>
            </w:r>
          </w:p>
        </w:tc>
        <w:tc>
          <w:tcPr>
            <w:tcW w:w="480" w:type="dxa"/>
            <w:vAlign w:val="bottom"/>
            <w:tcBorders>
              <w:bottom w:val="single" w:sz="8" w:color="auto"/>
            </w:tcBorders>
          </w:tcPr>
          <w:p>
            <w:pPr>
              <w:spacing w:after="0"/>
              <w:rPr>
                <w:sz w:val="16"/>
                <w:szCs w:val="16"/>
                <w:color w:val="auto"/>
              </w:rPr>
            </w:pPr>
          </w:p>
        </w:tc>
      </w:tr>
      <w:tr>
        <w:trPr>
          <w:trHeight w:val="264"/>
        </w:trPr>
        <w:tc>
          <w:tcPr>
            <w:tcW w:w="90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27, 2016</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29, 2015</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9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9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 expense items that are not major</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9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9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Depreciation and amortization expense included in selling, general and administrative expenses was $1.7 million for the three months ended March 29, 2015.</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Interest expense is included based on an allocation consistent with the redemption of $175.0 million of the Company’s 7% Senior Secured Notes due 2019 (the “Notes”) and the repayment of $41.0 million in outstanding borrowings on that certain Credit and Security Agreement, dated May 14, 2014 (the “Credit Agreement”), by and among the Company, the lenders from time to time party thereto, SunTrust Bank, as Agent (the “Agent”), PNC Bank, National Association, as Joint Lead Arranger and Documentation Agent, and SunTrust Robinson Humphrey, Inc., as Joint Leader Arranger and Sole Book Runner, that was repaid upon the completion of the sale of the Herley Entities in accordance with the terms and conditions of the Indenture (as defined below) and the Credit Agreement, respectively. Refer to Note 8 for further discussion.</w:t>
      </w:r>
    </w:p>
    <w:p>
      <w:pPr>
        <w:spacing w:after="0" w:line="3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is a summary of the liabilities of discontinued operations in the accompanying condensed consolidated balance sheets as of March 27, 2016 and December 27, 2015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27,</w:t>
            </w:r>
          </w:p>
        </w:tc>
        <w:tc>
          <w:tcPr>
            <w:tcW w:w="12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December 27,</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4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4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4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2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4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400" w:type="dxa"/>
            <w:vAlign w:val="bottom"/>
            <w:vMerge w:val="restart"/>
          </w:tcPr>
          <w:p>
            <w:pPr>
              <w:jc w:val="right"/>
              <w:ind w:right="317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as of March 27, 2016 and December 27, 2015 by reportable segment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Public Safety &amp;</w:t>
            </w: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Kratos</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Unmanned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Government</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Security</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2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March 27, 2016</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As of December 27, 2015</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57.1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83.7</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16.6</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9.8</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0.9</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Indefinite-lived trade names</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6.9</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$2.7 million and $3.7 million for the three months ended March 27, 2016 and March 29,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27,</w:t>
            </w:r>
          </w:p>
        </w:tc>
        <w:tc>
          <w:tcPr>
            <w:tcW w:w="120" w:type="dxa"/>
            <w:vAlign w:val="bottom"/>
          </w:tcPr>
          <w:p>
            <w:pPr>
              <w:spacing w:after="0"/>
              <w:rPr>
                <w:sz w:val="14"/>
                <w:szCs w:val="14"/>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December 27,</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CCEEFF"/>
            </w:tcBorders>
          </w:tcPr>
          <w:p>
            <w:pPr>
              <w:spacing w:after="0"/>
              <w:rPr>
                <w:sz w:val="16"/>
                <w:szCs w:val="16"/>
                <w:color w:val="auto"/>
              </w:rPr>
            </w:pPr>
          </w:p>
        </w:tc>
        <w:tc>
          <w:tcPr>
            <w:tcW w:w="4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Supplies and other</w:t>
            </w:r>
          </w:p>
        </w:tc>
        <w:tc>
          <w:tcPr>
            <w:tcW w:w="4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 inventoried costs</w:t>
            </w:r>
          </w:p>
        </w:tc>
        <w:tc>
          <w:tcPr>
            <w:tcW w:w="4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Less: Customer advances and progress payments</w:t>
            </w:r>
          </w:p>
        </w:tc>
        <w:tc>
          <w:tcPr>
            <w:tcW w:w="4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inventoried costs</w:t>
            </w:r>
          </w:p>
        </w:tc>
        <w:tc>
          <w:tcPr>
            <w:tcW w:w="4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jc w:val="right"/>
              <w:ind w:right="3130"/>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0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w w:val="99"/>
              </w:rPr>
              <w:t>For the Three Months Ended</w:t>
            </w:r>
          </w:p>
        </w:tc>
        <w:tc>
          <w:tcPr>
            <w:tcW w:w="0" w:type="dxa"/>
            <w:vAlign w:val="bottom"/>
          </w:tcPr>
          <w:p>
            <w:pPr>
              <w:spacing w:after="0"/>
              <w:rPr>
                <w:sz w:val="1"/>
                <w:szCs w:val="1"/>
                <w:color w:val="auto"/>
              </w:rPr>
            </w:pPr>
          </w:p>
        </w:tc>
      </w:tr>
      <w:tr>
        <w:trPr>
          <w:trHeight w:val="264"/>
        </w:trPr>
        <w:tc>
          <w:tcPr>
            <w:tcW w:w="9020" w:type="dxa"/>
            <w:vAlign w:val="bottom"/>
          </w:tcPr>
          <w:p>
            <w:pPr>
              <w:spacing w:after="0"/>
              <w:rPr>
                <w:sz w:val="22"/>
                <w:szCs w:val="22"/>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27, 2016</w:t>
            </w:r>
          </w:p>
        </w:tc>
        <w:tc>
          <w:tcPr>
            <w:tcW w:w="1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March 29, 2015</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beginning of period</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Change in cumulative translation adjustment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for employee stock purchase plan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Restricted stock units traded for taxes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9020" w:type="dxa"/>
            <w:vAlign w:val="bottom"/>
          </w:tcPr>
          <w:p>
            <w:pPr>
              <w:spacing w:after="0"/>
              <w:rPr>
                <w:sz w:val="24"/>
                <w:szCs w:val="24"/>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27, 2016</w:t>
            </w:r>
          </w:p>
        </w:tc>
        <w:tc>
          <w:tcPr>
            <w:tcW w:w="1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March 29, 2015</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Post retirement benefit reserve adjustment net of tax expense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reclassifications from other comprehensive loss to net income (loss) for the three months ended March 27, 2016 and March 29, 2015.</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issued by the Company for the three months ended March 27, 2016 and March 29, 2015 was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902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27, 2016</w:t>
            </w:r>
          </w:p>
        </w:tc>
        <w:tc>
          <w:tcPr>
            <w:tcW w:w="1140" w:type="dxa"/>
            <w:vAlign w:val="bottom"/>
          </w:tcPr>
          <w:p>
            <w:pPr>
              <w:jc w:val="right"/>
              <w:ind w:right="14"/>
              <w:spacing w:after="0"/>
              <w:rPr>
                <w:sz w:val="20"/>
                <w:szCs w:val="20"/>
                <w:color w:val="auto"/>
              </w:rPr>
            </w:pPr>
            <w:r>
              <w:rPr>
                <w:rFonts w:ascii="Arial" w:cs="Arial" w:eastAsia="Arial" w:hAnsi="Arial"/>
                <w:sz w:val="14"/>
                <w:szCs w:val="14"/>
                <w:b w:val="1"/>
                <w:bCs w:val="1"/>
                <w:color w:val="auto"/>
              </w:rPr>
              <w:t>March 29, 2015</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beginning of the period</w:t>
            </w:r>
          </w:p>
        </w:tc>
        <w:tc>
          <w:tcPr>
            <w:tcW w:w="11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Stock issued for employee stock purchase plan, stock options and restricted stock units exercised</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0.5</w:t>
            </w:r>
          </w:p>
        </w:tc>
      </w:tr>
      <w:tr>
        <w:trPr>
          <w:trHeight w:val="27"/>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end of the period</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Loss Per Common Share</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The Company calculates net loss per share in accordance with FASB ASC Topic 260, </w:t>
      </w:r>
      <w:r>
        <w:rPr>
          <w:rFonts w:ascii="Arial" w:cs="Arial" w:eastAsia="Arial" w:hAnsi="Arial"/>
          <w:sz w:val="18"/>
          <w:szCs w:val="18"/>
          <w:i w:val="1"/>
          <w:iCs w:val="1"/>
          <w:color w:val="auto"/>
        </w:rPr>
        <w:t>Earnings per Share (Topic 260).</w:t>
      </w:r>
      <w:r>
        <w:rPr>
          <w:rFonts w:ascii="Arial" w:cs="Arial" w:eastAsia="Arial" w:hAnsi="Arial"/>
          <w:sz w:val="18"/>
          <w:szCs w:val="18"/>
          <w:color w:val="auto"/>
        </w:rPr>
        <w:t xml:space="preserve"> Under Topic 260, basic net loss per common share is calculated by dividing net loss by the weighted-average number of common shares outstanding during the reporting period. Diluted net loss per common share reflects the effects of potentially dilutive securities.</w:t>
      </w:r>
    </w:p>
    <w:p>
      <w:pPr>
        <w:spacing w:after="0" w:line="181" w:lineRule="exact"/>
        <w:rPr>
          <w:sz w:val="20"/>
          <w:szCs w:val="20"/>
          <w:color w:val="auto"/>
        </w:rPr>
      </w:pPr>
    </w:p>
    <w:p>
      <w:pPr>
        <w:ind w:right="520" w:firstLine="567"/>
        <w:spacing w:after="0" w:line="277" w:lineRule="auto"/>
        <w:rPr>
          <w:sz w:val="20"/>
          <w:szCs w:val="20"/>
          <w:color w:val="auto"/>
        </w:rPr>
      </w:pPr>
      <w:r>
        <w:rPr>
          <w:rFonts w:ascii="Arial" w:cs="Arial" w:eastAsia="Arial" w:hAnsi="Arial"/>
          <w:sz w:val="18"/>
          <w:szCs w:val="18"/>
          <w:color w:val="auto"/>
        </w:rPr>
        <w:t>Shares from stock options and awards, excluded from the calculation of diluted net loss per share because their inclusion would have been anti-dilutive, were 2.5 million and 2.3 million for the three months ended March 27, 2016 and March 29, 2015,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A reconciliation of the income tax benefit from continuing operations computed by applying the statutory federal income tax rate of 35% to loss from continuing operations before income taxes to the income tax provision for the three months ended March 27, 2016 and March 29, 2015 was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381635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27,</w:t>
            </w:r>
          </w:p>
        </w:tc>
        <w:tc>
          <w:tcPr>
            <w:tcW w:w="180" w:type="dxa"/>
            <w:vAlign w:val="bottom"/>
          </w:tcPr>
          <w:p>
            <w:pPr>
              <w:spacing w:after="0"/>
              <w:rPr>
                <w:sz w:val="14"/>
                <w:szCs w:val="14"/>
                <w:color w:val="auto"/>
              </w:rPr>
            </w:pPr>
          </w:p>
        </w:tc>
        <w:tc>
          <w:tcPr>
            <w:tcW w:w="960" w:type="dxa"/>
            <w:vAlign w:val="bottom"/>
          </w:tcPr>
          <w:p>
            <w:pPr>
              <w:jc w:val="right"/>
              <w:ind w:right="194"/>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9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1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0.4</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Impact of deferred tax liabilities for indefinite-lived assets</w:t>
            </w:r>
          </w:p>
        </w:tc>
        <w:tc>
          <w:tcPr>
            <w:tcW w:w="1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reserves for uncertain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Increase in federal valuation allowance</w:t>
            </w:r>
          </w:p>
        </w:tc>
        <w:tc>
          <w:tcPr>
            <w:tcW w:w="1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4.0</w:t>
            </w:r>
          </w:p>
        </w:tc>
      </w:tr>
      <w:tr>
        <w:trPr>
          <w:trHeight w:val="27"/>
        </w:trPr>
        <w:tc>
          <w:tcPr>
            <w:tcW w:w="9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tax provision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were limited to at least $27.0 million a year for the five years succeeding the March 2010 ownership change and at least $11.6 million for each year thereafter subject to separate limitations for Acquired NOLs. If the entire limitation amount is not utilized in a year, the excess can be carried forward and utilized in future years.</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three months ended March 27, 2016, there was no impact of such limitations on the income tax provision, since the amount of taxable income did not exceed the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18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As of December 27, 2015, the Company had $17.2 million of unrecognized tax benefits that, if recognized, would impact the effective income tax rate, subject to possible offset by an increase in the deferred tax asset valuation allowance. During the three months ended March 27, 2016, unrecognized tax benefits were increased by $1.4 million relating to various current year and prior positions. In connection with the Company’s disposition of the Electronic Products Division, the Company entered into an agreement to indemnify the Buyer for any pre-acquisition tax liabilities. As a result of this arrangement, the Company recorded amounts that have historically been classified as unrecognized tax benefits into other long-term liabilities.</w:t>
      </w:r>
    </w:p>
    <w:p>
      <w:pPr>
        <w:spacing w:after="0" w:line="158" w:lineRule="exact"/>
        <w:rPr>
          <w:sz w:val="20"/>
          <w:szCs w:val="20"/>
          <w:color w:val="auto"/>
        </w:rPr>
      </w:pPr>
    </w:p>
    <w:p>
      <w:pPr>
        <w:jc w:val="both"/>
        <w:ind w:right="400" w:firstLine="567"/>
        <w:spacing w:after="0" w:line="312" w:lineRule="auto"/>
        <w:rPr>
          <w:sz w:val="20"/>
          <w:szCs w:val="20"/>
          <w:color w:val="auto"/>
        </w:rPr>
      </w:pPr>
      <w:r>
        <w:rPr>
          <w:rFonts w:ascii="Arial" w:cs="Arial" w:eastAsia="Arial" w:hAnsi="Arial"/>
          <w:sz w:val="16"/>
          <w:szCs w:val="16"/>
          <w:color w:val="auto"/>
        </w:rPr>
        <w:t>The Company recognizes interest and penalties related to unrecognized tax benefits in its provision for income taxes. For the three months ended March 27, 2016 and March 29, 2015, a $0.6 million expense and $0.1 million expense, respectively, were recorded related to interest and penalties. The Company believes that no significant amount of the liabilities for uncertain tax positions will expire within twelve months of March 27,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2014, the Company refinanced its $625.0 million 10% Senior Secured Notes due in 2017 (the “10% Notes”) with $625.0 million of newly issued Notes, as defined above. The net proceeds of the Notes was $618.5 million after an original issue discount of $6.5 million. The Company incurred debt issuance costs of $8.8 million associated with the new Notes. The Company utilized the net proceeds from the Notes, a $41.0 million draw on the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completed the offering of the Notes in a private placement conducted pursuant to Rule 144A and Regulation S under the Securities Act of 1933, as amended (the “Act”). The Notes are governed by the Indenture, dated May 14, 2014 (the “Indenture”), among the Company, certain of the Company’s subsidiaries (the “Subsidiary Guarantors”) and Wilmington Trust, National Association, as Trustee and Collateral Agent. A Subsidiary Guarantor can be released from its Guarantee (as defined in the Indenture) if (a) all of the Capital Stock (as defined in the Indenture) issued by such Subsidiary Guarantor or all or substantially all of the assets of such Subsidiary Guarantor are sold or otherwise disposed of; (b) the Company designates such Subsidiary Guarantor as an Unrestricted Subsidiary (as defined in the Indenture); (c) if the Company exercises its legal defeasance option or its covenant defeasance option; or (d) upon satisfaction and discharge of the Indenture or payment in full in cash of the principal of, premium, if any, and accrued and unpaid interest.</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holders of the Notes have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Notes have a second priority lien to the Company’s $110.0 million Credit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pays interest on the Notes semi-annually, in arrears, on May 15 and November 15 of each year.</w:t>
      </w:r>
    </w:p>
    <w:p>
      <w:pPr>
        <w:spacing w:after="0" w:line="23"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March 27, 2016, the Company was in compliance with the covenants contained in the Indenture governing the Notes.</w:t>
      </w:r>
    </w:p>
    <w:p>
      <w:pPr>
        <w:spacing w:after="0" w:line="17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or after May 15, 2016, the Company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the Company may redeem up to 35% of the Notes at 107% of the aggregate principal amount of such Notes plus accrued and unpaid interest before May 15, 2016 with the net proceeds of certain equity offerings. The Company may also redeem some or all of the Notes before May 15, 2016 at a redemption price of 100% of the principal amount thereof plus accrued and unpaid interest, if any, to the redemption date, plus a “make whole” premium. In addition, at one time prior to May 15, 2016, the Company may redeem up to 10% of the original aggregate principal amount of the Notes issued under the Indenture at a redemption price of 103% of the principal amount thereof, plus accrued and unpaid interest to the date of redemption.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16, 2014, the Company exchanged the outstanding Notes for an equal amount of new Notes that have been registered under the Act. The terms of the Notes issued in the exchange offer are identical in all material respects to the terms of the Notes, except the Notes issued in the exchange offer have been registered under the Act.</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Company’s Indenture and Credit Agreement unless such amounts are reinvested in similar collateral, (ii) make an investment in assets that replace the collateral of the Notes or (iii) a combination of both (i) and (ii). To the extent there are any remaining net proceeds from the asset disposition after application of (i) and (ii), such amounts are required to be utilized to repurchase Notes at par after 360 days following the asset disposition.</w:t>
      </w:r>
    </w:p>
    <w:p>
      <w:pPr>
        <w:spacing w:after="0" w:line="15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Following the sale of the Herley Entities (see Note 2 of these Notes to the Condensed Consolidated Financial Statements), the Company, on August 21, 2015, paid down the $41.0 million outstanding on the Company’s $110.0 million Credit Agreement and on September 22, 2015, repurchased $175.0 million of the Notes at par, in accordance with the Indenture.</w:t>
      </w:r>
    </w:p>
    <w:p>
      <w:pPr>
        <w:spacing w:after="0" w:line="181"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At March 27, 2016, the Company has approximately $2.0 million to $4.0 million of estimated remaining net proceeds. The Company intends to invest the remaining proceeds in replacement collateral under the Indenture within the 360 days following the asset disposition.</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Related to the $175.0 million repurchase, the Company wrote off $1.8 million of unamortized issue costs, $1.4 million of unamortized discount, and incurred $0.2 million of legal fees, which resulted in a loss on extinguishment of debt of $3.4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27, 2016, there was $450.0 million in Notes outstanding.</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14, 2014, the Company replaced its credit facility with KeyBank National Association and entered into the Credit Agreement.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Credit Agreement is secured by a lien on substantially all of the Company’s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or any representation, warranty or statement made in or pursuant to the Credit Agreement or any related writing or any other material information furnished by the Company or any of its subsidiaries to the Agent or the lenders shall prove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shall automatically and immediately terminate and the principal of, and interest then outstanding on, all of the loans shall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At March 27, 2016, no event of default had occurred and the Company believed that events or conditions having a material adverse effect, giving rise to an acceleration of any amounts outstanding under the Credit Agreement, had not occurred and was remote.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Borrowings under the revolving Credit Agreement may take the form of a base rate revolving loan, Eurodollar revolving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London Interbank Offered Rate (“LIBOR”) determined at such time for an interest period of one month, plus 1.00% per annum. Eurodollar revolving loans will bear interest at a rate per annum equal to the sum of the applicable margin from time to time in effect plus the adjusted LIBOR. The applicable margin varies between 1.50% - 2.00% for base rate revolving loans and swingline loans and 2.50% - 3.00%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then-held eligible raw materials inventory, work-in-process inventory, and applicable reserves.</w:t>
      </w:r>
    </w:p>
    <w:p>
      <w:pPr>
        <w:spacing w:after="0" w:line="166"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On May 31, 2015, the Company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the Company was required and the payment in full of the outstanding balance of the Credit Agreement was required upon consummation of the sale of the Herley Entities. Additionally, the measurement of the fixed charge coverage ratio of 1.15:1 was modified as follows: (i) the fixed charge coverage ratio will not be measured as of the quarterly reporting period ending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w:t>
      </w:r>
    </w:p>
    <w:p>
      <w:pPr>
        <w:spacing w:after="0" w:line="3" w:lineRule="exact"/>
        <w:rPr>
          <w:sz w:val="20"/>
          <w:szCs w:val="20"/>
          <w:color w:val="auto"/>
        </w:rPr>
      </w:pPr>
    </w:p>
    <w:p>
      <w:pPr>
        <w:ind w:right="80" w:firstLine="8"/>
        <w:spacing w:after="0" w:line="252"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above, a fixed charge coverage ratio of at least 1.05:1 will be applied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1.10:1 will be applied if the aforementioned percentage is equal to or greater than 15.00% but less than 25.00%. In all other instances, the fixed charge coverage ratio remains at 1.15:1. For purposes of computing the fixed charge coverage ratio, the associated reduction in consolidated interest expense in connection with the repurchase of Notes with proceeds from the sale of the Herley Entities shall be deemed to have occurred on the first day of the most recently completed four quarterly reporting periods prior to the sale.</w:t>
      </w:r>
    </w:p>
    <w:p>
      <w:pPr>
        <w:spacing w:after="0" w:line="19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terms of the Third Amendment also included the establishment of a reserve (the “Herley Disposition Proceeds Reinvestment Reserve”) that reduced the maximum $110.0 million total borrowing base on the Credit Agreement. With the sale of the Herley Entities, a $50.8 million reserve was established based upon the collateral carrying value under the Credit Agreement of the Herley Entities disposed. The reserve and therefore the maximum borrowing base were adjusted monthly for the subsequent cumulative reinvestment in similar collateral assets over a period not to have exceeded 360 days from the sale of the Herley Entities. As of March 27, 2016, there was no reserve on the maximum borrowings, resulting from a cumulative reinvestment in similar collateral assets since the sale of the Herley Entities in excess of the $50.8 million reserve established at the date of the sale of the Herley Entities. The Company made investments in assets that replaced the collateral, which has reinstated the maximum facility to the full $110.0 million as of the end of the first quarter of 2016.</w:t>
      </w:r>
    </w:p>
    <w:p>
      <w:pPr>
        <w:spacing w:after="0" w:line="19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August 19,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27, 2016, there were no borrowings outstanding on the Credit Agreement and $10.1 million outstanding on letters of credit, resulting in net borrowing base availability of $52.8 million. The Company was in compliance with the financial covenants of the Credit Agreement and its amendments as of March 27, 2016.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has a $10.0 million ten-year term loan with a bank in Israel entered into on September 16, 2008 in connection with the acquisition of one of its wholly owned subsidiaries. The balance as of March 27, 2016 was $2.5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as of March 27,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March 27, 2016 and December 27, 2015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3"/>
              </w:rPr>
              <w:t>As of March 27, 2016</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0"/>
              </w:rPr>
              <w:t>As of December 27, 2015</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Principal</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445.4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359.5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445.1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long-term debt was based upon actual trading activity (Level 1, Observable inputs -quoted prices in active markets).</w:t>
      </w:r>
    </w:p>
    <w:p>
      <w:pPr>
        <w:spacing w:after="0" w:line="248" w:lineRule="exact"/>
        <w:rPr>
          <w:sz w:val="20"/>
          <w:szCs w:val="20"/>
          <w:color w:val="auto"/>
        </w:rPr>
      </w:pPr>
    </w:p>
    <w:p>
      <w:pPr>
        <w:ind w:right="40" w:firstLine="683"/>
        <w:spacing w:after="0" w:line="264" w:lineRule="auto"/>
        <w:rPr>
          <w:sz w:val="20"/>
          <w:szCs w:val="20"/>
          <w:color w:val="auto"/>
        </w:rPr>
      </w:pPr>
      <w:r>
        <w:rPr>
          <w:rFonts w:ascii="Arial" w:cs="Arial" w:eastAsia="Arial" w:hAnsi="Arial"/>
          <w:sz w:val="18"/>
          <w:szCs w:val="18"/>
          <w:color w:val="auto"/>
        </w:rPr>
        <w:t>As of March 27, 2016, the difference between the carrying amount of $445.4 million and the principal amount of $452.5 million presented in the previous table is the net unamortized original issue discount of $3.1 million and the unamortized debt issuance costs of $4.0 million, which are being accreted to interest expense over the term of the related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Kratos Government Solutions (“KGS”) reportable segment is comprised of an aggregation of KGS operating segments, including our microwave electronic products, satellite communications, modular systems and defense and rocket support operating segments. The Unmanned Systems (“US”) reportable segment consists of our unmanned aerial, ground,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 The Public Safety &amp; Security (“PSS”) reportable segment designs, engineers, deploys, operates, integrates into command and control infrastructure, maintains and operates security and surveillance solutions for homeland security, public safety, critical infrastructure, government and commercial customers. PSS customers include those in the critical infrastructure, power generation, power transport, nuclear energy, financial, IT, healthcare, education, transportation and petro-chemical industries, as well as certain government and military customers.</w:t>
      </w:r>
    </w:p>
    <w:p>
      <w:pPr>
        <w:spacing w:after="0" w:line="16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(loss)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7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As discussed in Note 2 - Discontinued Operations, the Company began reporting the Herley Entities as discontinued operations effective in the second quarter of fiscal 2015. Prior to the decision to sell the Herley Entities, the Company reported their financial results in the KGS reportable segment. Accordingly, segment results for the first quarter of fiscal 2015 have been recast to reflect the disposition of the Herley Entities as discontinued operations.</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certain overhead type costs previously allocated to the Herley Entities are not allocable to discontinued operations, prior period corporate costs have been reallocated amongst the continuing reportable segments.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three months ended March 27, 2016, the PSS reportable segment recorded a $1.9 million charge related to a litigation settlement of a contract dispute and the KGS reportable segment recorded a $3.0 million impairment charge of the carrying value of inventories as a result of the decision to close one of its manufacturing facilities and the exit of certain lower margin product business lines. The Company expects to complete the restructuring and record any additional related charges in the second fiscal quarter.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(loss) generated by the Company’s reportable segments for the three month periods ended March 27, 2016 and March 29, 2015 are as follows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27, 2016</w:t>
            </w:r>
          </w:p>
        </w:tc>
        <w:tc>
          <w:tcPr>
            <w:tcW w:w="160" w:type="dxa"/>
            <w:vAlign w:val="bottom"/>
          </w:tcPr>
          <w:p>
            <w:pPr>
              <w:spacing w:after="0"/>
              <w:rPr>
                <w:sz w:val="22"/>
                <w:szCs w:val="22"/>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March 29, 2015</w:t>
            </w:r>
          </w:p>
        </w:tc>
        <w:tc>
          <w:tcPr>
            <w:tcW w:w="0" w:type="dxa"/>
            <w:vAlign w:val="bottom"/>
          </w:tcPr>
          <w:p>
            <w:pPr>
              <w:spacing w:after="0"/>
              <w:rPr>
                <w:sz w:val="1"/>
                <w:szCs w:val="1"/>
                <w:color w:val="auto"/>
              </w:rPr>
            </w:pPr>
          </w:p>
        </w:tc>
      </w:tr>
      <w:tr>
        <w:trPr>
          <w:trHeight w:val="250"/>
        </w:trPr>
        <w:tc>
          <w:tcPr>
            <w:tcW w:w="4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3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4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472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3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3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37"/>
        </w:trPr>
        <w:tc>
          <w:tcPr>
            <w:tcW w:w="472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38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3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3"/>
        </w:trPr>
        <w:tc>
          <w:tcPr>
            <w:tcW w:w="472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3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Public Safety &amp; Security</w:t>
            </w:r>
          </w:p>
        </w:tc>
        <w:tc>
          <w:tcPr>
            <w:tcW w:w="3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7"/>
        </w:trPr>
        <w:tc>
          <w:tcPr>
            <w:tcW w:w="472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38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revenues</w:t>
            </w:r>
          </w:p>
        </w:tc>
        <w:tc>
          <w:tcPr>
            <w:tcW w:w="3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Product sales</w:t>
            </w:r>
          </w:p>
        </w:tc>
        <w:tc>
          <w:tcPr>
            <w:tcW w:w="3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Unmanned Systems</w:t>
            </w:r>
          </w:p>
        </w:tc>
        <w:tc>
          <w:tcPr>
            <w:tcW w:w="3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revenues</w:t>
            </w:r>
          </w:p>
        </w:tc>
        <w:tc>
          <w:tcPr>
            <w:tcW w:w="386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3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3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3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depreciation and amortization</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vMerge w:val="continue"/>
          </w:tcPr>
          <w:p>
            <w:pPr>
              <w:spacing w:after="0"/>
              <w:rPr>
                <w:sz w:val="17"/>
                <w:szCs w:val="17"/>
                <w:color w:val="auto"/>
              </w:rPr>
            </w:pPr>
          </w:p>
        </w:tc>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Kratos Government Solutions</w:t>
            </w:r>
          </w:p>
        </w:tc>
        <w:tc>
          <w:tcPr>
            <w:tcW w:w="4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3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Unmanned Systems</w:t>
            </w:r>
          </w:p>
        </w:tc>
        <w:tc>
          <w:tcPr>
            <w:tcW w:w="3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Unallocated corporate expense, net</w:t>
            </w:r>
          </w:p>
        </w:tc>
        <w:tc>
          <w:tcPr>
            <w:tcW w:w="3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loss from continuing operations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2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Significant Customers</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$95.4 million and $95.0 million, or 62% and 60% of total Kratos revenue, for the three months ended March 27, 2016 and March 29, 2015,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condensed consolidated financial statements. An estimated loss contingency is accrued in the Company’s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Company’s condensed consolidated financial statements; and the unique facts and circumstances of the particular matter that may give rise to additional factors.</w:t>
      </w:r>
    </w:p>
    <w:p>
      <w:pPr>
        <w:spacing w:after="0" w:line="32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Legal and Regulatory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On July 28, 2015, the Company received a determination letter from the Defense Contract Management Agency (“DCMA”) regarding what the DCMA believed were certain unallowable costs for one of the Company’s subsidiaries with respect to fiscal year 2007. In April 2016, the Company reached agreement with the DCAA to settle matters related to unallowable costs for this subsidiary for fiscal years 2007 and 2008 for approximately $0.2 million.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 In the first quarter of fiscal 2016, the Company recorded a charge of $1.9 million related to a litigation settlement of a contract dispute in the PSS segment.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Condensed Consolidating Financial Statements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Company has $450.0 million in outstanding Notes (see Note 8). The Notes are guaranteed by the Subsidiary Guarantors and are collateralized by the assets of all of the Company’s 100% owned subsidiaries. The Notes are fully and unconditionally guaranteed on a joint and several basis by each Subsidiary Guarantor and the Company. There are no contractual restrictions limiting cash transfers from Subsidiary Guarantors by dividends, loans or advances to the Company. The Notes are not guaranteed by the Company’s foreign subsidiaries (the “Non-Guarantor Subsidiaries”).</w:t>
      </w:r>
    </w:p>
    <w:p>
      <w:pPr>
        <w:spacing w:after="0" w:line="15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condensed consolidated financial statements, except for the use of the equity method of accounting to reflect ownership interests in 100% owned subsidiaries, which are eliminated upon consolidation. Also, as discussed in Note 2 - Discontinued Operations, the following condensed consolidating financial statements for the first quarter of fiscal 2015 have been recast to reflect the disposition of the Herley Entities as discontinued operations.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March 27,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208.8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244.1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227.3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305.3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483.4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465.6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712.5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818.4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104.9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(751.4)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884.4</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323.0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444.4</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477.8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340.8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649.7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234.7</w:t>
            </w:r>
          </w:p>
        </w:tc>
      </w:tr>
      <w:tr>
        <w:trPr>
          <w:trHeight w:val="244"/>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712.5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818.4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(751.4)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884.4</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9"/>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27,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206.8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483.4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477.8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727.2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815.8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106.2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903.3</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308.0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444.1</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473.0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326.0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649.1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254.2</w:t>
            </w:r>
          </w:p>
        </w:tc>
      </w:tr>
      <w:tr>
        <w:trPr>
          <w:trHeight w:val="244"/>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727.2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815.8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903.3</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9"/>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27,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70.4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153.0</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income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17"/>
        </w:trPr>
        <w:tc>
          <w:tcPr>
            <w:tcW w:w="3540" w:type="dxa"/>
            <w:vAlign w:val="bottom"/>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29,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69.8</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157.1</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118.8</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income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17"/>
        </w:trPr>
        <w:tc>
          <w:tcPr>
            <w:tcW w:w="3540" w:type="dxa"/>
            <w:vAlign w:val="bottom"/>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5"/>
              </w:rPr>
              <w:t>Provision (benefit) for income taxes from continuing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27,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affiliated companies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7"/>
              </w:rPr>
              <w:t>Proceeds from the sale of employee stock purchase plan</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shares</w:t>
            </w:r>
          </w:p>
        </w:tc>
        <w:tc>
          <w:tcPr>
            <w:tcW w:w="5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Financings from affiliated companies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 from</w:t>
            </w:r>
          </w:p>
        </w:tc>
        <w:tc>
          <w:tcPr>
            <w:tcW w:w="5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4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29,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w:t>
            </w: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5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affiliated companies</w:t>
            </w: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restricted cash</w:t>
            </w:r>
          </w:p>
        </w:tc>
        <w:tc>
          <w:tcPr>
            <w:tcW w:w="5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5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 from</w:t>
            </w:r>
          </w:p>
        </w:tc>
        <w:tc>
          <w:tcPr>
            <w:tcW w:w="5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5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4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5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Proceeds from the sale of employee stock purchase plan</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shares</w:t>
            </w:r>
          </w:p>
        </w:tc>
        <w:tc>
          <w:tcPr>
            <w:tcW w:w="5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Financing from affiliated companies</w:t>
            </w:r>
          </w:p>
        </w:tc>
        <w:tc>
          <w:tcPr>
            <w:tcW w:w="5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 from</w:t>
            </w: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5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r>
      <w:tr>
        <w:trPr>
          <w:trHeight w:val="33"/>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5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Effect of exchange rate changes on cash and cash equivalents</w:t>
            </w: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0"/>
        </w:trPr>
        <w:tc>
          <w:tcPr>
            <w:tcW w:w="4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7"/>
          <w:szCs w:val="17"/>
          <w:color w:val="auto"/>
        </w:rPr>
        <w:t>“</w:t>
      </w:r>
      <w:r>
        <w:rPr>
          <w:rFonts w:ascii="Arial" w:cs="Arial" w:eastAsia="Arial" w:hAnsi="Arial"/>
          <w:sz w:val="17"/>
          <w:szCs w:val="17"/>
          <w:i w:val="1"/>
          <w:iCs w:val="1"/>
          <w:color w:val="auto"/>
        </w:rPr>
        <w:t>DoD</w:t>
      </w:r>
      <w:r>
        <w:rPr>
          <w:rFonts w:ascii="Arial" w:cs="Arial" w:eastAsia="Arial" w:hAnsi="Arial"/>
          <w:sz w:val="17"/>
          <w:szCs w:val="17"/>
          <w:color w:val="auto"/>
        </w:rPr>
        <w:t>”)</w:t>
      </w:r>
      <w:r>
        <w:rPr>
          <w:rFonts w:ascii="Arial" w:cs="Arial" w:eastAsia="Arial" w:hAnsi="Arial"/>
          <w:sz w:val="17"/>
          <w:szCs w:val="17"/>
          <w:i w:val="1"/>
          <w:iCs w:val="1"/>
          <w:color w:val="auto"/>
        </w:rPr>
        <w:t>, which could cause delays, cancellations or reductions of key government contracts; bid protests;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including the impact of the sale of the Herley Entities and the repurchase of our outstanding 7% Senior Secured Notes due 2019 (the “Notes”) with a portion of the proceeds from the sale;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in “Item 1A-Risk Factors” of our Annual Report on Form 10-K for the fiscal year ended December 27, 2015 filed with the U.S. Securities and Exchange Commission (the “SEC”</w:t>
      </w:r>
      <w:r>
        <w:rPr>
          <w:rFonts w:ascii="Arial" w:cs="Arial" w:eastAsia="Arial" w:hAnsi="Arial"/>
          <w:sz w:val="17"/>
          <w:szCs w:val="17"/>
          <w:color w:val="auto"/>
        </w:rPr>
        <w:t>)</w:t>
      </w:r>
      <w:r>
        <w:rPr>
          <w:rFonts w:ascii="Arial" w:cs="Arial" w:eastAsia="Arial" w:hAnsi="Arial"/>
          <w:sz w:val="17"/>
          <w:szCs w:val="17"/>
          <w:i w:val="1"/>
          <w:iCs w:val="1"/>
          <w:color w:val="auto"/>
        </w:rPr>
        <w:t xml:space="preserve"> on March 11, 2016,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are a mid-tier government contractor at the forefront of the DoD’s Third Offset Strategy. We are a leading technology, intellectual property and proprietary product and solution company focused on the U.S. and its allies’ national security. We are the industry leader in high performance unmanned aerial drone target systems used to test weapon systems and the warfighter, and a provider of high performance unmanned combat aerial systems for force multiplication and amplification. We are also an industry leader in satellite communications, microwave electronics, cyber security/warfare, missile defense and combat systems. We have primarily an engineering and technically oriented work force of approximately 2,700 with a significant number holding national security clearances. Substantially all of our work is performed on a military base, in a secure facility or at a critical infrastructure location. Our primary end customers are National Security related agencies. We believe that our technology, intellectual property, proprietary products and designed-in positions on our customers’ platforms and systems is a competitive advantage and high barrier to entry into our markets. Our entire organization is focused on executing our strategy of becoming the leading technology and intellectual property based company in our industry.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Faced with significant budget pressures, in recent years the U.S. Government has implemented reductions in government spending, including reductions in appropriations for the DoD and other federal agencies, pursuant to the Budget Control Act of 2011 (“BCA”), as amended by the American Taxpayer Relief Act of 2012 and the Bipartisan Budget Act of 2013. Pursuant to the terms of the BCA, a sequestration went into effect in March 2013 resulting in a 7.8% reduction to the DoD budget for FY 2013 to $495.5 billion, excluding funding for military personnel. The DoD budget was approximately $496.0 billion in FY 2014 and remained at a similar level in FY 2015. The DoD base budget excludes funding for overseas contingency operations, such as Afghanistan, Iraq and Syria, which are appropriated separately and are not currently subject to the BCA.</w:t>
      </w:r>
    </w:p>
    <w:p>
      <w:pPr>
        <w:spacing w:after="0" w:line="13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November 2, 2015, President Obama signed the Bipartisan Budget Act of 2015, formalizing the terms of a two year budget agreement which raises the U.S. debt ceiling and lifts the sequestration spending caps by $80.0 billion. Under the budget agreement, the total federal spending increase over the BCA topline funding caps will be $50.0 billion in FY 2016 and $30.0 billion in FY 2017, with the amounts divided equally between defense and domestic priorities. The overall discretionary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budget will be $1.067 trillion in FY 2016 and $1.07 trillion in FY 2017. The FY 2016 discretionary defense budget will be $548.0 billion, a $25.0 billion increase over the BCA topline funding caps.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Under the Bipartisan Budget Act of 2015, the Obama Administration will receive $33.0 billion of the $38.0 billion national defense spending increase it sought in FY 2016. In summary, the budget agreement:</w:t>
      </w:r>
    </w:p>
    <w:p>
      <w:pPr>
        <w:spacing w:after="0" w:line="170"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extends the BCA out to 2025;</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suspends the U.S. debt limit/ceiling until March 2017;</w:t>
      </w:r>
    </w:p>
    <w:p>
      <w:pPr>
        <w:spacing w:after="0" w:line="9" w:lineRule="exact"/>
        <w:rPr>
          <w:rFonts w:ascii="Arial" w:cs="Arial" w:eastAsia="Arial" w:hAnsi="Arial"/>
          <w:sz w:val="18"/>
          <w:szCs w:val="18"/>
          <w:color w:val="auto"/>
        </w:rPr>
      </w:pPr>
    </w:p>
    <w:p>
      <w:pPr>
        <w:ind w:left="1300" w:right="100" w:hanging="320"/>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spending caps for FY 2016 and FY 2017, by $80.0 billion, including $50.0 billion in FY 2016 and $30.0 billion in FY 2017, split evenly between defense and domestic priorities;</w:t>
      </w: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 FY 2016 DoD base budget of $548.0 billion;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 FY 2016 overseas contingency operation budget of $59.0 billion.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operate in three reportable segments: Kratos Government Solutions (“KGS”), Unmanned Systems (“US”) and Public Safety &amp; Security (“PSS”). The KGS reportable segment is comprised of an aggregation of KGS operating segments, including our microwave electronic products, satellite communications, modular systems and rocket support operating segments. The US reportable segment consists of our unmanned aerial system and unmanned ground and seaborne system businesses. The PSS reportable segment provides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9 of the Notes to Condensed Consolidated Financial Statements. From a customer and solutions perspective, we view our business as an integrated whole, leveraging skills and assets wherever possible.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On August 21, 2015, we completed the sale of the U.S. and U.K. operations of our Electronic Products Division to Ultra Electronics Holdings plc (“Ultra”), a public limited company formed under the laws of England and Wales and traded on the London Stock Exchange, and Ultra Electronics Defense Inc. (the “Buyer”), a Delaware corporation ultimately owned by Ultra (the “Transaction”). Pursuant to the terms of that certain Stock Purchase Agreement dated May 31, 2015, by and among the Company, Ultra and the Buyer (the “Purchase Agreement”), the Company sold to the Buyer all of the issued and outstanding capital stock of its wholly owned subsidiary Herley Industries, Inc. (“Herley”) and certain of Herley’s subsidiaries, including Herley-CTI, Inc., EW Simulation Technology, Ltd. and Stapor Research, Inc. (collectively, the “Herley Entities”), for $260.0 million in cash plus $5.0 million for taxes incurred as part of the Transaction, less a $2.0 million escrow to satisfy any purchase price adjustments, and an estimated working capital adjustment of $8.3 million. The Purchase Agreement also contains certain non-compete and indemnification provisions. Under the Purchase Agreement, we entered into an agreement to indemnify the Buyer for any pre-acquisition tax liabilities. As a result of this arrangement, we recorded amounts that have historically been classified as unrecognized tax benefits into other long-term liabilities. We also agreed to indemnify Ultra for pre-existing environmental conditions for a period of five years from the closing date, with a maximum indemnification payment of $34.0 million. We do not believe payments will be required under the indemnification provision, and the assessment of the fair value is immaterial. Under the terms of the Purchase Agreement, a joint 338(h)(10) election has been made for income tax purposes, providing a “step up” in tax basis to Ultra. We incurred approximately $11.5 million in transaction-related costs. The gain on sale of $80.8 million is subject to changes in the indemnification obligations. In accordance with </w:t>
      </w:r>
      <w:r>
        <w:rPr>
          <w:rFonts w:ascii="Arial" w:cs="Arial" w:eastAsia="Arial" w:hAnsi="Arial"/>
          <w:sz w:val="16"/>
          <w:szCs w:val="16"/>
          <w:i w:val="1"/>
          <w:iCs w:val="1"/>
          <w:color w:val="auto"/>
        </w:rPr>
        <w:t>Accounting Standards Codification</w:t>
      </w:r>
      <w:r>
        <w:rPr>
          <w:rFonts w:ascii="Arial" w:cs="Arial" w:eastAsia="Arial" w:hAnsi="Arial"/>
          <w:sz w:val="16"/>
          <w:szCs w:val="16"/>
          <w:color w:val="auto"/>
        </w:rPr>
        <w:t xml:space="preserve"> (“ASC”) </w:t>
      </w:r>
      <w:r>
        <w:rPr>
          <w:rFonts w:ascii="Arial" w:cs="Arial" w:eastAsia="Arial" w:hAnsi="Arial"/>
          <w:sz w:val="16"/>
          <w:szCs w:val="16"/>
          <w:i w:val="1"/>
          <w:iCs w:val="1"/>
          <w:color w:val="auto"/>
        </w:rPr>
        <w:t>360-10-45-9,</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Property, Plant, and Equipment (Topic 360) and ASC 205-20-45-3 Presentation of Financial Statements (Topic 205), </w:t>
      </w:r>
      <w:r>
        <w:rPr>
          <w:rFonts w:ascii="Arial" w:cs="Arial" w:eastAsia="Arial" w:hAnsi="Arial"/>
          <w:sz w:val="16"/>
          <w:szCs w:val="16"/>
          <w:color w:val="auto"/>
        </w:rPr>
        <w:t>the Herley Entities are reported in</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discontinued operations in the accompanying condensed consolidated financial statements for all periods presented.</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Immediately prior to the closing of the Transaction, the outstanding shares of the capital stock of (i) General Microwave Corporation, a New York corporation, and its direct and indirect wholly owned subsidiaries General Microwave Israel Corporation, a Delaware corporation, General Microwave Israel (1987) Ltd., an Israeli company, and Herley GMI Eyal Ltd., an Israeli company, (ii) MSI Acquisition Corp., a Delaware corporation and its wholly owned subsidiary Micro Systems, Inc., a Florida corporation, and (iii) Herley-RSS, Inc., a Delaware corporation, were distributed as a dividend by Herley to us and will continue their current operations as our wholly owned subsidiaries.</w:t>
      </w:r>
    </w:p>
    <w:p>
      <w:pPr>
        <w:spacing w:after="0" w:line="18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November 2015, we settled the working capital adjustment with Ultra at $8.1 million, and the net cash position at closing, resulting in a net payment to us of $2.7 million. This represents the payment from escrow to us of $2.0 million, as well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as the payment from Ultra of $0.7 million, reflecting the difference in the estimated working capital and actual working capital and the net cash position at the close of the Transaction. In January 2016, Ultra reimbursed us the $5.0 million maximum for taxes incurred as part of the Transaction.</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Following the sale of the Herley Entities (see Note 2), on August 21, 2015, we paid down the $41.0 million outstanding on that certain Credit and Security Agreement, dated May 14, 2014 (the “Credit Agreement”), by and among the Company, the lenders from time to time party thereto, SunTrust Bank, as Agent (the “Agent”), PNC Bank, National Association, as Joint Lead Arranger and Documentation Agent, and SunTrust Robinson Humphrey, Inc., as Joint Lead Arranger and Sole Book Runner, and on September 22, 2015, we repurchased $175.0 million of the Notes at par, in accordance with the Indenture, dated May 14, 2014 (the “Indenture”), among us, certain of our subsidiaries (the “Subsidiary Guarantors”) and Wilmington Trust, National Association, as Trustee and Collateral Agent.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There have been no changes to our key financial statement concepts for the three months ended March 27, 2016. For a complete description of our business and a discussion of our critical accounting matters, please refer to Item 7, “Management’s Discussion and Analysis of Financial Condition and Results of Operations,” in the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March 27, 2016 to the Three Months Ended March 29, 2015</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by operating segment for the three months ended March 27, 2016 and March 29, 2015 are as follows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27, 2016</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29, 2015</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5.2 %</w:t>
            </w: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 Service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Unmanned Systems Product sales</w:t>
            </w: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14.5 %</w:t>
            </w: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4"/>
        </w:trPr>
        <w:tc>
          <w:tcPr>
            <w:tcW w:w="5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service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product sales</w:t>
            </w: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Revenues decreased $4.1 million to $153.0 million for the three months ended March 27, 2016 from $157.1 million for the three months ended March 29, 2015. The decrease in revenues was primarily due to a decline in our PSS business revenue of $7.3 million due to the wind-down of certain security installation projects and due to the Company’s change in strategic direction for the PSS business in the fourth quarter of 2014, whereby the Company will capture higher margin work and only selectively bid on larger security integration projects that traditionally generate lower margins. Revenues in our KGS segment increased due to an increase in service revenue primarily resulting from increased work in our satellite communications business. Product sales in our KGS segment were negatively impacted by reduced shipments of $6.4 million in our modular systems business, offset partially by increases in our microwave product and satellite communications businesses. Revenues in our US segment increased due to an increase in shipments of certain of our aerial target products.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Product sales increased $0.6 million to $70.4 million for the three months ended March 27, 2016 from $69.8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29, 2015, primarily as a result of an increase in product shipments in our US segment. As a percentage of total revenue, product sales were 46.0%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March 27, 2016 as compared to 44.4% for the three months ended March 29, 2015. Service revenues decreased by $4.7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$82.6 million for the three months ended March 27, 2016 from $87.3 million for the three months ended March 29, 2015. The decrease was primarily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change in strategic direction in our PSS segment.</w:t>
      </w:r>
    </w:p>
    <w:p>
      <w:pPr>
        <w:spacing w:after="0" w:line="21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decreased $1.7 million to $117.1 million for the three months ended March 27, 2016 from $118.8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March 29, 2015. The decrease in cost of revenues was primarily a result of the revenue changes discussed above.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Gross margin decreased to 23.5% for the three months ended March 27, 2016 from 24.4% for the three months ended March 29, 2015. Margins on services increased to 27.0% for the three months ended March 27, 2016 from 24.4% for the three months ended March 29, 2015, due primarily to a more favorable mix of revenues. Margins on products decreased to 19.3% for the three months ended March 27, 2016 from 24.4% for the three months ended March 29, 2015, primarily due to the mix of products shipped. Margins in the KGS segment decreased to 23.7% for the three months ended March 27, 2016 from 24.7% for the three months ended March 29, 2015, primarily as a result of a less favorable mix of revenues. Margins in the US segment decreased to 12.7% for the three months ended March 27, 2016 from 15.3% for the three months ended March 29, 2015, primarily due to a less favorable mix of products produced and shipped during the three months ended March 27, 2016. Margins in the PSS segment increased to 27.8% for the three months ended March 27, 2016 from 26.4% for the three months ended March 29, 2015, due primarily to the change in strategic focus to smaller, higher margin projects.</w:t>
      </w:r>
    </w:p>
    <w:p>
      <w:pPr>
        <w:spacing w:after="0" w:line="166"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Selling, General and Administrative (</w:t>
      </w:r>
      <w:r>
        <w:rPr>
          <w:rFonts w:ascii="Arial" w:cs="Arial" w:eastAsia="Arial" w:hAnsi="Arial"/>
          <w:sz w:val="16"/>
          <w:szCs w:val="16"/>
          <w:color w:val="auto"/>
        </w:rPr>
        <w:t>“</w:t>
      </w:r>
      <w:r>
        <w:rPr>
          <w:rFonts w:ascii="Arial" w:cs="Arial" w:eastAsia="Arial" w:hAnsi="Arial"/>
          <w:sz w:val="16"/>
          <w:szCs w:val="16"/>
          <w:i w:val="1"/>
          <w:iCs w:val="1"/>
          <w:color w:val="auto"/>
        </w:rPr>
        <w:t>SG&amp;A</w:t>
      </w:r>
      <w:r>
        <w:rPr>
          <w:rFonts w:ascii="Arial" w:cs="Arial" w:eastAsia="Arial" w:hAnsi="Arial"/>
          <w:sz w:val="16"/>
          <w:szCs w:val="16"/>
          <w:color w:val="auto"/>
        </w:rPr>
        <w:t>”</w:t>
      </w:r>
      <w:r>
        <w:rPr>
          <w:rFonts w:ascii="Arial" w:cs="Arial" w:eastAsia="Arial" w:hAnsi="Arial"/>
          <w:sz w:val="16"/>
          <w:szCs w:val="16"/>
          <w:i w:val="1"/>
          <w:iCs w:val="1"/>
          <w:color w:val="auto"/>
        </w:rPr>
        <w:t xml:space="preserve">) Expenses. </w:t>
      </w:r>
      <w:r>
        <w:rPr>
          <w:rFonts w:ascii="Arial" w:cs="Arial" w:eastAsia="Arial" w:hAnsi="Arial"/>
          <w:sz w:val="16"/>
          <w:szCs w:val="16"/>
          <w:color w:val="auto"/>
        </w:rPr>
        <w:t>SG&amp;A expense was $37.7 million for the three months ended March 27, 2016 and $37.4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29, 2015. As a percentage of revenues, SG&amp;A increased to 24.6% at March 27, 2016 from 23.8% at March 29, 2015, which is primarily due to the decline in revenue discussed above, partially offset by a $1.0 million decrease in amortization of intangibles.</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Research and Development (</w:t>
      </w:r>
      <w:r>
        <w:rPr>
          <w:rFonts w:ascii="Arial" w:cs="Arial" w:eastAsia="Arial" w:hAnsi="Arial"/>
          <w:sz w:val="18"/>
          <w:szCs w:val="18"/>
          <w:color w:val="auto"/>
        </w:rPr>
        <w:t>“</w:t>
      </w:r>
      <w:r>
        <w:rPr>
          <w:rFonts w:ascii="Arial" w:cs="Arial" w:eastAsia="Arial" w:hAnsi="Arial"/>
          <w:sz w:val="18"/>
          <w:szCs w:val="18"/>
          <w:i w:val="1"/>
          <w:iCs w:val="1"/>
          <w:color w:val="auto"/>
        </w:rPr>
        <w:t>R&amp;D</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R&amp;D expenses were $2.9 million for the three months ended March 27, 2016 and $3.9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29, 2015. As a percentage of revenues, R&amp;D decreased to 1.9% for the three months ended March 27, 2016 from 2.5% of revenues in the three months ended March 29, 2015. R&amp;D expenditures are primarily related to investments we are making in conjunction with our customers, with the objectives of the Company’s products being the new platform for or “designed-in” to certain new long-term program opportunities and the Company owning certain intellectual property rights for products that support these programs as well as technology upgrades and refresh activities that are necessary for the next generation of our existing product lines.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Unused Office Space, Restructuring Expenses, and Other. </w:t>
      </w:r>
      <w:r>
        <w:rPr>
          <w:rFonts w:ascii="Arial" w:cs="Arial" w:eastAsia="Arial" w:hAnsi="Arial"/>
          <w:sz w:val="18"/>
          <w:szCs w:val="18"/>
          <w:color w:val="auto"/>
        </w:rPr>
        <w:t>The expense of $5.5 million for the three months ended March 27, 2016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 $3.0 million impairment charge of the carrying value of inventories that was recorded in the Company’s modular systems business as a result of the closure of one of its manufacturing facilities and the exit of certain lower margin product business lines, a $1.9 million charge related to a litigation settlement of a contract dispute in our PSS business, and employee termination costs related to personnel reduction actions taken in the first quarter of 2016. The expense of $0.9 million for the three months ended March 29, 2015 was primarily due to employee termination costs related to personnel reduction actions taken during the first quarter of 2015.</w:t>
      </w:r>
    </w:p>
    <w:p>
      <w:pPr>
        <w:spacing w:after="0" w:line="19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to $8.4 million from $8.7 million for the three months ended March 27, 2016 and March 29,</w:t>
      </w:r>
      <w:r>
        <w:rPr>
          <w:rFonts w:ascii="Arial" w:cs="Arial" w:eastAsia="Arial" w:hAnsi="Arial"/>
          <w:sz w:val="18"/>
          <w:szCs w:val="18"/>
          <w:i w:val="1"/>
          <w:iCs w:val="1"/>
          <w:color w:val="auto"/>
        </w:rPr>
        <w:t xml:space="preserve"> </w:t>
      </w:r>
      <w:r>
        <w:rPr>
          <w:rFonts w:ascii="Arial" w:cs="Arial" w:eastAsia="Arial" w:hAnsi="Arial"/>
          <w:sz w:val="18"/>
          <w:szCs w:val="18"/>
          <w:color w:val="auto"/>
        </w:rPr>
        <w:t>2015, respectively. The decrease in expense of $0.3 million is primarily related to foreign currency transaction gains.</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Income tax expense for the three months ended March 27, 2016 and March 29, 2015 and was $3.6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$1.9 million, respectively. The income tax expense for the three months ended March 27, 2016 includes a discrete tax expense of $1.7 million related to an increase in uncertain tax positions. For the three months ended March 27, 2016 and March 29, 2015, the expense was also a function of the estimated effective tax rate for the year. The estimated effective tax rate is driven by estimated foreign taxes, estimated federal and state taxes, permanent book/tax differences, tax amortization of intangible assets that have an indefinite life under GAAP and the projected income or loss for the year.</w:t>
      </w:r>
    </w:p>
    <w:p>
      <w:pPr>
        <w:spacing w:after="0" w:line="158" w:lineRule="exact"/>
        <w:rPr>
          <w:sz w:val="20"/>
          <w:szCs w:val="20"/>
          <w:color w:val="auto"/>
        </w:rPr>
      </w:pPr>
    </w:p>
    <w:p>
      <w:pPr>
        <w:jc w:val="both"/>
        <w:ind w:right="160" w:firstLine="693"/>
        <w:spacing w:after="0" w:line="264"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The sale of the Herley Entities occurred on August 21, 2015, and therefore the first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2015 reflects a full quarter’s operating results for the comparable prior year, which resulted in a net loss from discontinued operations of $1.7 million for the three months ended March 29,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of March 27, 2016 and March 29, 2015, our backlog was approximately $909.1 million and $980.4 million, respectively, of which $553.9 million was funded in 2016 and $578.3 million was funded in 2015.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Unfunded backlog reflects our estimate of future revenue under awarded government contracts and task orders for which either funding has not yet been appropriated or the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or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As of March 27, 2016, we had cash and cash equivalents of $20.1 million compared with cash and cash equivalents of $28.5 million as of December 27, 2015, which includes $10.0 million and $10.8 million, respectively, of cash and cash equivalents held by our foreign subsidiaries. We are not presently aware of any restrictions on the repatriation of these funds; however, earnings of these foreign subsidiaries are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U.S. income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7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Our total debt, including capital lease obligations, principal due on our Notes, and other term debt increased from $445.1 million at December 27, 2015 to $445.4 million at March 27, 2016, due to the amortization of the discount on our Notes and the amortization of deferred financing costs, partially offset by the principal payment required on our ten-year term loan with a bank in Israel.</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operating cash flow is used to finance trade accounts receivable, inventory, capital expenditures, support ongoing operations, fund investments for new products and offerings, service our debt and make strategic acquisitions. Cash from continuing operations is primarily derived from our customer contracts in progress and associated changes in working capital components. Our Days Sales Outstanding (“DSOs”) have increased from 106 days at December 27, 2015 to 124 days as of March 27, 2016, primarily as a result of certain contractual billing milestones that have not yet been attained, such as equipment shipments and deliveries on certain products, and for certain flight requirements that must be fulfilled on certain aerial target programs, and therefore we are unable to contractually bill for amounts outstanding related to those milestones at this time. In addition, during the quarter we invoiced sizable advanced billings on certain contracts for which work has not yet commenced and therefore revenue has not yet been earned or recorded, which has resulted in an increase of approximately 10 to 11 days in our DSOs. Once we collect these advanced billings and work is performed and revenue is earned and recorded on these projects, we expect DSOs to reduce in the next few quarters. The challenging DoD budgetary environment described above, which has in certain instances caused delays in obtaining funding necessary to proceed with payments, has impacted our DSOs as well.</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summary of our net cash used in operating activities from continuing operations, investing activities, and financing activities and our cash flows from discontinued operations from our condensed consolidated statements of cash flows is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27, 2016</w:t>
            </w:r>
          </w:p>
        </w:tc>
        <w:tc>
          <w:tcPr>
            <w:tcW w:w="160" w:type="dxa"/>
            <w:vAlign w:val="bottom"/>
          </w:tcPr>
          <w:p>
            <w:pPr>
              <w:spacing w:after="0"/>
              <w:rPr>
                <w:sz w:val="22"/>
                <w:szCs w:val="22"/>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29, 2015</w:t>
            </w:r>
          </w:p>
        </w:tc>
      </w:tr>
      <w:tr>
        <w:trPr>
          <w:trHeight w:val="250"/>
        </w:trPr>
        <w:tc>
          <w:tcPr>
            <w:tcW w:w="8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 from continuing operations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Net operating cash flows of discontinued operations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investing cash flows of discontinued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Net cash used in operating activities from continuing operations for the three months ended March 27, 2016 and March 29, 2015 was negatively impacted by reduced operating income and changes in working capital accounts.</w:t>
      </w:r>
    </w:p>
    <w:p>
      <w:pPr>
        <w:spacing w:after="0" w:line="170" w:lineRule="exact"/>
        <w:rPr>
          <w:sz w:val="20"/>
          <w:szCs w:val="20"/>
          <w:color w:val="auto"/>
        </w:rPr>
      </w:pPr>
    </w:p>
    <w:p>
      <w:pPr>
        <w:ind w:right="80" w:firstLine="693"/>
        <w:spacing w:after="0" w:line="259" w:lineRule="auto"/>
        <w:rPr>
          <w:sz w:val="20"/>
          <w:szCs w:val="20"/>
          <w:color w:val="auto"/>
        </w:rPr>
      </w:pPr>
      <w:r>
        <w:rPr>
          <w:rFonts w:ascii="Arial" w:cs="Arial" w:eastAsia="Arial" w:hAnsi="Arial"/>
          <w:sz w:val="18"/>
          <w:szCs w:val="18"/>
          <w:color w:val="auto"/>
        </w:rPr>
        <w:t>Net cash used in investing activities for the three months ended March 27, 2016 is comprised of capital expenditures, which consist primarily of investment in machinery, computer hardware and software and improvement of our physical properties in order to maintain suitable conditions in which to conduct our business. Net cash provided by investing activities for the three months ended March 29, 2015 is primarily driven by a reduction in our restricted cash balances, partially offset by capital expenditures.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Net cash provided by financing activities from continuing operations for the three months ended March 27, 2016 and March 29, 2015 was primarily proceeds from our employee stock purchase plan.</w:t>
      </w:r>
    </w:p>
    <w:p>
      <w:pPr>
        <w:spacing w:after="0" w:line="170"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The investing cash flow from discontinued operations for the three months ended March 27, 2016 reflects cash provided of $4.7 million, primarily related to the reimbursement of taxes related to the Transaction. The operating cash flow from discontinued operations for the three month periods ended March 29, 2015 is substantially related to Herley Industries, Inc. and certain of Herley’s subsidiaries, which have been reported in discontinued operations. The investing cash flow from discontinued operations for the three months ended March 29, 2015 reflects cash used of $0.3 million, which is related to capital expenditures of the Herley Entities, which have been reported in discontinued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7.00% Senior Secured Notes due 2019</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May 2014, we refinanced our $625.0 million 10% Senior Secured Notes due in 2017 (the “10% Notes”)with $625.0 million of newly issued Notes. The net proceeds from the issuance of the Notes was $618.5 million after an original issue discount of $6.5 million. We incurred debt issuance costs of $8.8 million associated with the new Notes. We utilized the net proceeds from the Notes, a $41.0 million draw on our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completed the offering of the Notes in a private placement conducted pursuant to Rule 144A and Regulation S under the Securities Act of 1933, as amended (the “Act”). The Notes are governed by the Indenture among us, the Subsidiary Guarantors and Wilmington Trust, National Association, as Trustee and Collateral Agent. A Subsidiary Guarantor can be released from its guarantee if (a) all of the Capital Stock (as defined by the Indenture) issued by such Subsidiary Guarantor or all or substantially all of the assets of such Subsidiary Guarantor are sold or otherwise disposed of; (b) we designate such Subsidiary Guarantor as an Unrestricted Subsidiary (as defined by the Indenture); (c) we exercised our legal defeasance option or our covenant defeasance option; or (d) upon satisfaction and discharge of the Indenture or payment in full in cash of the principal of, premium, if any, and accrued and unpaid interest.</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holders of the Notes have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Notes have a second priority lien to our $110.0 million Credit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pay interest on the Notes semi-annually, in arrears, on May 15 and November 15 of each year. 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March 27, 2016, we were in compliance with the covenants contained in the Indenture governing the Notes.</w:t>
      </w:r>
    </w:p>
    <w:p>
      <w:pPr>
        <w:spacing w:after="0" w:line="15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On or after May 15, 2016, we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we may redeem up to 35% of the Notes at 107% of the aggregate principal amount of such Notes, plus accrued and unpaid interest before May 15, 2016 with the net proceeds of certain equity offerings. We may also redeem some or all of the Notes before May 15, 2016 at a redemption price of 100% of the principal amount thereof plus accrued and unpaid interest, if any, to the redemption date, plus a “make whole” premium. In addition, at one time prior to May 15, 2016, we may redeem up to 10% of the original aggregate principal amount of the Notes issued under the Indenture at a redemption price of 103% of the principal amount thereof, plus accrued and unpaid interest to the date of redemption.</w:t>
      </w:r>
    </w:p>
    <w:p>
      <w:pPr>
        <w:spacing w:after="0" w:line="16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On October 16, 2014, we exchanged the outstanding Notes for an equal amount of new Notes that have been registered under the Act. The terms of the Notes issued in the exchange offer are identical in all material respects to the terms of the Notes, except the Notes issued in the exchange offer have been registered under the Act.</w:t>
      </w:r>
    </w:p>
    <w:p>
      <w:pPr>
        <w:spacing w:after="0" w:line="18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terms of the Indenture require that the net cash proceeds from asset dispositions be either utilized to (i) repay or prepay amounts outstanding under our Credit Agreement unless such amounts are reinvested in similar collateral, (ii) make an investment in assets that replace the collateral of the Notes or (iii) a combination of both (i) and (ii). To the extent there are any remaining net proceeds from the asset disposition after application of (i) and (ii), such amounts are required to be utilized to repurchase Notes at par after 360 days following the asset disposition.</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Following the sale of our U.S. and U.K. Electronic Products Division (see Note 2 of the Notes to the Condensed Consolidated Financial Statements), on September 22, 2015, we repurchased $175.0 million of the Notes at par, in accordance with the Indenture and on August 21, 2015 paid down the $41.0 million outstanding on our $110.0 million Credit Agreement.</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total reacquisition price of the Notes was $178.4 million including the write off of $1.8 million of unamortized issue costs, $1.4 million of unamortized discount, along with $0.2 million of legal fees, which resulted in a loss on extinguishment of $3.4 million.</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To the extent there are any unapplied net proceeds from the asset disposition 360 days following the sale, such amounts are required to be utilized to repurchase Notes at par at that time. At March 27, 2016, we have approximately $2.0 million to $4.0 million of estimated remaining net proceeds that we intend to invest in replacement collateral under the Indenture within 360 days following the asset disposition.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27, 2016, there was $450.0 million in Notes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14, 2014, we replaced our credit facility with KeyBank National Association and entered into the Credit Agreement.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Credit Agreement is secured by a lien on substantially all of our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Events of default under the terms of the Credit Agreement include, but are not limited to: our failure to pay any principal of any loans in full when due and payable; our failure to pay any interest on any loan or any fee or other amount payable under the Credit Agreement within three business days after the date when due and payable; our failure or the failure of any of our subsidiaries to comply with certain covenants and agreements, subject to applicable grace periods and/or notice requirements; or any representation, warranty or statement made in or pursuant to the Credit Agreement or any related writing or any other material information furnished by us or any of our subsidiaries to the Agent or the lenders shall prove to be false or erroneous; and the occurrence of an event or condition having or reasonably likely to have a material adverse effect, which includes a material adverse effect on the business, operations, condition (financial or otherwise) or our prospects or our ability to repay our obligations. Where an event of default arises from certain bankruptcy events, the commitments shall automatically and immediately terminate and the principal of, and interest then outstanding on, all of the loans shall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At March 27, 2016, no event of default had occurred and we believed that events or conditions having a material adverse effect, giving rise to an acceleration of any amounts outstanding under the Credit Agreement, had not occurred and was remote.</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Borrowings under the revolving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w:t>
      </w:r>
    </w:p>
    <w:p>
      <w:pPr>
        <w:jc w:val="both"/>
        <w:ind w:firstLine="8"/>
        <w:spacing w:after="0" w:line="270" w:lineRule="auto"/>
        <w:tabs>
          <w:tab w:leader="none" w:pos="32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adjusted London Interbank Offered Rate (“LIBOR”) determined at such time for an interest period of one month, plus 1.00% per annum. Eurodollar revolving loans will bear interest at a rate per annum equal to the sum of the applicable margin from time to time in effect plus the adjusted LIBOR. The applicable margin varies between 1.50% - 2.00% for base rate revolving loans and swingline loans and 2.50% - 3.00%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receivables, then-held eligible raw materials inventory, work-in-process inventory, and applicable reserves.</w:t>
      </w:r>
    </w:p>
    <w:p>
      <w:pPr>
        <w:spacing w:after="0" w:line="17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May 31, 2015, we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us was required, and the payment in full of the outstanding balance of the Credit Agreement was required upon consummation of the sale of the Herley Entities. Additionally, the measurement of the fixed charge coverage ratio of 1.15:1 was modified as follows: (i) the fixed charge coverage ratio will not be measured as of the quarterly reporting period ending on or about June 30, 2015, or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(i) above, a fixed charge coverage ratio of at least 1.05:1 will be applied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1.10:1 will be applied if the aforementioned percentage is equal to or greater than 15.00% but less than 25.00%. In all other instances, the fixed charge coverage ratio remains at 1.15:1. For purposes of computing the fixed charge coverage ratio, consolidated interest expense in connection with the repurchase of Notes with proceeds from the sale of the Herley Entities shall be deemed to have occurred on the first day of the most recently completed four quarterly reporting periods prior to the sale.</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terms of the Third Amendment also included the establishment of a reserve (the “Herley Disposition Proceeds Reinvestment Reserve”) that reduced the maximum $110.0 million total borrowing base on the Credit Agreement. With the sale of the Herley Entities, a $50.8 million reserve was established based upon the collateral carrying value under the Credit Agreement of the Herley Entities disposed. The reserve and therefore the maximum borrowing base were adjusted monthly for the subsequent cumulative reinvestment in similar collateral assets over a period not to have exceeded 360 days from the sale of the Herley Entities. As of March 27, 2016, there was no reserve on the maximum borrowings, resulting from a cumulative reinvestment in similar collateral assets since the sale of the Herley Entities in excess of the $50.8 million reserve established at the date of the sale of the Herley Entities. The Company made investments in assets that replaced the collateral, which has reinstated the maximum facility to the full $110.0 million as of the end of the first quarter of 2016.</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August 19, 2015, we entered into a fourth amendment (the “Fourth Amendment”) to the Credit Agreement. Among other things, the Fourth Amendment provides for a modification of the Third Amendment as it relates to when the minimum fixed charge coverage ratio will be measured based upon our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March 27, 2016, there were no borrowings outstanding on the Credit Agreement and $10.1 million was outstanding on letters of credit, resulting in net borrowing base availability of $52.8 million. We were in compliance with the financial covenants as of March 27,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firstLine="690"/>
        <w:spacing w:after="0" w:line="279" w:lineRule="auto"/>
        <w:rPr>
          <w:sz w:val="20"/>
          <w:szCs w:val="20"/>
          <w:color w:val="auto"/>
        </w:rPr>
      </w:pPr>
      <w:r>
        <w:rPr>
          <w:rFonts w:ascii="Arial" w:cs="Arial" w:eastAsia="Arial" w:hAnsi="Arial"/>
          <w:sz w:val="17"/>
          <w:szCs w:val="17"/>
          <w:color w:val="auto"/>
        </w:rPr>
        <w:t>We assumed a $10.0 million ten-year term loan with a bank in Israel entered into on September 16, 2008 in connection with the acquisition of one of its wholly owned subsidiaries. The balance as of March 27, 2016 was $2.5 million, and the loan is payable in quarterly installments of $0.3 million plus interest at LIBOR plus a margin of 1.5%. The loan agreement contains various covenants, including a minimum net equity covenant as defined in the loan agreement. We were in compliance with the financial covenants of the loan agreement as of March 27,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As described in Note 1 to the Condensed Consolidated Financial Statements, we adopted Accounting Standards Update 2015-01, </w:t>
      </w:r>
      <w:r>
        <w:rPr>
          <w:rFonts w:ascii="Arial" w:cs="Arial" w:eastAsia="Arial" w:hAnsi="Arial"/>
          <w:sz w:val="17"/>
          <w:szCs w:val="17"/>
          <w:i w:val="1"/>
          <w:iCs w:val="1"/>
          <w:color w:val="auto"/>
        </w:rPr>
        <w:t>Income Statement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Extraordinary and Unusual Items (Subtopic 225-20): Simplifying Income Statement Presentation by Eliminating the Concept of Extraordinary Items </w:t>
      </w:r>
      <w:r>
        <w:rPr>
          <w:rFonts w:ascii="Arial" w:cs="Arial" w:eastAsia="Arial" w:hAnsi="Arial"/>
          <w:sz w:val="17"/>
          <w:szCs w:val="17"/>
          <w:color w:val="auto"/>
        </w:rPr>
        <w:t>in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 period ended March 27, 2016. Other than the adoption of ASU 2015-01, there have been no significant changes to our “Critical Accounting Policies or Estimates” as compared to the significant accounting policies described in the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Credit Agreement discussed under </w:t>
      </w:r>
      <w:r>
        <w:rPr>
          <w:rFonts w:ascii="Arial" w:cs="Arial" w:eastAsia="Arial" w:hAnsi="Arial"/>
          <w:sz w:val="18"/>
          <w:szCs w:val="18"/>
          <w:b w:val="1"/>
          <w:bCs w:val="1"/>
          <w:color w:val="auto"/>
        </w:rPr>
        <w:t>“</w:t>
      </w:r>
      <w:r>
        <w:rPr>
          <w:rFonts w:ascii="Arial" w:cs="Arial" w:eastAsia="Arial" w:hAnsi="Arial"/>
          <w:sz w:val="18"/>
          <w:szCs w:val="18"/>
          <w:color w:val="auto"/>
        </w:rPr>
        <w:t>Contractual Obligations and Commitments” above. Based on our current outstanding balance, a 1% change in the LIBOR would not significantly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would be contracted with investment grade counterparties to reduce exposure to nonperformance.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enter into limited foreign currency forward contracts to manage foreign currency exchange rate risk because to date exchange rate fluctuations have had minimal impact on our operating results and cash flows.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cash and cash equivalents as of March 27, 2016 were $20.1 million and are primarily invested in money market interest bearing accounts. A hypothetical 10% adverse change in the average interest rate on our money market cash investments and short-term investments would have had no material effect on our net loss for the three months ended March 27,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March 27,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March 27, 2016 that has materially affected, or is reasonably likely to materially affect, our internal control over financial reporting.</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11 of the Notes to the Condensed Consolidated Financial Statements contained within this Quarterly Report on Form 10-Q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on Form 10-Q, as well as the risk factors disclosed in Item 1A. to Part I of our Annual Report on Form 10-K for the fiscal year ended December 27, 2015, which we filed with the SEC on March 11, 2016,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were no unregistered sales of the Company’s equity securities during the three month period ended March 27, 2016 that were not previously disclosed in a Current Report on Form 8-K.</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125"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Agreement and Plan of Merger, dated February 7, 2011,</w:t>
            </w: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02/08/2011</w:t>
            </w:r>
          </w:p>
        </w:tc>
        <w:tc>
          <w:tcPr>
            <w:tcW w:w="10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by and among Kratos Defense &amp; Security Solutions,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(333-161340)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Lanza Acquisition, Co. and Herley Industries,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(incorporated by reference to Annex A to the Prospectus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9"/>
              </w:rPr>
              <w:t>Supplement dated February 8, 2011, pursuant to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Registration Statement on Form S-3 of Kratos Defense &amp;</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2.2#†</w:t>
            </w:r>
          </w:p>
        </w:tc>
        <w:tc>
          <w:tcPr>
            <w:tcW w:w="4220" w:type="dxa"/>
            <w:vAlign w:val="bottom"/>
          </w:tcPr>
          <w:p>
            <w:pPr>
              <w:ind w:left="20"/>
              <w:spacing w:after="0"/>
              <w:rPr>
                <w:sz w:val="20"/>
                <w:szCs w:val="20"/>
                <w:color w:val="auto"/>
              </w:rPr>
            </w:pPr>
            <w:r>
              <w:rPr>
                <w:rFonts w:ascii="Arial" w:cs="Arial" w:eastAsia="Arial" w:hAnsi="Arial"/>
                <w:sz w:val="18"/>
                <w:szCs w:val="18"/>
                <w:color w:val="auto"/>
              </w:rPr>
              <w:t>Stock Purchase Agreement, dated May 31,</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08/06/2015</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2015, among Kratos Defense &amp; Security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Solutions, Inc., Herley Industries, Inc., Ultra</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Electronics Defense Inc. and Ultra</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Electronics Holdings plc.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8"/>
              </w:rPr>
              <w:t>Amended and Restated Certificate of Incorporation of</w:t>
            </w:r>
          </w:p>
        </w:tc>
        <w:tc>
          <w:tcPr>
            <w:tcW w:w="12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11/13/2001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Kratos 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Certificate of Ownership and Merger of Kratos</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9/14/2007</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Defense &amp; Security Solutions, Inc. into Wireless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Facilities,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Certificate of Amendment to Amended and Restated</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11/3/2009</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Certificate of Incorporation of Kratos Defense &amp; Security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Certificate of Designations, Preferences and Rights of</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11/13/2001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Series A Preferred Stock.</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Certificate of Designations, Preferences and Rights of</w:t>
            </w:r>
          </w:p>
        </w:tc>
        <w:tc>
          <w:tcPr>
            <w:tcW w:w="12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rPr>
              <w:t>8-K/A</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6/5/2002</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8"/>
              </w:rPr>
              <w:t>Series B Preferred Stock (included as Exhibit A to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(000-27231)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0"/>
              </w:rPr>
              <w:t>Preferred Stock Purchase Agreement dated as of May 16,</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2002 among the Company, Meritech Capital Partners II</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L.P., Meritech Capital Affiliates II L.P., MCB</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0"/>
              </w:rPr>
              <w:t>Entrepreneur Partners II L.P., Oak Investment Partners X,</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Limited Partnership, Oak X Affiliates Fund, Limited</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Partnership, Oak Investment Partners IX, L.P., Oak</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Affiliates Fund, L.P., Oak IX Affiliates Fund-A, L.P., and</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the KLS Trust dated July 14, 1999).</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Certificate of Designation of the Series C Preferred</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12/17/2004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3.7</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Second Amended and Restated Bylaws of Kratos</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3/15/2011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3.8</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Amendment to the Second Amended and Restated</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11/07/2014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Bylaws of Kratos 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Specimen Stock Certificate.</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08/18/1999</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(333-85515)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Indenture, dated as of May 14, 2014, among Kratos</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Defense &amp; Security Solutions, Inc., as Issuer,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Guarantors party thereto, and Wilmington Trust, National</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5"/>
              </w:rPr>
              <w:t>Association, as Trustee and Collateral Agent (including</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9"/>
              </w:rPr>
              <w:t>the Form of 7.00% Senior Secured Notes due 2019).</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500" w:type="dxa"/>
            <w:vAlign w:val="bottom"/>
            <w:gridSpan w:val="2"/>
          </w:tcPr>
          <w:p>
            <w:pPr>
              <w:jc w:val="right"/>
              <w:ind w:right="11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Registration Rights Agreement, dated as of May 14,</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243"/>
              <w:spacing w:after="0"/>
              <w:rPr>
                <w:sz w:val="20"/>
                <w:szCs w:val="20"/>
                <w:color w:val="auto"/>
              </w:rPr>
            </w:pPr>
            <w:r>
              <w:rPr>
                <w:rFonts w:ascii="Arial" w:cs="Arial" w:eastAsia="Arial" w:hAnsi="Arial"/>
                <w:sz w:val="18"/>
                <w:szCs w:val="18"/>
                <w:color w:val="auto"/>
              </w:rPr>
              <w:t>5/15/2014</w:t>
            </w:r>
          </w:p>
        </w:tc>
        <w:tc>
          <w:tcPr>
            <w:tcW w:w="100" w:type="dxa"/>
            <w:vAlign w:val="bottom"/>
          </w:tcPr>
          <w:p>
            <w:pPr>
              <w:spacing w:after="0"/>
              <w:rPr>
                <w:sz w:val="19"/>
                <w:szCs w:val="19"/>
                <w:color w:val="auto"/>
              </w:rPr>
            </w:pPr>
          </w:p>
        </w:tc>
        <w:tc>
          <w:tcPr>
            <w:tcW w:w="1360" w:type="dxa"/>
            <w:vAlign w:val="bottom"/>
          </w:tcPr>
          <w:p>
            <w:pPr>
              <w:jc w:val="right"/>
              <w:ind w:right="439"/>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2014, among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63"/>
              <w:spacing w:after="0"/>
              <w:rPr>
                <w:sz w:val="20"/>
                <w:szCs w:val="20"/>
                <w:color w:val="auto"/>
              </w:rPr>
            </w:pPr>
            <w:r>
              <w:rPr>
                <w:rFonts w:ascii="Arial" w:cs="Arial" w:eastAsia="Arial" w:hAnsi="Arial"/>
                <w:sz w:val="18"/>
                <w:szCs w:val="18"/>
                <w:color w:val="auto"/>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as Issuer, the Guarantors party thereto, and SunTrust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4"/>
              </w:rPr>
              <w:t>Robinson Humphrey, Inc., as Representative of the Initial</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Purchasers.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of Chief Financial Officer pursuant to</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adopted pursuant to Section 906 of the Sarbanes-Oxley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Act of 2002 for Eric M. DeMarco.</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adopted pursuant to Section 906 of the Sarbanes-Oxley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Act of 2002 for Deanna Lund.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Form 10-Q of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for the quarter ended March 27, 2016 formatted in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XBRL: (i) the Condensed Consolidated Balance Sheets,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right="5980" w:firstLine="5"/>
        <w:spacing w:after="0" w:line="295" w:lineRule="auto"/>
        <w:tabs>
          <w:tab w:leader="none" w:pos="1565"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Condensed Consolidated Statements of Operations and Comprehensive Loss, (iii) the Condensed Consolidated Statements of Cash Flows, (iv) the Notes to the Condensed Consolidated Financial Statements.</w:t>
      </w:r>
    </w:p>
    <w:p>
      <w:pPr>
        <w:spacing w:after="0" w:line="200" w:lineRule="exact"/>
        <w:rPr>
          <w:rFonts w:ascii="Arial" w:cs="Arial" w:eastAsia="Arial" w:hAnsi="Arial"/>
          <w:sz w:val="16"/>
          <w:szCs w:val="16"/>
          <w:color w:val="auto"/>
        </w:rPr>
      </w:pPr>
    </w:p>
    <w:p>
      <w:pPr>
        <w:spacing w:after="0" w:line="366" w:lineRule="exact"/>
        <w:rPr>
          <w:rFonts w:ascii="Arial" w:cs="Arial" w:eastAsia="Arial" w:hAnsi="Arial"/>
          <w:sz w:val="16"/>
          <w:szCs w:val="16"/>
          <w:color w:val="auto"/>
        </w:rPr>
      </w:pPr>
    </w:p>
    <w:p>
      <w:pPr>
        <w:ind w:right="540" w:firstLine="8"/>
        <w:spacing w:after="0" w:line="308" w:lineRule="auto"/>
        <w:tabs>
          <w:tab w:leader="none" w:pos="2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7" w:lineRule="exact"/>
        <w:rPr>
          <w:sz w:val="20"/>
          <w:szCs w:val="20"/>
          <w:color w:val="auto"/>
        </w:rPr>
      </w:pPr>
    </w:p>
    <w:p>
      <w:pPr>
        <w:ind w:right="3840" w:firstLine="8"/>
        <w:spacing w:after="0" w:line="264" w:lineRule="auto"/>
        <w:tabs>
          <w:tab w:leader="none" w:pos="2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Exhibit has been filed separately with the Secretary of the Securities and Exchange Commission without the redaction pursuant to a Confidential Treatment Request under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3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RICHARD DUCKWORTH</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Richard Duckworth</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May 4, 2016</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39</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May 4, 2016</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May 4, 2016</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March 27, 2016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May 4, 2016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March 27, 2016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May 4, 2016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lowerLetter"/>
      <w:start w:val="2"/>
    </w:lvl>
  </w:abstractNum>
  <w:abstractNum w:abstractNumId="3">
    <w:nsid w:val="4DB127F8"/>
    <w:multiLevelType w:val="hybridMultilevel"/>
    <w:lvl w:ilvl="0">
      <w:lvlJc w:val="left"/>
      <w:lvlText w:val="(%1)"/>
      <w:numFmt w:val="lowerLetter"/>
      <w:start w:val="3"/>
    </w:lvl>
  </w:abstractNum>
  <w:abstractNum w:abstractNumId="4">
    <w:nsid w:val="216231B"/>
    <w:multiLevelType w:val="hybridMultilevel"/>
    <w:lvl w:ilvl="0">
      <w:lvlJc w:val="left"/>
      <w:lvlText w:val="(%1)"/>
      <w:numFmt w:val="lowerLetter"/>
      <w:start w:val="6"/>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Roman"/>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Roman"/>
      <w:start w:val="3"/>
    </w:lvl>
  </w:abstractNum>
  <w:abstractNum w:abstractNumId="10">
    <w:nsid w:val="109CF92E"/>
    <w:multiLevelType w:val="hybridMultilevel"/>
    <w:lvl w:ilvl="0">
      <w:lvlJc w:val="left"/>
      <w:lvlText w:val="#"/>
      <w:numFmt w:val="bullet"/>
      <w:start w:val="1"/>
    </w:lvl>
    <w:lvl w:ilvl="1">
      <w:lvlJc w:val="left"/>
      <w:lvlText w:val="(%2)"/>
      <w:numFmt w:val="lowerRoman"/>
      <w:start w:val="2"/>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2019-12-29T12:25:53Z</dcterms:created>
  <dcterms:modified xsi:type="dcterms:W3CDTF">2019-12-29T12:25:53Z</dcterms:modified>
</cp:coreProperties>
</file>