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 xml:space="preserve">FORM 10-Q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2"/>
        </w:rPr>
        <w:t>QUARTERLY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October 1, 2023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 </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2"/>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 to __________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001-34460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 xml:space="preserve">KRATOS DEFENSE &amp; SECURITY SOLUTIONS,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328" w:type="dxa"/>
        <w:jc w:val="center"/>
        <w:tblInd w:w="0" w:type="dxa"/>
        <w:tblLayout w:type="fixed"/>
        <w:tblCellMar>
          <w:top w:w="28" w:type="dxa"/>
          <w:left w:w="28" w:type="dxa"/>
          <w:bottom w:w="28" w:type="dxa"/>
          <w:right w:w="28" w:type="dxa"/>
        </w:tblCellMar>
      </w:tblPr>
      <w:tblGrid>
        <w:gridCol w:w="1193"/>
        <w:gridCol w:w="1047"/>
        <w:gridCol w:w="1059"/>
        <w:gridCol w:w="884"/>
        <w:gridCol w:w="884"/>
        <w:gridCol w:w="1261"/>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13-3818604</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100" w:after="283"/>
              <w:jc w:val="center"/>
              <w:rPr/>
            </w:pPr>
            <w:r>
              <w:rPr/>
            </w:r>
          </w:p>
          <w:p>
            <w:pPr>
              <w:pStyle w:val="TableContents"/>
              <w:bidi w:val="0"/>
              <w:spacing w:lineRule="auto" w:line="240" w:before="100" w:after="283"/>
              <w:jc w:val="center"/>
              <w:rPr/>
            </w:pPr>
            <w:r>
              <w:rPr>
                <w:rFonts w:ascii="Times New Roman;sans-serif" w:hAnsi="Times New Roman;sans-serif"/>
                <w:b/>
                <w:color w:val="000000"/>
                <w:sz w:val="20"/>
              </w:rPr>
              <w:t>1 Chisholm Trail</w:t>
            </w:r>
            <w:r>
              <w:rPr>
                <w:rFonts w:ascii="Times New Roman;sans-serif" w:hAnsi="Times New Roman;sans-serif"/>
                <w:b/>
                <w:color w:val="000000"/>
                <w:sz w:val="18"/>
              </w:rPr>
              <w:t xml:space="preserve">, </w:t>
            </w:r>
            <w:r>
              <w:rPr>
                <w:rFonts w:ascii="Times New Roman;sans-serif" w:hAnsi="Times New Roman;sans-serif"/>
                <w:b/>
                <w:color w:val="000000"/>
                <w:sz w:val="20"/>
              </w:rPr>
              <w:t>Suite 300</w:t>
            </w:r>
            <w:r>
              <w:rPr>
                <w:color w:val="000000"/>
              </w:rPr>
              <w:t xml:space="preserve"> </w:t>
            </w:r>
          </w:p>
          <w:p>
            <w:pPr>
              <w:pStyle w:val="TableContents"/>
              <w:bidi w:val="0"/>
              <w:spacing w:lineRule="auto" w:line="240" w:before="0" w:after="0"/>
              <w:jc w:val="center"/>
              <w:rPr/>
            </w:pPr>
            <w:r>
              <w:rPr>
                <w:rFonts w:ascii="Times New Roman;sans-serif" w:hAnsi="Times New Roman;sans-serif"/>
                <w:b/>
                <w:color w:val="000000"/>
                <w:sz w:val="20"/>
              </w:rPr>
              <w:t>Round Rock</w:t>
            </w:r>
            <w:r>
              <w:rPr>
                <w:rFonts w:ascii="Times New Roman;sans-serif" w:hAnsi="Times New Roman;sans-serif"/>
                <w:b/>
                <w:color w:val="000000"/>
                <w:sz w:val="18"/>
              </w:rPr>
              <w:t>, TX</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78681</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(512) 238-9840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417"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KTOS</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160"/>
        <w:ind w:left="0" w:right="0" w:firstLine="36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160"/>
        <w:ind w:left="0" w:right="0" w:firstLine="36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26" w:type="dxa"/>
        <w:jc w:val="left"/>
        <w:tblInd w:w="0" w:type="dxa"/>
        <w:tblLayout w:type="fixed"/>
        <w:tblCellMar>
          <w:top w:w="28" w:type="dxa"/>
          <w:left w:w="28" w:type="dxa"/>
          <w:bottom w:w="28" w:type="dxa"/>
          <w:right w:w="28" w:type="dxa"/>
        </w:tblCellMar>
      </w:tblPr>
      <w:tblGrid>
        <w:gridCol w:w="695"/>
        <w:gridCol w:w="611"/>
        <w:gridCol w:w="613"/>
        <w:gridCol w:w="225"/>
        <w:gridCol w:w="225"/>
        <w:gridCol w:w="226"/>
        <w:gridCol w:w="769"/>
        <w:gridCol w:w="769"/>
        <w:gridCol w:w="772"/>
        <w:gridCol w:w="211"/>
        <w:gridCol w:w="211"/>
        <w:gridCol w:w="29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r>
    </w:tbl>
    <w:p>
      <w:pPr>
        <w:pStyle w:val="TextBody"/>
        <w:bidi w:val="0"/>
        <w:spacing w:lineRule="auto" w:line="288" w:before="0" w:after="160"/>
        <w:ind w:left="0" w:right="0" w:firstLine="3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60"/>
        <w:ind w:left="0" w:right="0" w:firstLine="36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No </w:t>
      </w:r>
      <w:r>
        <w:rPr>
          <w:color w:val="000000"/>
        </w:rPr>
        <w:t xml:space="preserve">☒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October 27, 2023, 128,938,622 shares of the registrant’s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KRATOS DEFENSE &amp; SECURITY SOLUTIONS,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OCTOBER 1, 2023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2958"/>
        <w:gridCol w:w="2958"/>
        <w:gridCol w:w="2965"/>
        <w:gridCol w:w="149"/>
        <w:gridCol w:w="149"/>
        <w:gridCol w:w="21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aa4a409962413aa971385b2457d939_10">
              <w:r>
                <w:rPr>
                  <w:rStyle w:val="InternetLink"/>
                  <w:rFonts w:ascii="Times New Roman;sans-serif" w:hAnsi="Times New Roman;sans-serif"/>
                  <w:b/>
                  <w:color w:val="0000FF"/>
                  <w:sz w:val="20"/>
                  <w:u w:val="single"/>
                </w:rPr>
                <w:t>PART I. 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3">
              <w:r>
                <w:rPr>
                  <w:rStyle w:val="InternetLink"/>
                  <w:rFonts w:ascii="Times New Roman;sans-serif" w:hAnsi="Times New Roman;sans-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3">
              <w:r>
                <w:rPr>
                  <w:rStyle w:val="InternetLink"/>
                  <w:rFonts w:ascii="Times New Roman;sans-serif" w:hAnsi="Times New Roman;sans-serif"/>
                  <w:b w:val="false"/>
                  <w:color w:val="0000FF"/>
                  <w:sz w:val="20"/>
                  <w:u w:val="single"/>
                </w:rPr>
                <w:t>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13">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6">
              <w:r>
                <w:rPr>
                  <w:rStyle w:val="InternetLink"/>
                  <w:rFonts w:ascii="Times New Roman;sans-serif" w:hAnsi="Times New Roman;sans-serif"/>
                  <w:b w:val="false"/>
                  <w:color w:val="000080"/>
                  <w:sz w:val="20"/>
                  <w:u w:val="single"/>
                </w:rPr>
                <w:t xml:space="preserve">Condensed Consolidated Balance Sheets at </w:t>
              </w:r>
            </w:hyperlink>
            <w:hyperlink w:anchor="id0aa4a409962413aa971385b2457d939_16">
              <w:r>
                <w:rPr>
                  <w:rStyle w:val="InternetLink"/>
                  <w:rFonts w:ascii="Times New Roman;sans-serif" w:hAnsi="Times New Roman;sans-serif"/>
                  <w:b w:val="false"/>
                  <w:color w:val="000080"/>
                  <w:sz w:val="20"/>
                  <w:u w:val="single"/>
                </w:rPr>
                <w:t>O</w:t>
              </w:r>
            </w:hyperlink>
            <w:hyperlink w:anchor="id0aa4a409962413aa971385b2457d939_16">
              <w:r>
                <w:rPr>
                  <w:rStyle w:val="InternetLink"/>
                  <w:rFonts w:ascii="Times New Roman;sans-serif" w:hAnsi="Times New Roman;sans-serif"/>
                  <w:b w:val="false"/>
                  <w:color w:val="000080"/>
                  <w:sz w:val="20"/>
                  <w:u w:val="single"/>
                </w:rPr>
                <w:t>ctober</w:t>
              </w:r>
            </w:hyperlink>
            <w:hyperlink w:anchor="id0aa4a409962413aa971385b2457d939_16">
              <w:r>
                <w:rPr>
                  <w:rStyle w:val="InternetLink"/>
                  <w:rFonts w:ascii="Times New Roman;sans-serif" w:hAnsi="Times New Roman;sans-serif"/>
                  <w:b w:val="false"/>
                  <w:color w:val="000080"/>
                  <w:sz w:val="20"/>
                  <w:u w:val="single"/>
                </w:rPr>
                <w:t xml:space="preserve"> </w:t>
              </w:r>
            </w:hyperlink>
            <w:hyperlink w:anchor="id0aa4a409962413aa971385b2457d939_16">
              <w:r>
                <w:rPr>
                  <w:rStyle w:val="InternetLink"/>
                  <w:rFonts w:ascii="Times New Roman;sans-serif" w:hAnsi="Times New Roman;sans-serif"/>
                  <w:b w:val="false"/>
                  <w:color w:val="000080"/>
                  <w:sz w:val="20"/>
                  <w:u w:val="single"/>
                </w:rPr>
                <w:t>1</w:t>
              </w:r>
            </w:hyperlink>
            <w:hyperlink w:anchor="id0aa4a409962413aa971385b2457d939_16">
              <w:r>
                <w:rPr>
                  <w:rStyle w:val="InternetLink"/>
                  <w:rFonts w:ascii="Times New Roman;sans-serif" w:hAnsi="Times New Roman;sans-serif"/>
                  <w:b w:val="false"/>
                  <w:color w:val="000080"/>
                  <w:sz w:val="20"/>
                  <w:u w:val="single"/>
                </w:rPr>
                <w:t>, 2023 (unaudited) and December 25, 2022</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16">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22">
              <w:r>
                <w:rPr>
                  <w:rStyle w:val="InternetLink"/>
                  <w:rFonts w:ascii="Times New Roman;sans-serif" w:hAnsi="Times New Roman;sans-serif"/>
                  <w:b w:val="false"/>
                  <w:color w:val="000080"/>
                  <w:sz w:val="20"/>
                  <w:u w:val="single"/>
                </w:rPr>
                <w:t xml:space="preserve">Condensed Consolidated Statements of Operations for the Three and </w:t>
              </w:r>
            </w:hyperlink>
            <w:hyperlink w:anchor="id0aa4a409962413aa971385b2457d939_22">
              <w:r>
                <w:rPr>
                  <w:rStyle w:val="InternetLink"/>
                  <w:rFonts w:ascii="Times New Roman;sans-serif" w:hAnsi="Times New Roman;sans-serif"/>
                  <w:b w:val="false"/>
                  <w:color w:val="000080"/>
                  <w:sz w:val="20"/>
                  <w:u w:val="single"/>
                </w:rPr>
                <w:t>Ni</w:t>
              </w:r>
            </w:hyperlink>
            <w:hyperlink w:anchor="id0aa4a409962413aa971385b2457d939_22">
              <w:r>
                <w:rPr>
                  <w:rStyle w:val="InternetLink"/>
                  <w:rFonts w:ascii="Times New Roman;sans-serif" w:hAnsi="Times New Roman;sans-serif"/>
                  <w:b w:val="false"/>
                  <w:color w:val="000080"/>
                  <w:sz w:val="20"/>
                  <w:u w:val="single"/>
                </w:rPr>
                <w:t>n</w:t>
              </w:r>
            </w:hyperlink>
            <w:hyperlink w:anchor="id0aa4a409962413aa971385b2457d939_22">
              <w:r>
                <w:rPr>
                  <w:rStyle w:val="InternetLink"/>
                  <w:rFonts w:ascii="Times New Roman;sans-serif" w:hAnsi="Times New Roman;sans-serif"/>
                  <w:b w:val="false"/>
                  <w:color w:val="000080"/>
                  <w:sz w:val="20"/>
                  <w:u w:val="single"/>
                </w:rPr>
                <w:t>e</w:t>
              </w:r>
            </w:hyperlink>
            <w:hyperlink w:anchor="id0aa4a409962413aa971385b2457d939_22">
              <w:r>
                <w:rPr>
                  <w:rStyle w:val="InternetLink"/>
                  <w:rFonts w:ascii="Times New Roman;sans-serif" w:hAnsi="Times New Roman;sans-serif"/>
                  <w:b w:val="false"/>
                  <w:color w:val="000080"/>
                  <w:sz w:val="20"/>
                  <w:u w:val="single"/>
                </w:rPr>
                <w:t xml:space="preserve"> Months Ended </w:t>
              </w:r>
            </w:hyperlink>
            <w:hyperlink w:anchor="id0aa4a409962413aa971385b2457d939_22">
              <w:r>
                <w:rPr>
                  <w:rStyle w:val="InternetLink"/>
                  <w:rFonts w:ascii="Times New Roman;sans-serif" w:hAnsi="Times New Roman;sans-serif"/>
                  <w:b w:val="false"/>
                  <w:color w:val="000080"/>
                  <w:sz w:val="20"/>
                  <w:u w:val="single"/>
                </w:rPr>
                <w:t xml:space="preserve">October </w:t>
              </w:r>
            </w:hyperlink>
            <w:hyperlink w:anchor="id0aa4a409962413aa971385b2457d939_22">
              <w:r>
                <w:rPr>
                  <w:rStyle w:val="InternetLink"/>
                  <w:rFonts w:ascii="Times New Roman;sans-serif" w:hAnsi="Times New Roman;sans-serif"/>
                  <w:b w:val="false"/>
                  <w:color w:val="000080"/>
                  <w:sz w:val="20"/>
                  <w:u w:val="single"/>
                </w:rPr>
                <w:t>1</w:t>
              </w:r>
            </w:hyperlink>
            <w:hyperlink w:anchor="id0aa4a409962413aa971385b2457d939_22">
              <w:r>
                <w:rPr>
                  <w:rStyle w:val="InternetLink"/>
                  <w:rFonts w:ascii="Times New Roman;sans-serif" w:hAnsi="Times New Roman;sans-serif"/>
                  <w:b w:val="false"/>
                  <w:color w:val="000080"/>
                  <w:sz w:val="20"/>
                  <w:u w:val="single"/>
                </w:rPr>
                <w:t xml:space="preserve">, 2023 and </w:t>
              </w:r>
            </w:hyperlink>
            <w:hyperlink w:anchor="id0aa4a409962413aa971385b2457d939_16">
              <w:r>
                <w:rPr>
                  <w:rStyle w:val="InternetLink"/>
                  <w:rFonts w:ascii="Times New Roman;sans-serif" w:hAnsi="Times New Roman;sans-serif"/>
                  <w:b w:val="false"/>
                  <w:color w:val="000080"/>
                  <w:sz w:val="20"/>
                  <w:u w:val="single"/>
                </w:rPr>
                <w:t>September</w:t>
              </w:r>
            </w:hyperlink>
            <w:hyperlink w:anchor="id0aa4a409962413aa971385b2457d939_22">
              <w:r>
                <w:rPr>
                  <w:rStyle w:val="InternetLink"/>
                  <w:rFonts w:ascii="Times New Roman;sans-serif" w:hAnsi="Times New Roman;sans-serif"/>
                  <w:b w:val="false"/>
                  <w:color w:val="000080"/>
                  <w:sz w:val="20"/>
                  <w:u w:val="single"/>
                </w:rPr>
                <w:t xml:space="preserve"> 2</w:t>
              </w:r>
            </w:hyperlink>
            <w:hyperlink w:anchor="id0aa4a409962413aa971385b2457d939_22">
              <w:r>
                <w:rPr>
                  <w:rStyle w:val="InternetLink"/>
                  <w:rFonts w:ascii="Times New Roman;sans-serif" w:hAnsi="Times New Roman;sans-serif"/>
                  <w:b w:val="false"/>
                  <w:color w:val="000080"/>
                  <w:sz w:val="20"/>
                  <w:u w:val="single"/>
                </w:rPr>
                <w:t>5</w:t>
              </w:r>
            </w:hyperlink>
            <w:hyperlink w:anchor="id0aa4a409962413aa971385b2457d939_22">
              <w:r>
                <w:rPr>
                  <w:rStyle w:val="InternetLink"/>
                  <w:rFonts w:ascii="Times New Roman;sans-serif" w:hAnsi="Times New Roman;sans-serif"/>
                  <w:b w:val="false"/>
                  <w:color w:val="000080"/>
                  <w:sz w:val="20"/>
                  <w:u w:val="single"/>
                </w:rPr>
                <w:t xml:space="preserve">, 2022 (unaudited)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22">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25">
              <w:r>
                <w:rPr>
                  <w:rStyle w:val="InternetLink"/>
                  <w:rFonts w:ascii="Times New Roman;sans-serif" w:hAnsi="Times New Roman;sans-serif"/>
                  <w:b w:val="false"/>
                  <w:color w:val="000080"/>
                  <w:sz w:val="20"/>
                  <w:u w:val="single"/>
                </w:rPr>
                <w:t xml:space="preserve">Condensed Consolidated Statements of Comprehensive Income (Loss) for the Three and </w:t>
              </w:r>
            </w:hyperlink>
            <w:hyperlink w:anchor="id0aa4a409962413aa971385b2457d939_25">
              <w:r>
                <w:rPr>
                  <w:rStyle w:val="InternetLink"/>
                  <w:rFonts w:ascii="Times New Roman;sans-serif" w:hAnsi="Times New Roman;sans-serif"/>
                  <w:b w:val="false"/>
                  <w:color w:val="000080"/>
                  <w:sz w:val="20"/>
                  <w:u w:val="single"/>
                </w:rPr>
                <w:t>Nine</w:t>
              </w:r>
            </w:hyperlink>
            <w:hyperlink w:anchor="id0aa4a409962413aa971385b2457d939_25">
              <w:r>
                <w:rPr>
                  <w:rStyle w:val="InternetLink"/>
                  <w:rFonts w:ascii="Times New Roman;sans-serif" w:hAnsi="Times New Roman;sans-serif"/>
                  <w:b w:val="false"/>
                  <w:color w:val="000080"/>
                  <w:sz w:val="20"/>
                  <w:u w:val="single"/>
                </w:rPr>
                <w:t xml:space="preserve"> Months Ended </w:t>
              </w:r>
            </w:hyperlink>
            <w:hyperlink w:anchor="id0aa4a409962413aa971385b2457d939_25">
              <w:r>
                <w:rPr>
                  <w:rStyle w:val="InternetLink"/>
                  <w:rFonts w:ascii="Times New Roman;sans-serif" w:hAnsi="Times New Roman;sans-serif"/>
                  <w:b w:val="false"/>
                  <w:color w:val="000080"/>
                  <w:sz w:val="20"/>
                  <w:u w:val="single"/>
                </w:rPr>
                <w:t>October</w:t>
              </w:r>
            </w:hyperlink>
            <w:hyperlink w:anchor="id0aa4a409962413aa971385b2457d939_25">
              <w:r>
                <w:rPr>
                  <w:rStyle w:val="InternetLink"/>
                  <w:rFonts w:ascii="Times New Roman;sans-serif" w:hAnsi="Times New Roman;sans-serif"/>
                  <w:b w:val="false"/>
                  <w:color w:val="000080"/>
                  <w:sz w:val="20"/>
                  <w:u w:val="single"/>
                </w:rPr>
                <w:t xml:space="preserve"> </w:t>
              </w:r>
            </w:hyperlink>
            <w:hyperlink w:anchor="id0aa4a409962413aa971385b2457d939_25">
              <w:r>
                <w:rPr>
                  <w:rStyle w:val="InternetLink"/>
                  <w:rFonts w:ascii="Times New Roman;sans-serif" w:hAnsi="Times New Roman;sans-serif"/>
                  <w:b w:val="false"/>
                  <w:color w:val="000080"/>
                  <w:sz w:val="20"/>
                  <w:u w:val="single"/>
                </w:rPr>
                <w:t>1</w:t>
              </w:r>
            </w:hyperlink>
            <w:hyperlink w:anchor="id0aa4a409962413aa971385b2457d939_25">
              <w:r>
                <w:rPr>
                  <w:rStyle w:val="InternetLink"/>
                  <w:rFonts w:ascii="Times New Roman;sans-serif" w:hAnsi="Times New Roman;sans-serif"/>
                  <w:b w:val="false"/>
                  <w:color w:val="000080"/>
                  <w:sz w:val="20"/>
                  <w:u w:val="single"/>
                </w:rPr>
                <w:t xml:space="preserve">, 2023 and </w:t>
              </w:r>
            </w:hyperlink>
            <w:hyperlink w:anchor="id0aa4a409962413aa971385b2457d939_16">
              <w:r>
                <w:rPr>
                  <w:rStyle w:val="InternetLink"/>
                  <w:rFonts w:ascii="Times New Roman;sans-serif" w:hAnsi="Times New Roman;sans-serif"/>
                  <w:b w:val="false"/>
                  <w:color w:val="000080"/>
                  <w:sz w:val="20"/>
                  <w:u w:val="single"/>
                </w:rPr>
                <w:t>September</w:t>
              </w:r>
            </w:hyperlink>
            <w:hyperlink w:anchor="id0aa4a409962413aa971385b2457d939_25">
              <w:r>
                <w:rPr>
                  <w:rStyle w:val="InternetLink"/>
                  <w:rFonts w:ascii="Times New Roman;sans-serif" w:hAnsi="Times New Roman;sans-serif"/>
                  <w:b w:val="false"/>
                  <w:color w:val="000080"/>
                  <w:sz w:val="20"/>
                  <w:u w:val="single"/>
                </w:rPr>
                <w:t xml:space="preserve"> 2</w:t>
              </w:r>
            </w:hyperlink>
            <w:hyperlink w:anchor="id0aa4a409962413aa971385b2457d939_25">
              <w:r>
                <w:rPr>
                  <w:rStyle w:val="InternetLink"/>
                  <w:rFonts w:ascii="Times New Roman;sans-serif" w:hAnsi="Times New Roman;sans-serif"/>
                  <w:b w:val="false"/>
                  <w:color w:val="000080"/>
                  <w:sz w:val="20"/>
                  <w:u w:val="single"/>
                </w:rPr>
                <w:t>5</w:t>
              </w:r>
            </w:hyperlink>
            <w:hyperlink w:anchor="id0aa4a409962413aa971385b2457d939_25">
              <w:r>
                <w:rPr>
                  <w:rStyle w:val="InternetLink"/>
                  <w:rFonts w:ascii="Times New Roman;sans-serif" w:hAnsi="Times New Roman;sans-serif"/>
                  <w:b w:val="false"/>
                  <w:color w:val="000080"/>
                  <w:sz w:val="20"/>
                  <w:u w:val="single"/>
                </w:rPr>
                <w:t>, 2022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25">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28">
              <w:r>
                <w:rPr>
                  <w:rStyle w:val="InternetLink"/>
                  <w:rFonts w:ascii="Times New Roman;sans-serif" w:hAnsi="Times New Roman;sans-serif"/>
                  <w:b w:val="false"/>
                  <w:color w:val="000080"/>
                  <w:sz w:val="20"/>
                  <w:u w:val="single"/>
                </w:rPr>
                <w:t xml:space="preserve">Condensed Consolidated Statements of Stockholders’ Equity for the Three and </w:t>
              </w:r>
            </w:hyperlink>
            <w:hyperlink w:anchor="id0aa4a409962413aa971385b2457d939_28">
              <w:r>
                <w:rPr>
                  <w:rStyle w:val="InternetLink"/>
                  <w:rFonts w:ascii="Times New Roman;sans-serif" w:hAnsi="Times New Roman;sans-serif"/>
                  <w:b w:val="false"/>
                  <w:color w:val="000080"/>
                  <w:sz w:val="20"/>
                  <w:u w:val="single"/>
                </w:rPr>
                <w:t>Nine</w:t>
              </w:r>
            </w:hyperlink>
            <w:hyperlink w:anchor="id0aa4a409962413aa971385b2457d939_28">
              <w:r>
                <w:rPr>
                  <w:rStyle w:val="InternetLink"/>
                  <w:rFonts w:ascii="Times New Roman;sans-serif" w:hAnsi="Times New Roman;sans-serif"/>
                  <w:b w:val="false"/>
                  <w:color w:val="000080"/>
                  <w:sz w:val="20"/>
                  <w:u w:val="single"/>
                </w:rPr>
                <w:t xml:space="preserve"> Months Ended </w:t>
              </w:r>
            </w:hyperlink>
            <w:hyperlink w:anchor="id0aa4a409962413aa971385b2457d939_28">
              <w:r>
                <w:rPr>
                  <w:rStyle w:val="InternetLink"/>
                  <w:rFonts w:ascii="Times New Roman;sans-serif" w:hAnsi="Times New Roman;sans-serif"/>
                  <w:b w:val="false"/>
                  <w:color w:val="000080"/>
                  <w:sz w:val="20"/>
                  <w:u w:val="single"/>
                </w:rPr>
                <w:t xml:space="preserve">October </w:t>
              </w:r>
            </w:hyperlink>
            <w:hyperlink w:anchor="id0aa4a409962413aa971385b2457d939_28">
              <w:r>
                <w:rPr>
                  <w:rStyle w:val="InternetLink"/>
                  <w:rFonts w:ascii="Times New Roman;sans-serif" w:hAnsi="Times New Roman;sans-serif"/>
                  <w:b w:val="false"/>
                  <w:color w:val="000080"/>
                  <w:sz w:val="20"/>
                  <w:u w:val="single"/>
                </w:rPr>
                <w:t>1</w:t>
              </w:r>
            </w:hyperlink>
            <w:hyperlink w:anchor="id0aa4a409962413aa971385b2457d939_28">
              <w:r>
                <w:rPr>
                  <w:rStyle w:val="InternetLink"/>
                  <w:rFonts w:ascii="Times New Roman;sans-serif" w:hAnsi="Times New Roman;sans-serif"/>
                  <w:b w:val="false"/>
                  <w:color w:val="000080"/>
                  <w:sz w:val="20"/>
                  <w:u w:val="single"/>
                </w:rPr>
                <w:t xml:space="preserve">, 2023 and </w:t>
              </w:r>
            </w:hyperlink>
            <w:hyperlink w:anchor="id0aa4a409962413aa971385b2457d939_16">
              <w:r>
                <w:rPr>
                  <w:rStyle w:val="InternetLink"/>
                  <w:rFonts w:ascii="Times New Roman;sans-serif" w:hAnsi="Times New Roman;sans-serif"/>
                  <w:b w:val="false"/>
                  <w:color w:val="000080"/>
                  <w:sz w:val="20"/>
                  <w:u w:val="single"/>
                </w:rPr>
                <w:t>September</w:t>
              </w:r>
            </w:hyperlink>
            <w:hyperlink w:anchor="id0aa4a409962413aa971385b2457d939_28">
              <w:r>
                <w:rPr>
                  <w:rStyle w:val="InternetLink"/>
                  <w:rFonts w:ascii="Times New Roman;sans-serif" w:hAnsi="Times New Roman;sans-serif"/>
                  <w:b w:val="false"/>
                  <w:color w:val="000080"/>
                  <w:sz w:val="20"/>
                  <w:u w:val="single"/>
                </w:rPr>
                <w:t xml:space="preserve"> 2</w:t>
              </w:r>
            </w:hyperlink>
            <w:hyperlink w:anchor="id0aa4a409962413aa971385b2457d939_28">
              <w:r>
                <w:rPr>
                  <w:rStyle w:val="InternetLink"/>
                  <w:rFonts w:ascii="Times New Roman;sans-serif" w:hAnsi="Times New Roman;sans-serif"/>
                  <w:b w:val="false"/>
                  <w:color w:val="000080"/>
                  <w:sz w:val="20"/>
                  <w:u w:val="single"/>
                </w:rPr>
                <w:t>5</w:t>
              </w:r>
            </w:hyperlink>
            <w:hyperlink w:anchor="id0aa4a409962413aa971385b2457d939_28">
              <w:r>
                <w:rPr>
                  <w:rStyle w:val="InternetLink"/>
                  <w:rFonts w:ascii="Times New Roman;sans-serif" w:hAnsi="Times New Roman;sans-serif"/>
                  <w:b w:val="false"/>
                  <w:color w:val="000080"/>
                  <w:sz w:val="20"/>
                  <w:u w:val="single"/>
                </w:rPr>
                <w:t>, 2022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28">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31">
              <w:r>
                <w:rPr>
                  <w:rStyle w:val="InternetLink"/>
                  <w:rFonts w:ascii="Times New Roman;sans-serif" w:hAnsi="Times New Roman;sans-serif"/>
                  <w:b w:val="false"/>
                  <w:color w:val="000080"/>
                  <w:sz w:val="20"/>
                  <w:u w:val="single"/>
                </w:rPr>
                <w:t xml:space="preserve">Condensed Consolidated Statements of Cash Flows for the </w:t>
              </w:r>
            </w:hyperlink>
            <w:hyperlink w:anchor="id0aa4a409962413aa971385b2457d939_31">
              <w:r>
                <w:rPr>
                  <w:rStyle w:val="InternetLink"/>
                  <w:rFonts w:ascii="Times New Roman;sans-serif" w:hAnsi="Times New Roman;sans-serif"/>
                  <w:b w:val="false"/>
                  <w:color w:val="000080"/>
                  <w:sz w:val="20"/>
                  <w:u w:val="single"/>
                </w:rPr>
                <w:t>Nine</w:t>
              </w:r>
            </w:hyperlink>
            <w:hyperlink w:anchor="id0aa4a409962413aa971385b2457d939_31">
              <w:r>
                <w:rPr>
                  <w:rStyle w:val="InternetLink"/>
                  <w:rFonts w:ascii="Times New Roman;sans-serif" w:hAnsi="Times New Roman;sans-serif"/>
                  <w:b w:val="false"/>
                  <w:color w:val="000080"/>
                  <w:sz w:val="20"/>
                  <w:u w:val="single"/>
                </w:rPr>
                <w:t xml:space="preserve"> Months Ended </w:t>
              </w:r>
            </w:hyperlink>
            <w:hyperlink w:anchor="id0aa4a409962413aa971385b2457d939_31">
              <w:r>
                <w:rPr>
                  <w:rStyle w:val="InternetLink"/>
                  <w:rFonts w:ascii="Times New Roman;sans-serif" w:hAnsi="Times New Roman;sans-serif"/>
                  <w:b w:val="false"/>
                  <w:color w:val="000080"/>
                  <w:sz w:val="20"/>
                  <w:u w:val="single"/>
                </w:rPr>
                <w:t>October 1</w:t>
              </w:r>
            </w:hyperlink>
            <w:hyperlink w:anchor="id0aa4a409962413aa971385b2457d939_31">
              <w:r>
                <w:rPr>
                  <w:rStyle w:val="InternetLink"/>
                  <w:rFonts w:ascii="Times New Roman;sans-serif" w:hAnsi="Times New Roman;sans-serif"/>
                  <w:b w:val="false"/>
                  <w:color w:val="000080"/>
                  <w:sz w:val="20"/>
                  <w:u w:val="single"/>
                </w:rPr>
                <w:t xml:space="preserve">, 2023 and </w:t>
              </w:r>
            </w:hyperlink>
            <w:hyperlink w:anchor="id0aa4a409962413aa971385b2457d939_16">
              <w:r>
                <w:rPr>
                  <w:rStyle w:val="InternetLink"/>
                  <w:rFonts w:ascii="Times New Roman;sans-serif" w:hAnsi="Times New Roman;sans-serif"/>
                  <w:b w:val="false"/>
                  <w:color w:val="000080"/>
                  <w:sz w:val="20"/>
                  <w:u w:val="single"/>
                </w:rPr>
                <w:t>September</w:t>
              </w:r>
            </w:hyperlink>
            <w:hyperlink w:anchor="id0aa4a409962413aa971385b2457d939_31">
              <w:r>
                <w:rPr>
                  <w:rStyle w:val="InternetLink"/>
                  <w:rFonts w:ascii="Times New Roman;sans-serif" w:hAnsi="Times New Roman;sans-serif"/>
                  <w:b w:val="false"/>
                  <w:color w:val="000080"/>
                  <w:sz w:val="20"/>
                  <w:u w:val="single"/>
                </w:rPr>
                <w:t xml:space="preserve"> 2</w:t>
              </w:r>
            </w:hyperlink>
            <w:hyperlink w:anchor="id0aa4a409962413aa971385b2457d939_31">
              <w:r>
                <w:rPr>
                  <w:rStyle w:val="InternetLink"/>
                  <w:rFonts w:ascii="Times New Roman;sans-serif" w:hAnsi="Times New Roman;sans-serif"/>
                  <w:b w:val="false"/>
                  <w:color w:val="000080"/>
                  <w:sz w:val="20"/>
                  <w:u w:val="single"/>
                </w:rPr>
                <w:t>5</w:t>
              </w:r>
            </w:hyperlink>
            <w:hyperlink w:anchor="id0aa4a409962413aa971385b2457d939_31">
              <w:r>
                <w:rPr>
                  <w:rStyle w:val="InternetLink"/>
                  <w:rFonts w:ascii="Times New Roman;sans-serif" w:hAnsi="Times New Roman;sans-serif"/>
                  <w:b w:val="false"/>
                  <w:color w:val="000080"/>
                  <w:sz w:val="20"/>
                  <w:u w:val="single"/>
                </w:rPr>
                <w:t>, 2022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31">
              <w:r>
                <w:rPr>
                  <w:rStyle w:val="InternetLink"/>
                  <w:rFonts w:ascii="Times New Roman;sans-serif" w:hAnsi="Times New Roman;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34">
              <w:r>
                <w:rPr>
                  <w:rStyle w:val="InternetLink"/>
                  <w:rFonts w:ascii="Times New Roman;sans-serif" w:hAnsi="Times New Roman;sans-serif"/>
                  <w:b w:val="false"/>
                  <w:color w:val="0000FF"/>
                  <w:sz w:val="20"/>
                  <w:u w:val="single"/>
                </w:rPr>
                <w:t>Notes to Condensed Consolidated Financial Statements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34">
              <w:r>
                <w:rPr>
                  <w:rStyle w:val="InternetLink"/>
                  <w:rFonts w:ascii="Times New Roman;sans-serif" w:hAnsi="Times New Roman;sans-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85">
              <w:r>
                <w:rPr>
                  <w:rStyle w:val="InternetLink"/>
                  <w:rFonts w:ascii="Times New Roman;sans-serif" w:hAnsi="Times New Roman;sans-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85">
              <w:r>
                <w:rPr>
                  <w:rStyle w:val="InternetLink"/>
                  <w:rFonts w:ascii="Times New Roman;sans-serif" w:hAnsi="Times New Roman;sans-serif"/>
                  <w:b w:val="false"/>
                  <w:color w:val="0000FF"/>
                  <w:sz w:val="20"/>
                  <w:u w:val="single"/>
                </w:rPr>
                <w:t>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18">
              <w:r>
                <w:rPr>
                  <w:rStyle w:val="InternetLink"/>
                  <w:rFonts w:ascii="Times New Roman;sans-serif" w:hAnsi="Times New Roman;sans-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18">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118">
              <w:r>
                <w:rPr>
                  <w:rStyle w:val="InternetLink"/>
                  <w:rFonts w:ascii="Times New Roman;sans-serif" w:hAnsi="Times New Roman;sans-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21">
              <w:r>
                <w:rPr>
                  <w:rStyle w:val="InternetLink"/>
                  <w:rFonts w:ascii="Times New Roman;sans-serif" w:hAnsi="Times New Roman;sans-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21">
              <w:r>
                <w:rPr>
                  <w:rStyle w:val="InternetLink"/>
                  <w:rFonts w:ascii="Times New Roman;sans-serif" w:hAnsi="Times New Roman;sans-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121">
              <w:r>
                <w:rPr>
                  <w:rStyle w:val="InternetLink"/>
                  <w:rFonts w:ascii="Times New Roman;sans-serif" w:hAnsi="Times New Roman;sans-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aa4a409962413aa971385b2457d939_124">
              <w:r>
                <w:rPr>
                  <w:rStyle w:val="InternetLink"/>
                  <w:rFonts w:ascii="Times New Roman;sans-serif" w:hAnsi="Times New Roman;sans-serif"/>
                  <w:b/>
                  <w:color w:val="0000FF"/>
                  <w:sz w:val="20"/>
                  <w:u w:val="single"/>
                </w:rPr>
                <w:t>PART II.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27">
              <w:r>
                <w:rPr>
                  <w:rStyle w:val="InternetLink"/>
                  <w:rFonts w:ascii="Times New Roman;sans-serif" w:hAnsi="Times New Roman;sans-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27">
              <w:r>
                <w:rPr>
                  <w:rStyle w:val="InternetLink"/>
                  <w:rFonts w:ascii="Times New Roman;sans-serif" w:hAnsi="Times New Roman;sans-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127">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30">
              <w:r>
                <w:rPr>
                  <w:rStyle w:val="InternetLink"/>
                  <w:rFonts w:ascii="Times New Roman;sans-serif" w:hAnsi="Times New Roman;sans-serif"/>
                  <w:b w:val="false"/>
                  <w:color w:val="0000FF"/>
                  <w:sz w:val="20"/>
                  <w:u w:val="single"/>
                </w:rPr>
                <w:t>Item 1A.</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30">
              <w:r>
                <w:rPr>
                  <w:rStyle w:val="InternetLink"/>
                  <w:rFonts w:ascii="Times New Roman;sans-serif" w:hAnsi="Times New Roman;sans-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130">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33">
              <w:r>
                <w:rPr>
                  <w:rStyle w:val="InternetLink"/>
                  <w:rFonts w:ascii="Times New Roman;sans-serif" w:hAnsi="Times New Roman;sans-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33">
              <w:r>
                <w:rPr>
                  <w:rStyle w:val="InternetLink"/>
                  <w:rFonts w:ascii="Times New Roman;sans-serif" w:hAnsi="Times New Roman;sans-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133">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36">
              <w:r>
                <w:rPr>
                  <w:rStyle w:val="InternetLink"/>
                  <w:rFonts w:ascii="Times New Roman;sans-serif" w:hAnsi="Times New Roman;sans-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36">
              <w:r>
                <w:rPr>
                  <w:rStyle w:val="InternetLink"/>
                  <w:rFonts w:ascii="Times New Roman;sans-serif" w:hAnsi="Times New Roman;sans-serif"/>
                  <w:b w:val="false"/>
                  <w:color w:val="0000FF"/>
                  <w:sz w:val="20"/>
                  <w:u w:val="single"/>
                </w:rPr>
                <w:t>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136">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39">
              <w:r>
                <w:rPr>
                  <w:rStyle w:val="InternetLink"/>
                  <w:rFonts w:ascii="Times New Roman;sans-serif" w:hAnsi="Times New Roman;sans-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39">
              <w:r>
                <w:rPr>
                  <w:rStyle w:val="InternetLink"/>
                  <w:rFonts w:ascii="Times New Roman;sans-serif" w:hAnsi="Times New Roman;sans-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139">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42">
              <w:r>
                <w:rPr>
                  <w:rStyle w:val="InternetLink"/>
                  <w:rFonts w:ascii="Times New Roman;sans-serif" w:hAnsi="Times New Roman;sans-serif"/>
                  <w:b w:val="false"/>
                  <w:color w:val="0000FF"/>
                  <w:sz w:val="20"/>
                  <w:u w:val="single"/>
                </w:rPr>
                <w:t>Item 5.</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42">
              <w:r>
                <w:rPr>
                  <w:rStyle w:val="InternetLink"/>
                  <w:rFonts w:ascii="Times New Roman;sans-serif" w:hAnsi="Times New Roman;sans-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142">
              <w:r>
                <w:rPr>
                  <w:rStyle w:val="InternetLink"/>
                  <w:rFonts w:ascii="Times New Roman;sans-serif" w:hAnsi="Times New Roman;sans-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45">
              <w:r>
                <w:rPr>
                  <w:rStyle w:val="InternetLink"/>
                  <w:rFonts w:ascii="Times New Roman;sans-serif" w:hAnsi="Times New Roman;sans-serif"/>
                  <w:b w:val="false"/>
                  <w:color w:val="0000FF"/>
                  <w:sz w:val="20"/>
                  <w:u w:val="single"/>
                </w:rPr>
                <w:t>Item 6.</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45">
              <w:r>
                <w:rPr>
                  <w:rStyle w:val="InternetLink"/>
                  <w:rFonts w:ascii="Times New Roman;sans-serif" w:hAnsi="Times New Roman;sans-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a4a409962413aa971385b2457d939_145">
              <w:r>
                <w:rPr>
                  <w:rStyle w:val="InternetLink"/>
                  <w:rFonts w:ascii="Times New Roman;sans-serif" w:hAnsi="Times New Roman;sans-serif"/>
                  <w:b w:val="false"/>
                  <w:color w:val="0000FF"/>
                  <w:sz w:val="20"/>
                  <w:u w:val="singl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(in millions, except par value and number of shares)</w:t>
      </w:r>
    </w:p>
    <w:tbl>
      <w:tblPr>
        <w:tblW w:w="10205" w:type="dxa"/>
        <w:jc w:val="center"/>
        <w:tblInd w:w="0" w:type="dxa"/>
        <w:tblLayout w:type="fixed"/>
        <w:tblCellMar>
          <w:top w:w="28" w:type="dxa"/>
          <w:left w:w="28" w:type="dxa"/>
          <w:bottom w:w="28" w:type="dxa"/>
          <w:right w:w="28" w:type="dxa"/>
        </w:tblCellMar>
      </w:tblPr>
      <w:tblGrid>
        <w:gridCol w:w="2793"/>
        <w:gridCol w:w="2302"/>
        <w:gridCol w:w="2300"/>
        <w:gridCol w:w="227"/>
        <w:gridCol w:w="802"/>
        <w:gridCol w:w="126"/>
        <w:gridCol w:w="109"/>
        <w:gridCol w:w="109"/>
        <w:gridCol w:w="109"/>
        <w:gridCol w:w="249"/>
        <w:gridCol w:w="879"/>
        <w:gridCol w:w="200"/>
      </w:tblGrid>
      <w:tr>
        <w:trPr/>
        <w:tc>
          <w:tcPr>
            <w:tcW w:w="2793"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25, 2022</w:t>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receivables, net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Inventoried costs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Liabilities and Stockholders</w:t>
            </w:r>
            <w:r>
              <w:rPr>
                <w:color w:val="000000"/>
              </w:rPr>
              <w:t xml:space="preserve">’ </w:t>
            </w:r>
            <w:r>
              <w:rPr>
                <w:rFonts w:ascii="Times New Roman;sans-serif" w:hAnsi="Times New Roman;sans-serif"/>
                <w:b/>
                <w:color w:val="000000"/>
                <w:sz w:val="18"/>
              </w:rPr>
              <w:t>Equity</w:t>
            </w:r>
          </w:p>
        </w:tc>
        <w:tc>
          <w:tcPr>
            <w:tcW w:w="115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Billings in excess of costs and earnings on uncompleted contracts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of discontinued operations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net of current portion</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 of discontinued operations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Stockholders</w:t>
            </w:r>
            <w:r>
              <w:rPr>
                <w:color w:val="000000"/>
              </w:rPr>
              <w:t xml:space="preserve">’ </w:t>
            </w:r>
            <w:r>
              <w:rPr>
                <w:rFonts w:ascii="Times New Roman;sans-serif" w:hAnsi="Times New Roman;sans-serif"/>
                <w:b w:val="false"/>
                <w:color w:val="000000"/>
                <w:sz w:val="18"/>
              </w:rPr>
              <w:t>equity:</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5,000,000 shares authorized, 0 shares outstanding at October 1, 2023 and December 25, 2022</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195,000,000 shares authorized; 128,072,596 and 125,985,306 shares issued and outstanding at October 1, 2023 and December 25, 2022, respectively</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 stockholders</w:t>
            </w:r>
            <w:r>
              <w:rPr>
                <w:color w:val="000000"/>
              </w:rPr>
              <w:t xml:space="preserve">’ </w:t>
            </w:r>
            <w:r>
              <w:rPr>
                <w:rFonts w:ascii="Times New Roman;sans-serif" w:hAnsi="Times New Roman;sans-serif"/>
                <w:b w:val="false"/>
                <w:color w:val="000000"/>
                <w:sz w:val="18"/>
              </w:rPr>
              <w:t>equity</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 liabilities and stockholders</w:t>
            </w:r>
            <w:r>
              <w:rPr>
                <w:color w:val="000000"/>
              </w:rPr>
              <w:t xml:space="preserve">’ </w:t>
            </w:r>
            <w:r>
              <w:rPr>
                <w:rFonts w:ascii="Times New Roman;sans-serif" w:hAnsi="Times New Roman;sans-serif"/>
                <w:b w:val="false"/>
                <w:color w:val="000000"/>
                <w:sz w:val="18"/>
              </w:rPr>
              <w:t>equity</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1,551.5 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p>
      <w:pPr>
        <w:pStyle w:val="TextBody"/>
        <w:bidi w:val="0"/>
        <w:spacing w:lineRule="auto" w:line="288" w:before="0" w:after="0"/>
        <w:jc w:val="center"/>
        <w:rPr/>
      </w:pPr>
      <w:r>
        <w:rPr>
          <w:color w:val="000000"/>
        </w:rPr>
        <w:t> </w:t>
      </w:r>
      <w:r>
        <w:rPr>
          <w:rFonts w:ascii="Times New Roman;sans-serif" w:hAnsi="Times New Roman;sans-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499"/>
        <w:gridCol w:w="1235"/>
        <w:gridCol w:w="1239"/>
        <w:gridCol w:w="272"/>
        <w:gridCol w:w="774"/>
        <w:gridCol w:w="151"/>
        <w:gridCol w:w="109"/>
        <w:gridCol w:w="109"/>
        <w:gridCol w:w="109"/>
        <w:gridCol w:w="346"/>
        <w:gridCol w:w="863"/>
        <w:gridCol w:w="192"/>
        <w:gridCol w:w="109"/>
        <w:gridCol w:w="109"/>
        <w:gridCol w:w="109"/>
        <w:gridCol w:w="272"/>
        <w:gridCol w:w="774"/>
        <w:gridCol w:w="151"/>
        <w:gridCol w:w="109"/>
        <w:gridCol w:w="109"/>
        <w:gridCol w:w="109"/>
        <w:gridCol w:w="312"/>
        <w:gridCol w:w="889"/>
        <w:gridCol w:w="255"/>
      </w:tblGrid>
      <w:tr>
        <w:trPr/>
        <w:tc>
          <w:tcPr>
            <w:tcW w:w="149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649.0 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 revenues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sales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484.4 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and acquisition expenses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 and other</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1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net</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continuing operations before income taxes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income taxes from continuing operations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continuing operations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(loss) from discontinued operations before income taxes </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discontinued operations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Kratos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loss per common share attributable to Kratos:</w:t>
            </w:r>
          </w:p>
        </w:tc>
        <w:tc>
          <w:tcPr>
            <w:tcW w:w="119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from continuing operations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discontinued operations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per common share</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weighted average common shares outstanding</w:t>
            </w:r>
          </w:p>
        </w:tc>
        <w:tc>
          <w:tcPr>
            <w:tcW w:w="104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127.2 </w:t>
            </w:r>
          </w:p>
        </w:tc>
        <w:tc>
          <w:tcPr>
            <w:tcW w:w="1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1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126.5 </w:t>
            </w:r>
          </w:p>
        </w:tc>
        <w:tc>
          <w:tcPr>
            <w:tcW w:w="2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p>
      <w:pPr>
        <w:pStyle w:val="TextBody"/>
        <w:bidi w:val="0"/>
        <w:spacing w:lineRule="auto" w:line="288" w:before="0" w:after="0"/>
        <w:jc w:val="center"/>
        <w:rPr/>
      </w:pPr>
      <w:r>
        <w:rPr>
          <w:color w:val="000000"/>
        </w:rPr>
        <w:t> </w:t>
      </w:r>
      <w:r>
        <w:rPr>
          <w:rFonts w:ascii="Times New Roman;sans-serif" w:hAnsi="Times New Roman;sans-serif"/>
          <w:b/>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20"/>
        <w:gridCol w:w="1541"/>
        <w:gridCol w:w="1504"/>
        <w:gridCol w:w="248"/>
        <w:gridCol w:w="541"/>
        <w:gridCol w:w="138"/>
        <w:gridCol w:w="109"/>
        <w:gridCol w:w="109"/>
        <w:gridCol w:w="109"/>
        <w:gridCol w:w="279"/>
        <w:gridCol w:w="692"/>
        <w:gridCol w:w="155"/>
        <w:gridCol w:w="109"/>
        <w:gridCol w:w="109"/>
        <w:gridCol w:w="109"/>
        <w:gridCol w:w="248"/>
        <w:gridCol w:w="541"/>
        <w:gridCol w:w="138"/>
        <w:gridCol w:w="109"/>
        <w:gridCol w:w="109"/>
        <w:gridCol w:w="109"/>
        <w:gridCol w:w="274"/>
        <w:gridCol w:w="681"/>
        <w:gridCol w:w="224"/>
      </w:tblGrid>
      <w:tr>
        <w:trPr/>
        <w:tc>
          <w:tcPr>
            <w:tcW w:w="2020"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5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5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cash flow hedge (net of taxes of $0.5 million and $1.1 million for the three and nine month periods ended October 1, 2023, respectively)</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cumulative translation adjustment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w:t>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Kratos</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October 1, 2023 and September 25, 2022</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bl>
      <w:tblPr>
        <w:tblW w:w="11004" w:type="dxa"/>
        <w:jc w:val="center"/>
        <w:tblInd w:w="0" w:type="dxa"/>
        <w:tblLayout w:type="fixed"/>
        <w:tblCellMar>
          <w:top w:w="28" w:type="dxa"/>
          <w:left w:w="28" w:type="dxa"/>
          <w:bottom w:w="28" w:type="dxa"/>
          <w:right w:w="28" w:type="dxa"/>
        </w:tblCellMar>
      </w:tblPr>
      <w:tblGrid>
        <w:gridCol w:w="701"/>
        <w:gridCol w:w="234"/>
        <w:gridCol w:w="236"/>
        <w:gridCol w:w="109"/>
        <w:gridCol w:w="109"/>
        <w:gridCol w:w="109"/>
        <w:gridCol w:w="345"/>
        <w:gridCol w:w="663"/>
        <w:gridCol w:w="193"/>
        <w:gridCol w:w="109"/>
        <w:gridCol w:w="109"/>
        <w:gridCol w:w="109"/>
        <w:gridCol w:w="278"/>
        <w:gridCol w:w="278"/>
        <w:gridCol w:w="196"/>
        <w:gridCol w:w="109"/>
        <w:gridCol w:w="109"/>
        <w:gridCol w:w="109"/>
        <w:gridCol w:w="207"/>
        <w:gridCol w:w="428"/>
        <w:gridCol w:w="116"/>
        <w:gridCol w:w="109"/>
        <w:gridCol w:w="109"/>
        <w:gridCol w:w="109"/>
        <w:gridCol w:w="196"/>
        <w:gridCol w:w="691"/>
        <w:gridCol w:w="109"/>
        <w:gridCol w:w="109"/>
        <w:gridCol w:w="109"/>
        <w:gridCol w:w="109"/>
        <w:gridCol w:w="335"/>
        <w:gridCol w:w="694"/>
        <w:gridCol w:w="187"/>
        <w:gridCol w:w="109"/>
        <w:gridCol w:w="109"/>
        <w:gridCol w:w="109"/>
        <w:gridCol w:w="235"/>
        <w:gridCol w:w="685"/>
        <w:gridCol w:w="131"/>
        <w:gridCol w:w="109"/>
        <w:gridCol w:w="109"/>
        <w:gridCol w:w="109"/>
        <w:gridCol w:w="109"/>
        <w:gridCol w:w="109"/>
        <w:gridCol w:w="109"/>
        <w:gridCol w:w="109"/>
        <w:gridCol w:w="246"/>
        <w:gridCol w:w="700"/>
        <w:gridCol w:w="195"/>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June 26,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 and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September 25,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914" w:type="dxa"/>
        <w:jc w:val="center"/>
        <w:tblInd w:w="0" w:type="dxa"/>
        <w:tblLayout w:type="fixed"/>
        <w:tblCellMar>
          <w:top w:w="28" w:type="dxa"/>
          <w:left w:w="28" w:type="dxa"/>
          <w:bottom w:w="28" w:type="dxa"/>
          <w:right w:w="28" w:type="dxa"/>
        </w:tblCellMar>
      </w:tblPr>
      <w:tblGrid>
        <w:gridCol w:w="611"/>
        <w:gridCol w:w="234"/>
        <w:gridCol w:w="236"/>
        <w:gridCol w:w="109"/>
        <w:gridCol w:w="109"/>
        <w:gridCol w:w="109"/>
        <w:gridCol w:w="305"/>
        <w:gridCol w:w="725"/>
        <w:gridCol w:w="171"/>
        <w:gridCol w:w="109"/>
        <w:gridCol w:w="109"/>
        <w:gridCol w:w="109"/>
        <w:gridCol w:w="278"/>
        <w:gridCol w:w="278"/>
        <w:gridCol w:w="196"/>
        <w:gridCol w:w="109"/>
        <w:gridCol w:w="109"/>
        <w:gridCol w:w="109"/>
        <w:gridCol w:w="207"/>
        <w:gridCol w:w="428"/>
        <w:gridCol w:w="116"/>
        <w:gridCol w:w="109"/>
        <w:gridCol w:w="109"/>
        <w:gridCol w:w="109"/>
        <w:gridCol w:w="196"/>
        <w:gridCol w:w="691"/>
        <w:gridCol w:w="109"/>
        <w:gridCol w:w="109"/>
        <w:gridCol w:w="109"/>
        <w:gridCol w:w="109"/>
        <w:gridCol w:w="349"/>
        <w:gridCol w:w="671"/>
        <w:gridCol w:w="196"/>
        <w:gridCol w:w="109"/>
        <w:gridCol w:w="109"/>
        <w:gridCol w:w="109"/>
        <w:gridCol w:w="235"/>
        <w:gridCol w:w="685"/>
        <w:gridCol w:w="131"/>
        <w:gridCol w:w="109"/>
        <w:gridCol w:w="109"/>
        <w:gridCol w:w="109"/>
        <w:gridCol w:w="109"/>
        <w:gridCol w:w="109"/>
        <w:gridCol w:w="109"/>
        <w:gridCol w:w="109"/>
        <w:gridCol w:w="246"/>
        <w:gridCol w:w="700"/>
        <w:gridCol w:w="195"/>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June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 and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Gain on interest rate swap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comprehensive loss, net of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October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953.4 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 October 1, 2023 and September 25, 2022</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bl>
      <w:tblPr>
        <w:tblW w:w="11004" w:type="dxa"/>
        <w:jc w:val="center"/>
        <w:tblInd w:w="0" w:type="dxa"/>
        <w:tblLayout w:type="fixed"/>
        <w:tblCellMar>
          <w:top w:w="28" w:type="dxa"/>
          <w:left w:w="28" w:type="dxa"/>
          <w:bottom w:w="28" w:type="dxa"/>
          <w:right w:w="28" w:type="dxa"/>
        </w:tblCellMar>
      </w:tblPr>
      <w:tblGrid>
        <w:gridCol w:w="701"/>
        <w:gridCol w:w="234"/>
        <w:gridCol w:w="236"/>
        <w:gridCol w:w="109"/>
        <w:gridCol w:w="109"/>
        <w:gridCol w:w="109"/>
        <w:gridCol w:w="305"/>
        <w:gridCol w:w="725"/>
        <w:gridCol w:w="171"/>
        <w:gridCol w:w="109"/>
        <w:gridCol w:w="109"/>
        <w:gridCol w:w="109"/>
        <w:gridCol w:w="278"/>
        <w:gridCol w:w="278"/>
        <w:gridCol w:w="196"/>
        <w:gridCol w:w="109"/>
        <w:gridCol w:w="109"/>
        <w:gridCol w:w="109"/>
        <w:gridCol w:w="207"/>
        <w:gridCol w:w="428"/>
        <w:gridCol w:w="116"/>
        <w:gridCol w:w="109"/>
        <w:gridCol w:w="109"/>
        <w:gridCol w:w="109"/>
        <w:gridCol w:w="196"/>
        <w:gridCol w:w="691"/>
        <w:gridCol w:w="109"/>
        <w:gridCol w:w="109"/>
        <w:gridCol w:w="109"/>
        <w:gridCol w:w="109"/>
        <w:gridCol w:w="342"/>
        <w:gridCol w:w="683"/>
        <w:gridCol w:w="191"/>
        <w:gridCol w:w="109"/>
        <w:gridCol w:w="109"/>
        <w:gridCol w:w="109"/>
        <w:gridCol w:w="235"/>
        <w:gridCol w:w="685"/>
        <w:gridCol w:w="131"/>
        <w:gridCol w:w="109"/>
        <w:gridCol w:w="109"/>
        <w:gridCol w:w="109"/>
        <w:gridCol w:w="109"/>
        <w:gridCol w:w="109"/>
        <w:gridCol w:w="109"/>
        <w:gridCol w:w="109"/>
        <w:gridCol w:w="246"/>
        <w:gridCol w:w="700"/>
        <w:gridCol w:w="195"/>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26,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 and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September 25,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004" w:type="dxa"/>
        <w:jc w:val="center"/>
        <w:tblInd w:w="0" w:type="dxa"/>
        <w:tblLayout w:type="fixed"/>
        <w:tblCellMar>
          <w:top w:w="28" w:type="dxa"/>
          <w:left w:w="28" w:type="dxa"/>
          <w:bottom w:w="28" w:type="dxa"/>
          <w:right w:w="28" w:type="dxa"/>
        </w:tblCellMar>
      </w:tblPr>
      <w:tblGrid>
        <w:gridCol w:w="701"/>
        <w:gridCol w:w="234"/>
        <w:gridCol w:w="236"/>
        <w:gridCol w:w="109"/>
        <w:gridCol w:w="109"/>
        <w:gridCol w:w="109"/>
        <w:gridCol w:w="305"/>
        <w:gridCol w:w="725"/>
        <w:gridCol w:w="171"/>
        <w:gridCol w:w="109"/>
        <w:gridCol w:w="109"/>
        <w:gridCol w:w="109"/>
        <w:gridCol w:w="278"/>
        <w:gridCol w:w="278"/>
        <w:gridCol w:w="196"/>
        <w:gridCol w:w="109"/>
        <w:gridCol w:w="109"/>
        <w:gridCol w:w="109"/>
        <w:gridCol w:w="207"/>
        <w:gridCol w:w="428"/>
        <w:gridCol w:w="116"/>
        <w:gridCol w:w="109"/>
        <w:gridCol w:w="109"/>
        <w:gridCol w:w="109"/>
        <w:gridCol w:w="196"/>
        <w:gridCol w:w="691"/>
        <w:gridCol w:w="109"/>
        <w:gridCol w:w="109"/>
        <w:gridCol w:w="109"/>
        <w:gridCol w:w="109"/>
        <w:gridCol w:w="342"/>
        <w:gridCol w:w="683"/>
        <w:gridCol w:w="191"/>
        <w:gridCol w:w="109"/>
        <w:gridCol w:w="109"/>
        <w:gridCol w:w="109"/>
        <w:gridCol w:w="235"/>
        <w:gridCol w:w="685"/>
        <w:gridCol w:w="131"/>
        <w:gridCol w:w="109"/>
        <w:gridCol w:w="109"/>
        <w:gridCol w:w="109"/>
        <w:gridCol w:w="109"/>
        <w:gridCol w:w="109"/>
        <w:gridCol w:w="109"/>
        <w:gridCol w:w="109"/>
        <w:gridCol w:w="246"/>
        <w:gridCol w:w="700"/>
        <w:gridCol w:w="195"/>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25,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 and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Gain on interest rate swap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October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707"/>
        <w:gridCol w:w="2262"/>
        <w:gridCol w:w="2273"/>
        <w:gridCol w:w="300"/>
        <w:gridCol w:w="715"/>
        <w:gridCol w:w="167"/>
        <w:gridCol w:w="109"/>
        <w:gridCol w:w="109"/>
        <w:gridCol w:w="109"/>
        <w:gridCol w:w="313"/>
        <w:gridCol w:w="891"/>
        <w:gridCol w:w="250"/>
      </w:tblGrid>
      <w:tr>
        <w:trPr/>
        <w:tc>
          <w:tcPr>
            <w:tcW w:w="2707"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7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7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1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discontinued operations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continuing operations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loss from continuing operations to net cash used in operating activities from continuing operations:</w:t>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lease right-of-use assets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Litigation related charges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 net of acquisitions:</w:t>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Unbilled receivables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Inventoried costs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Billings in excess of costs and earnings on uncompleted contracts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 and payable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 from continuing operations</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1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acquisitions, net of cash acquired</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 from continuing operations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issuance of long-term debt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724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724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 under credit facility</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Senior Secured Notes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under credit facility and term loan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under finance leases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employee taxes withheld from share-based awards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shares issued under equity plans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724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 from continuing operations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continuing operations</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operating cash flows of discontinued operations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cash equivalents and restricted cash</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(224.2)</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end of period</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99" w:type="dxa"/>
        <w:jc w:val="center"/>
        <w:tblInd w:w="0" w:type="dxa"/>
        <w:tblLayout w:type="fixed"/>
        <w:tblCellMar>
          <w:top w:w="28" w:type="dxa"/>
          <w:left w:w="28" w:type="dxa"/>
          <w:bottom w:w="28" w:type="dxa"/>
          <w:right w:w="28" w:type="dxa"/>
        </w:tblCellMar>
      </w:tblPr>
      <w:tblGrid>
        <w:gridCol w:w="1655"/>
        <w:gridCol w:w="1455"/>
        <w:gridCol w:w="1465"/>
        <w:gridCol w:w="196"/>
        <w:gridCol w:w="466"/>
        <w:gridCol w:w="109"/>
        <w:gridCol w:w="109"/>
        <w:gridCol w:w="109"/>
        <w:gridCol w:w="109"/>
        <w:gridCol w:w="196"/>
        <w:gridCol w:w="376"/>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Significant non-cash investing and financing activities: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lease obligation incurred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issuance for purchase of noncontrolling interests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Common stock issuance for acquisition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KRATOS DEFENSE &amp; SECURITY SOLUTIONS,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Summary of Significant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All references to the “Company” and “Kratos” refer to Kratos Defense &amp; Security Solutions, Inc., a Delaware corporation,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color w:val="000000"/>
          <w:sz w:val="20"/>
        </w:rPr>
        <w:t>(a)</w:t>
      </w:r>
      <w:r>
        <w:rPr>
          <w:color w:val="000000"/>
        </w:rPr>
        <w:t>    </w:t>
      </w: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The information as of October 1, 2023 and for the three and nine months ended October 1, 2023 and September 25, 2022 is unaudited. The condensed consolidated balance sheet as of December 25, 2022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25, 2022, included in the Company’s Annual Report on Form 10-K filed with the U.S. Securities and Exchange Commission (the “SEC”) on February 23, 2023 (the “Form 10-K”). Interim operating results are not necessarily indicative of operating results expected in subsequent periods or for the year as a whole.</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(b)    Principles of Consolidation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its 100% owned subsidiaries and its majority owned subsidiary, KTT CORE, Inc., a Delaware corporation formerly known as KTT CORE, LLC (“KTT Core”), which is 90.05% owned by the Company. All inter-company transactions have been eliminated in consolidation. Noncontrolling interest consists of the remaining 9.95% interest in KTT Core. See Note 12 for further information related to the redeemable noncontrolling interest.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(c)    Fiscal Year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52/53 week fiscal year ending on the last Sunday of the calendar year. The three month periods ended October 1, 2023 and September 25, 2022 consisted of 14-week and 13-week periods, respectively. The nine month periods ended October 1, 2023 and September 25, 2022 consisted of 40-week and 39-week periods, respectively. There are 53 calendar weeks in the fiscal year ending on December 31, 2023 and 52 calendar weeks in the fiscal year ending December 25, 2022.</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    Accounting Estimates</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the Company’s accounting estimates for the nine months ended October 1, 2023 as compared to the accounting estimates described in the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    Fair Value of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forward exchange contracts to manage foreign currency risks associated with certain transactions, specifically forecasted materials and salaries paid in foreign currencies. The Company also has entered into an interest rate swap contract in order to mitigate the exposure to interest rate movements associated with the Company’s Term Loan A. These derivative instruments are measured at fair value using observable market inputs such as interest rates. Based on these inputs, the derivative instruments are classified within Level 2 of the valuation hierarchy. At October 1, 2023, the derivative instruments were included in other current assets, other assets, and other current liabilities on the Company's Condensed Consolidated Balance Sheets.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the related fair values of the Company’s derivative instruments measured at fair value on a recurring basis at October 1, 2023, are presented in Note 15.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all financial instruments, including cash equivalents, accounts receivable, unbilled receivables, accounts payable, accrued expenses, billings in excess of cost and earnings on uncompleted contracts, income taxes payable and long and short-term debt, approximated their estimated fair values at October 1, 2023 and December 25, 2022 due to the short-term nature of these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Acquisitions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Cosmic Advanced Engineered Solutions, Inc.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27, 2021, Kratos Integral Holdings, LLC entered into a Stock Purchase Agreement to acquire Cosmic Advanced Engineered Solutions, Inc. (“Cosmic”) from the Carol L. Zanmiller Living Trust and the John G. Hutchens Living Trust for $37.9 million in cash (including a $0.4 million holdback which was subsequently settled). Cosmic focuses on radio frequency (“RF”), terrestrial, and space-based communication solutions, including digital signals processing and geolocation analysis. In addition, Cosmic provides overhead persistent infrared for missile defense systems and embedded cyber solutions to U.S. government agencies. On December 27, 2021, the acquisition was completed following the satisfaction of all closing conditions, including receipt of regulatory approval from all required government authorities. The operating results of the acquisition have been included in the Company’s results of operations from the effective acquisition date. Cosmic is included in the Kratos Government Solutions (“KGS”) segment.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price over the fair value of the tangible and identifiable intangible assets acquired and liabilities assumed in the acquisition was allocated to goodwill. The goodwill represents the value the Company expects to be created by integrating Cosmic’s existing business with Kratos’ related products and 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has been accounted for using the acquisition method of accounting, which requires, among other things, that the identifiable assets acquired and the liabilities assumed be recognized at their fair values as of the acquisition date. The fair value measurements are based primarily on significant inputs not observable in the marketplace and thus represent Level 3 measurements.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allocation of the purchase price over the estimated fair values of the major assets acquired and liabilities assumed (in millions): </w:t>
      </w:r>
    </w:p>
    <w:p>
      <w:pPr>
        <w:pStyle w:val="TextBody"/>
        <w:bidi w:val="0"/>
        <w:spacing w:before="0" w:after="0"/>
        <w:ind w:left="0" w:right="0" w:firstLine="720"/>
        <w:jc w:val="left"/>
        <w:rPr/>
      </w:pPr>
      <w:r>
        <w:rPr/>
      </w:r>
    </w:p>
    <w:tbl>
      <w:tblPr>
        <w:tblW w:w="4607" w:type="dxa"/>
        <w:jc w:val="left"/>
        <w:tblInd w:w="0" w:type="dxa"/>
        <w:tblLayout w:type="fixed"/>
        <w:tblCellMar>
          <w:top w:w="28" w:type="dxa"/>
          <w:left w:w="28" w:type="dxa"/>
          <w:bottom w:w="28" w:type="dxa"/>
          <w:right w:w="28" w:type="dxa"/>
        </w:tblCellMar>
      </w:tblPr>
      <w:tblGrid>
        <w:gridCol w:w="1232"/>
        <w:gridCol w:w="1084"/>
        <w:gridCol w:w="1088"/>
        <w:gridCol w:w="109"/>
        <w:gridCol w:w="109"/>
        <w:gridCol w:w="109"/>
        <w:gridCol w:w="211"/>
        <w:gridCol w:w="511"/>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identifiable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excluding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Company’s estimate of fair value, as of December 27, 2021, net liabilities included $6.7 million of current liabilities. The identifiable intangible assets include trade names of $0.6 million with a remaining useful life of 5 years, backlog of $1.7 million with an estimated useful life of 1 year, customer relationships of $4.4 million with a remaining useful life of 10 years, and developed technology of $1.8 million with a remaining useful life of 5 years. The Company also established a deferred tax liability of $2.4 million for the difference between the financial statement basis and tax basis of the acquired assets of Cosmic and a corresponding increase in goodwill. The goodwill recorded in this transaction is not expected to be tax-deductible.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value of customer relationships was estimated using the multi-period excess earnings method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customer relationships, which were discounted at a rate of 11% to determine the fair value. The value of backlog was also valued using MPEEM. The value of developed technology was estimated using the relief-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from-royalty method, an income approach (Level 3), which estimates the cost savings that accrue to the owner of the intangible asset that would otherwise be payable as royalties or license fees on revenues earned through the use of the asset. A royalty rate of 11% was applied to the projected revenues associated with the intangible asset to determine the amount of savings in order to determine the fair value.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consideration paid for the acquired ownership in Cosmic is as follows (in millions):</w:t>
      </w:r>
    </w:p>
    <w:p>
      <w:pPr>
        <w:pStyle w:val="TextBody"/>
        <w:bidi w:val="0"/>
        <w:spacing w:before="0" w:after="0"/>
        <w:ind w:left="0" w:right="0" w:firstLine="720"/>
        <w:jc w:val="left"/>
        <w:rPr/>
      </w:pPr>
      <w:r>
        <w:rPr/>
      </w:r>
    </w:p>
    <w:tbl>
      <w:tblPr>
        <w:tblW w:w="2943" w:type="dxa"/>
        <w:jc w:val="left"/>
        <w:tblInd w:w="0" w:type="dxa"/>
        <w:tblLayout w:type="fixed"/>
        <w:tblCellMar>
          <w:top w:w="28" w:type="dxa"/>
          <w:left w:w="28" w:type="dxa"/>
          <w:bottom w:w="28" w:type="dxa"/>
          <w:right w:w="28" w:type="dxa"/>
        </w:tblCellMar>
      </w:tblPr>
      <w:tblGrid>
        <w:gridCol w:w="629"/>
        <w:gridCol w:w="552"/>
        <w:gridCol w:w="559"/>
        <w:gridCol w:w="109"/>
        <w:gridCol w:w="109"/>
        <w:gridCol w:w="109"/>
        <w:gridCol w:w="211"/>
        <w:gridCol w:w="511"/>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Southern Research Engineering Division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9, 2022, the Company executed an Asset Purchase Agreement to acquire the assets of the Engineering Division of Southern Research Institute (“SRI”), an Alabama non-profit corporation, for a purchase price of approximately $79.4 million, comprised of $74.4 million in cash, subject to adjustments for working capital, potential earn-out consideration tied to revenue from certain in-development products, indebtedness and transaction expenses, and $5.0 million in Kratos common stock. SRI’s Engineering Division (“SRE”) is the market leader in assisting customers in the development, modeling, and deployment of advanced materials for extreme environments, including hypersonic, space, missile, missile defense, strategic deterrence, propulsion systems, and energy applications. SRE also specializes in Intelligence Surveillance and Reconnaissance (“ISR”) sensor development, electromechanical systems design and integration, aerospace engineering, materials engineering, artificial intelligence and machine learning, directed energy, RF systems design and integration, advanced manufacturing, and computational sciences. The acquisition established Kratos SRE, Inc., a new business within Kratos’ Defense and Rocket Support Services Division.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23, 2022, the acquisition was completed following the satisfaction of all closing conditions, including receipt of necessary approval from all required government authorities. The operating results of the acquisition have been included in the Company’s results of operations from the effective acquisition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price over the fair value of the tangible and identifiable intangible assets acquired and liabilities assumed in the acquisition was allocated to goodwill. The goodwill represents the value the Company expects to be created by integrating SRE’s existing business with Kratos’ related products and 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has been accounted for using the acquisition method of accounting, which requires, among other things, that the identifiable assets acquired and the liabilities assumed be recognized at their fair values as of the acquisition date. The fair value measurements are based primarily on significant inputs not observable in the marketplace and thus represent Level 3 measurements.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preliminary allocation of the purchase price over the estimated fair values of the major assets acquired and liabilities assumed (in millions): </w:t>
      </w:r>
    </w:p>
    <w:p>
      <w:pPr>
        <w:pStyle w:val="TextBody"/>
        <w:bidi w:val="0"/>
        <w:spacing w:before="0" w:after="0"/>
        <w:ind w:left="0" w:right="0" w:firstLine="720"/>
        <w:jc w:val="left"/>
        <w:rPr/>
      </w:pPr>
      <w:r>
        <w:rPr/>
      </w:r>
    </w:p>
    <w:tbl>
      <w:tblPr>
        <w:tblW w:w="4607" w:type="dxa"/>
        <w:jc w:val="left"/>
        <w:tblInd w:w="0" w:type="dxa"/>
        <w:tblLayout w:type="fixed"/>
        <w:tblCellMar>
          <w:top w:w="28" w:type="dxa"/>
          <w:left w:w="28" w:type="dxa"/>
          <w:bottom w:w="28" w:type="dxa"/>
          <w:right w:w="28" w:type="dxa"/>
        </w:tblCellMar>
      </w:tblPr>
      <w:tblGrid>
        <w:gridCol w:w="1232"/>
        <w:gridCol w:w="1084"/>
        <w:gridCol w:w="1088"/>
        <w:gridCol w:w="109"/>
        <w:gridCol w:w="109"/>
        <w:gridCol w:w="109"/>
        <w:gridCol w:w="211"/>
        <w:gridCol w:w="511"/>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identifiable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excluding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Company’s estimate of fair value, as of May 23, 2022, net liabilities included $2.5 million of current liabilities. The identifiable intangible assets include trade names of $0.5 million with a remaining useful life of 5 years, contracts and backlog of $2.5 million with an estimated useful life of 3 years, in-process research and development of $7.3 million that will commence amortization at the completion of the development and developed technology of $0.5 million with a remaining useful life of 3 years. The Company also established a deferred tax asset of $0.2 million for the difference between the financial statement basis and tax basis of the acquired assets of SRE and a corresponding decrease in goodwill. The goodwill recorded in this transaction is expected to be tax-deductible.</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value of backlog was estimated using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backlog, which were discounted at a rate of 6.4% to determine the fair value. The value of developed technology was estimated using the relief-from-royalty method, an income approach (Level 3), which estimates the cost savings that accrue to the owner of the intangible asset that would otherwise be payable as royalties or license fees on revenues earned through the use of the asset. A royalty rate was applied to the projected revenues associated with the intangible asset to determine the amount of savings, which was at a rate of 11% to determine the fair value. The value of in-process research and development was also estimated using the relief-from-royalty method. A royalty rate of 12% was applied to the projected revenues associated with the intangible asset to determine the amount of savings in order to determine the fair value.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of revenue and operating income of SRE included in the Company’s condensed consolidated statements of operations were $13.0 million and $1.4 million for the three months ended October 1, 2023, respectively, and $38.1 million and $2.8 million for the nine months ended October 1, 2023, respectively. The amounts of revenue and operating income of SRE included in the Company’s condensed consolidated statements of operations were $12.5 million and $0.2 million for the three months ended September 25, 2022, and $16.6 million and $0.7 million for the nine months ended September 25, 2022,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consideration paid for the acquired assets is as follows (in millions):</w:t>
      </w:r>
    </w:p>
    <w:p>
      <w:pPr>
        <w:pStyle w:val="TextBody"/>
        <w:bidi w:val="0"/>
        <w:spacing w:before="0" w:after="0"/>
        <w:ind w:left="0" w:right="0" w:firstLine="720"/>
        <w:jc w:val="left"/>
        <w:rPr/>
      </w:pPr>
      <w:r>
        <w:rPr/>
      </w:r>
    </w:p>
    <w:tbl>
      <w:tblPr>
        <w:tblW w:w="3107" w:type="dxa"/>
        <w:jc w:val="left"/>
        <w:tblInd w:w="0" w:type="dxa"/>
        <w:tblLayout w:type="fixed"/>
        <w:tblCellMar>
          <w:top w:w="28" w:type="dxa"/>
          <w:left w:w="28" w:type="dxa"/>
          <w:bottom w:w="28" w:type="dxa"/>
          <w:right w:w="28" w:type="dxa"/>
        </w:tblCellMar>
      </w:tblPr>
      <w:tblGrid>
        <w:gridCol w:w="688"/>
        <w:gridCol w:w="604"/>
        <w:gridCol w:w="612"/>
        <w:gridCol w:w="109"/>
        <w:gridCol w:w="109"/>
        <w:gridCol w:w="109"/>
        <w:gridCol w:w="211"/>
        <w:gridCol w:w="511"/>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47" w:before="0" w:after="0"/>
        <w:ind w:left="0" w:right="0" w:firstLine="72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 Forma Financial Information (Unaudited)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supplemental condensed consolidated statements of operations information on an unaudited pro forma basis as if the acquisition of SRE occurred on December 26, 2021 and include adjustments that were directly attributable to the foregoing transactions. There are no material, nonrecurring pro forma adjustments directly attributable to the business combination included in the reported pro forma revenue and income (loss).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 period ended September 25, 2022 (all amounts, except per share amounts, are in millions):</w:t>
      </w:r>
    </w:p>
    <w:tbl>
      <w:tblPr>
        <w:tblW w:w="4879" w:type="dxa"/>
        <w:jc w:val="center"/>
        <w:tblInd w:w="0" w:type="dxa"/>
        <w:tblLayout w:type="fixed"/>
        <w:tblCellMar>
          <w:top w:w="28" w:type="dxa"/>
          <w:left w:w="28" w:type="dxa"/>
          <w:bottom w:w="28" w:type="dxa"/>
          <w:right w:w="28" w:type="dxa"/>
        </w:tblCellMar>
      </w:tblPr>
      <w:tblGrid>
        <w:gridCol w:w="972"/>
        <w:gridCol w:w="855"/>
        <w:gridCol w:w="858"/>
        <w:gridCol w:w="109"/>
        <w:gridCol w:w="109"/>
        <w:gridCol w:w="109"/>
        <w:gridCol w:w="361"/>
        <w:gridCol w:w="1057"/>
        <w:gridCol w:w="186"/>
        <w:gridCol w:w="109"/>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25,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 forma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loss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pro forma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pro forma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cMar>
              <w:top w:w="0" w:type="dxa"/>
              <w:left w:w="0" w:type="dxa"/>
              <w:bottom w:w="0" w:type="dxa"/>
              <w:right w:w="0" w:type="dxa"/>
            </w:tcMar>
            <w:vAlign w:val="center"/>
          </w:tcPr>
          <w:p>
            <w:pPr>
              <w:pStyle w:val="TableContents"/>
              <w:bidi w:val="0"/>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Revenue Recognition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adopted the FASB ASU 2014-09, Revenue from Contracts with Customers, and the related amendments, which are codified into Accounting Standards Codification (“ASC”) 606 (“ASC 606”). To determine revenue recognition for arrangements that the Company determines are within the scope of ASC 606, the Company performs the following five steps: (i) identify the contract(s) with a customer; (ii) identify the performance obligations in each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the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calculates revenues from remaining performance obligations as the dollar value of the remaining performance obligations on executed contracts. On October 1, 2023, the Company had approximately $1,165.0 million of remaining performance obligations. The Company expects to recognize approximately 20% of the remaining performance obligations as revenue in fiscal year 2023, an additional 47% in fiscal year 2024, and the balance thereafter.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Contract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the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 and nine-month periods ended October 1, 2023, and September 25, 2022. Likewise, total cumulative catch-up adjustments were not material for the three and nine-month periods ended October 1, 2023, and September 25,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Contract Assets and Liabilities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assets and liabilities are as follows (in millions):</w:t>
      </w:r>
    </w:p>
    <w:tbl>
      <w:tblPr>
        <w:tblW w:w="6218" w:type="dxa"/>
        <w:jc w:val="center"/>
        <w:tblInd w:w="0" w:type="dxa"/>
        <w:tblLayout w:type="fixed"/>
        <w:tblCellMar>
          <w:top w:w="28" w:type="dxa"/>
          <w:left w:w="28" w:type="dxa"/>
          <w:bottom w:w="28" w:type="dxa"/>
          <w:right w:w="28" w:type="dxa"/>
        </w:tblCellMar>
      </w:tblPr>
      <w:tblGrid>
        <w:gridCol w:w="597"/>
        <w:gridCol w:w="525"/>
        <w:gridCol w:w="528"/>
        <w:gridCol w:w="294"/>
        <w:gridCol w:w="859"/>
        <w:gridCol w:w="152"/>
        <w:gridCol w:w="109"/>
        <w:gridCol w:w="109"/>
        <w:gridCol w:w="109"/>
        <w:gridCol w:w="348"/>
        <w:gridCol w:w="1017"/>
        <w:gridCol w:w="180"/>
        <w:gridCol w:w="109"/>
        <w:gridCol w:w="109"/>
        <w:gridCol w:w="109"/>
        <w:gridCol w:w="236"/>
        <w:gridCol w:w="656"/>
        <w:gridCol w:w="172"/>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assets</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increased $0.9 million during the nine months ended October 1, 2023, primarily due to higher unbilled receivables, net during the nine months ended October 1, 2023. There were no significant impairment losses related to any receivables or contract assets arising from the Company’s contracts with customers during the nine months ended October 1, 2023. Contract liabilities increased $17.3 million during the nine months ended October 1, 2023, primarily due to payments received in excess of revenue recognized on these performance obligations. For the three and nine months ended October 1, 2023, the Company recognized revenue of $9.5 million and $43.1 million that was previously included in the contract liabilities that existed at December 25, 2022. For the three and nine months ended September 25, 2022 the Company recognized revenue of $6.6 million and $42.6 million that was previously included in the contract liabilities that existed at December 26, 2021.</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At October 1, 2023, approximately $4.8 million in unbilled receivables remained outstanding on this project. In March 2022, the Company and the customer agreed to a settlement of $6.0 million for a portion of the amounts outstanding on this project, which was collected in July 2022. The remaining unbilled receivable balance of $4.8 million is subject to negotiation and settlement with the customer.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also in dispute with an international customer in the Unmanned Systems (“US”) segment concerning the completion of certain system requirements and certain contractual milestones related to a contract the Company acquired with the acquisition of Composite Engineering Inc. in 2012. On June 30, 2022, the parties entered into a settlement agreement to resolve their dispute and to settle all claims and counterclaims, and are currently in the process of implementing the terms of the settlement agreement. The Company recorded a $5.5 million litigation settlement charge which is included in restructuring expenses and other in the year ended December 25,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Disaggregation of Revenue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series of tables presents the Company’s revenue disaggregated by several categories. For the majority of contracts, revenue is recognized over time as work is performed on the contract. Revenue by contract type was as follows (in millions):</w:t>
      </w:r>
    </w:p>
    <w:tbl>
      <w:tblPr>
        <w:tblW w:w="9695" w:type="dxa"/>
        <w:jc w:val="left"/>
        <w:tblInd w:w="0" w:type="dxa"/>
        <w:tblLayout w:type="fixed"/>
        <w:tblCellMar>
          <w:top w:w="28" w:type="dxa"/>
          <w:left w:w="28" w:type="dxa"/>
          <w:bottom w:w="28" w:type="dxa"/>
          <w:right w:w="28" w:type="dxa"/>
        </w:tblCellMar>
      </w:tblPr>
      <w:tblGrid>
        <w:gridCol w:w="1087"/>
        <w:gridCol w:w="953"/>
        <w:gridCol w:w="959"/>
        <w:gridCol w:w="291"/>
        <w:gridCol w:w="849"/>
        <w:gridCol w:w="150"/>
        <w:gridCol w:w="109"/>
        <w:gridCol w:w="109"/>
        <w:gridCol w:w="109"/>
        <w:gridCol w:w="348"/>
        <w:gridCol w:w="1017"/>
        <w:gridCol w:w="180"/>
        <w:gridCol w:w="109"/>
        <w:gridCol w:w="109"/>
        <w:gridCol w:w="109"/>
        <w:gridCol w:w="291"/>
        <w:gridCol w:w="849"/>
        <w:gridCol w:w="150"/>
        <w:gridCol w:w="109"/>
        <w:gridCol w:w="109"/>
        <w:gridCol w:w="109"/>
        <w:gridCol w:w="342"/>
        <w:gridCol w:w="999"/>
        <w:gridCol w:w="249"/>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plus fee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and materials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Kratos Government Solutions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plus fee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and materials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417"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customer was as follows (in millions):</w:t>
      </w:r>
    </w:p>
    <w:tbl>
      <w:tblPr>
        <w:tblW w:w="9845" w:type="dxa"/>
        <w:jc w:val="left"/>
        <w:tblInd w:w="0" w:type="dxa"/>
        <w:tblLayout w:type="fixed"/>
        <w:tblCellMar>
          <w:top w:w="28" w:type="dxa"/>
          <w:left w:w="28" w:type="dxa"/>
          <w:bottom w:w="28" w:type="dxa"/>
          <w:right w:w="28" w:type="dxa"/>
        </w:tblCellMar>
      </w:tblPr>
      <w:tblGrid>
        <w:gridCol w:w="1141"/>
        <w:gridCol w:w="1001"/>
        <w:gridCol w:w="1007"/>
        <w:gridCol w:w="291"/>
        <w:gridCol w:w="849"/>
        <w:gridCol w:w="150"/>
        <w:gridCol w:w="109"/>
        <w:gridCol w:w="109"/>
        <w:gridCol w:w="109"/>
        <w:gridCol w:w="348"/>
        <w:gridCol w:w="1017"/>
        <w:gridCol w:w="180"/>
        <w:gridCol w:w="109"/>
        <w:gridCol w:w="109"/>
        <w:gridCol w:w="109"/>
        <w:gridCol w:w="291"/>
        <w:gridCol w:w="849"/>
        <w:gridCol w:w="150"/>
        <w:gridCol w:w="109"/>
        <w:gridCol w:w="109"/>
        <w:gridCol w:w="109"/>
        <w:gridCol w:w="342"/>
        <w:gridCol w:w="999"/>
        <w:gridCol w:w="249"/>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Government </w:t>
            </w:r>
            <w:r>
              <w:rPr>
                <w:rFonts w:ascii="Times New Roman;sans-serif" w:hAnsi="Times New Roman;sans-serif"/>
                <w:b w:val="false"/>
                <w:color w:val="000000"/>
                <w:sz w:val="13"/>
              </w:rPr>
              <w:t>(1)</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(2)</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Commercial and other customers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Kratos Government Solutions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Government </w:t>
            </w:r>
            <w:r>
              <w:rPr>
                <w:rFonts w:ascii="Times New Roman;sans-serif" w:hAnsi="Times New Roman;sans-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(2)</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Commercial and other customers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Sales to the U.S. Government include sales from contracts for which the Company is the prime contractor, as well as those for which the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Company is a subcontractor and the ultimate customer is the U.S. Government. Each of the Company’s segments derives substantial revenue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from the U.S. Government. These sales include foreign military sales contracted through the U.S. Government.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International sales include sales from contracts for which the Company is the prime contractor, as well as those for which the Company is a</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subcontractor and the ultimate customer is an international customer. These sales include direct sales with governments outside the U.S. and</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sales with customers outside the U.S.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Discontinued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To date, the Company has received approximately $68.7 million of aggregate net cash proceeds from the Transaction, after taking into account amounts that were paid by the Company pursuant to a negotiated transaction services agreement between the Company and the Buyer, receipt of approximately $7.3 million in net working capital retained by the Company, and associated transaction fees and expenses, including the impact of the final settlement and determination of the closing net working capital adjustment and litigation which was settled with the Buyer in the fourth quarter of 2021 and first quarter of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Goodwill and 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(a)    Goodwill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carrying amounts of goodwill as of October 1, 2023 and December 25, 2022 by reportable segment are as follows (in millions):</w:t>
      </w:r>
    </w:p>
    <w:tbl>
      <w:tblPr>
        <w:tblW w:w="6041" w:type="dxa"/>
        <w:jc w:val="left"/>
        <w:tblInd w:w="0" w:type="dxa"/>
        <w:tblLayout w:type="fixed"/>
        <w:tblCellMar>
          <w:top w:w="28" w:type="dxa"/>
          <w:left w:w="28" w:type="dxa"/>
          <w:bottom w:w="28" w:type="dxa"/>
          <w:right w:w="28" w:type="dxa"/>
        </w:tblCellMar>
      </w:tblPr>
      <w:tblGrid>
        <w:gridCol w:w="919"/>
        <w:gridCol w:w="802"/>
        <w:gridCol w:w="813"/>
        <w:gridCol w:w="211"/>
        <w:gridCol w:w="616"/>
        <w:gridCol w:w="109"/>
        <w:gridCol w:w="109"/>
        <w:gridCol w:w="109"/>
        <w:gridCol w:w="109"/>
        <w:gridCol w:w="211"/>
        <w:gridCol w:w="616"/>
        <w:gridCol w:w="109"/>
        <w:gridCol w:w="109"/>
        <w:gridCol w:w="109"/>
        <w:gridCol w:w="109"/>
        <w:gridCol w:w="211"/>
        <w:gridCol w:w="61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    Purchased 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for finite-lived and indefinite-lived intangible assets (in millions): </w:t>
      </w:r>
    </w:p>
    <w:tbl>
      <w:tblPr>
        <w:tblW w:w="10205" w:type="dxa"/>
        <w:jc w:val="left"/>
        <w:tblInd w:w="0" w:type="dxa"/>
        <w:tblLayout w:type="fixed"/>
        <w:tblCellMar>
          <w:top w:w="28" w:type="dxa"/>
          <w:left w:w="28" w:type="dxa"/>
          <w:bottom w:w="28" w:type="dxa"/>
          <w:right w:w="28" w:type="dxa"/>
        </w:tblCellMar>
      </w:tblPr>
      <w:tblGrid>
        <w:gridCol w:w="1025"/>
        <w:gridCol w:w="900"/>
        <w:gridCol w:w="903"/>
        <w:gridCol w:w="211"/>
        <w:gridCol w:w="616"/>
        <w:gridCol w:w="109"/>
        <w:gridCol w:w="109"/>
        <w:gridCol w:w="109"/>
        <w:gridCol w:w="109"/>
        <w:gridCol w:w="239"/>
        <w:gridCol w:w="717"/>
        <w:gridCol w:w="125"/>
        <w:gridCol w:w="109"/>
        <w:gridCol w:w="109"/>
        <w:gridCol w:w="109"/>
        <w:gridCol w:w="211"/>
        <w:gridCol w:w="511"/>
        <w:gridCol w:w="109"/>
        <w:gridCol w:w="109"/>
        <w:gridCol w:w="109"/>
        <w:gridCol w:w="109"/>
        <w:gridCol w:w="211"/>
        <w:gridCol w:w="616"/>
        <w:gridCol w:w="109"/>
        <w:gridCol w:w="109"/>
        <w:gridCol w:w="109"/>
        <w:gridCol w:w="109"/>
        <w:gridCol w:w="239"/>
        <w:gridCol w:w="717"/>
        <w:gridCol w:w="125"/>
        <w:gridCol w:w="109"/>
        <w:gridCol w:w="109"/>
        <w:gridCol w:w="109"/>
        <w:gridCol w:w="211"/>
        <w:gridCol w:w="511"/>
        <w:gridCol w:w="155"/>
      </w:tblGrid>
      <w:tr>
        <w:trPr/>
        <w:tc>
          <w:tcPr>
            <w:tcW w:w="10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25, 2022</w:t>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Value</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finite-lived intangible assets: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and backlog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and technical know-how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finite-lived intangible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trade 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amortization expense related to intangible assets subject to amortization was $1.5 million and $3.0 million for the three months ended October 1, 2023 and September 25, 2022, respectively, and $4.5 million and $6.3 million for the nine months ended October 1, 2023 and September 25, 2022,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Inventoried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Inventoried costs, consisted of the following components (in millions):</w:t>
      </w:r>
    </w:p>
    <w:p>
      <w:pPr>
        <w:pStyle w:val="TextBody"/>
        <w:bidi w:val="0"/>
        <w:spacing w:lineRule="auto" w:line="288" w:before="0" w:after="0"/>
        <w:jc w:val="left"/>
        <w:rPr>
          <w:color w:val="000000"/>
        </w:rPr>
      </w:pPr>
      <w:r>
        <w:rPr>
          <w:color w:val="000000"/>
        </w:rPr>
        <w:t> </w:t>
      </w:r>
    </w:p>
    <w:tbl>
      <w:tblPr>
        <w:tblW w:w="5216" w:type="dxa"/>
        <w:jc w:val="left"/>
        <w:tblInd w:w="0" w:type="dxa"/>
        <w:tblLayout w:type="fixed"/>
        <w:tblCellMar>
          <w:top w:w="28" w:type="dxa"/>
          <w:left w:w="28" w:type="dxa"/>
          <w:bottom w:w="28" w:type="dxa"/>
          <w:right w:w="28" w:type="dxa"/>
        </w:tblCellMar>
      </w:tblPr>
      <w:tblGrid>
        <w:gridCol w:w="722"/>
        <w:gridCol w:w="634"/>
        <w:gridCol w:w="638"/>
        <w:gridCol w:w="294"/>
        <w:gridCol w:w="859"/>
        <w:gridCol w:w="152"/>
        <w:gridCol w:w="109"/>
        <w:gridCol w:w="109"/>
        <w:gridCol w:w="109"/>
        <w:gridCol w:w="342"/>
        <w:gridCol w:w="999"/>
        <w:gridCol w:w="249"/>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25, 2022</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inventoried costs</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7. Net Income (Loss) per Common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calculates net income (loss) per share in accordance with FASB ASC Topic 260, </w:t>
      </w:r>
      <w:r>
        <w:rPr>
          <w:rFonts w:ascii="Times New Roman;sans-serif" w:hAnsi="Times New Roman;sans-serif"/>
          <w:b w:val="false"/>
          <w:i/>
          <w:color w:val="000000"/>
          <w:sz w:val="20"/>
        </w:rPr>
        <w:t xml:space="preserve">Earnings per Share </w:t>
      </w:r>
      <w:r>
        <w:rPr>
          <w:rFonts w:ascii="Times New Roman;sans-serif" w:hAnsi="Times New Roman;sans-serif"/>
          <w:b w:val="false"/>
          <w:color w:val="000000"/>
          <w:sz w:val="20"/>
        </w:rPr>
        <w:t>(“Topic 260”)</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Under Topic</w:t>
      </w:r>
      <w:r>
        <w:rPr>
          <w:color w:val="000000"/>
        </w:rPr>
        <w:t xml:space="preserve"> </w:t>
      </w:r>
      <w:r>
        <w:rPr>
          <w:rFonts w:ascii="Times New Roman;sans-serif" w:hAnsi="Times New Roman;sans-serif"/>
          <w:b w:val="false"/>
          <w:color w:val="000000"/>
          <w:sz w:val="20"/>
        </w:rPr>
        <w:t>260, basic net income (loss) per common share attributable to the Kratos shareholders is calculated by dividing net income (loss) attributable to Kratos by the weighted-average number of common shares outstanding during the reporting period. Diluted net income (loss) per common share reflects the effects of potentially dilutive securities.</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Shares from stock options and awards, excluded from the calculation of diluted net loss per share because their inclusion would have been anti-dilutive, were 0.9 million and 0.9 million for the three and nine months ended October 1, 2023, respectively, and 1.9 million and 1.5 million for the three and nine months ended September 25, 2022, respectively.</w:t>
      </w:r>
    </w:p>
    <w:p>
      <w:pPr>
        <w:pStyle w:val="TextBody"/>
        <w:bidi w:val="0"/>
        <w:spacing w:lineRule="auto" w:line="288" w:before="0" w:after="0"/>
        <w:ind w:left="0" w:right="0" w:firstLine="63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in these arrangements are not significant when compared to the lease components. For all operating leases, the Company accounts for the lease and non-lease components as a single component.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lease payments are generally expensed as incurred. Leases with an initial term of 12 months or less are not recorded on the balance sheet, and the expense for these short-term leases is recognized on a straight-line basis over the lease term.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depreciable life of lease assets and leasehold improvements is limited by the expected lease term, unless there is a transfer of title or purchase option reasonably certain of exercise.</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components of lease expense were as follows (in millions):</w:t>
      </w:r>
    </w:p>
    <w:tbl>
      <w:tblPr>
        <w:tblW w:w="10205" w:type="dxa"/>
        <w:jc w:val="left"/>
        <w:tblInd w:w="0" w:type="dxa"/>
        <w:tblLayout w:type="fixed"/>
        <w:tblCellMar>
          <w:top w:w="28" w:type="dxa"/>
          <w:left w:w="28" w:type="dxa"/>
          <w:bottom w:w="28" w:type="dxa"/>
          <w:right w:w="28" w:type="dxa"/>
        </w:tblCellMar>
      </w:tblPr>
      <w:tblGrid>
        <w:gridCol w:w="1436"/>
        <w:gridCol w:w="1260"/>
        <w:gridCol w:w="1267"/>
        <w:gridCol w:w="343"/>
        <w:gridCol w:w="660"/>
        <w:gridCol w:w="176"/>
        <w:gridCol w:w="109"/>
        <w:gridCol w:w="109"/>
        <w:gridCol w:w="109"/>
        <w:gridCol w:w="411"/>
        <w:gridCol w:w="791"/>
        <w:gridCol w:w="212"/>
        <w:gridCol w:w="109"/>
        <w:gridCol w:w="109"/>
        <w:gridCol w:w="109"/>
        <w:gridCol w:w="304"/>
        <w:gridCol w:w="738"/>
        <w:gridCol w:w="157"/>
        <w:gridCol w:w="109"/>
        <w:gridCol w:w="109"/>
        <w:gridCol w:w="109"/>
        <w:gridCol w:w="350"/>
        <w:gridCol w:w="851"/>
        <w:gridCol w:w="268"/>
      </w:tblGrid>
      <w:tr>
        <w:trPr/>
        <w:tc>
          <w:tcPr>
            <w:tcW w:w="143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 of use assets - finance leases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 - finance leases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 </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 (cost excluded from lease payments)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leases on the balance sheet were as follows (in millions):</w:t>
      </w:r>
    </w:p>
    <w:tbl>
      <w:tblPr>
        <w:tblW w:w="7720" w:type="dxa"/>
        <w:jc w:val="left"/>
        <w:tblInd w:w="0" w:type="dxa"/>
        <w:tblLayout w:type="fixed"/>
        <w:tblCellMar>
          <w:top w:w="28" w:type="dxa"/>
          <w:left w:w="28" w:type="dxa"/>
          <w:bottom w:w="28" w:type="dxa"/>
          <w:right w:w="28" w:type="dxa"/>
        </w:tblCellMar>
      </w:tblPr>
      <w:tblGrid>
        <w:gridCol w:w="1650"/>
        <w:gridCol w:w="1448"/>
        <w:gridCol w:w="1462"/>
        <w:gridCol w:w="327"/>
        <w:gridCol w:w="793"/>
        <w:gridCol w:w="169"/>
        <w:gridCol w:w="109"/>
        <w:gridCol w:w="109"/>
        <w:gridCol w:w="109"/>
        <w:gridCol w:w="372"/>
        <w:gridCol w:w="901"/>
        <w:gridCol w:w="271"/>
      </w:tblGrid>
      <w:tr>
        <w:trPr/>
        <w:tc>
          <w:tcPr>
            <w:tcW w:w="165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assets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 was as follows (in millions):</w:t>
      </w:r>
    </w:p>
    <w:tbl>
      <w:tblPr>
        <w:tblW w:w="10205" w:type="dxa"/>
        <w:jc w:val="left"/>
        <w:tblInd w:w="0" w:type="dxa"/>
        <w:tblLayout w:type="fixed"/>
        <w:tblCellMar>
          <w:top w:w="28" w:type="dxa"/>
          <w:left w:w="28" w:type="dxa"/>
          <w:bottom w:w="28" w:type="dxa"/>
          <w:right w:w="28" w:type="dxa"/>
        </w:tblCellMar>
      </w:tblPr>
      <w:tblGrid>
        <w:gridCol w:w="1454"/>
        <w:gridCol w:w="1242"/>
        <w:gridCol w:w="1247"/>
        <w:gridCol w:w="344"/>
        <w:gridCol w:w="663"/>
        <w:gridCol w:w="177"/>
        <w:gridCol w:w="109"/>
        <w:gridCol w:w="109"/>
        <w:gridCol w:w="109"/>
        <w:gridCol w:w="413"/>
        <w:gridCol w:w="794"/>
        <w:gridCol w:w="213"/>
        <w:gridCol w:w="109"/>
        <w:gridCol w:w="109"/>
        <w:gridCol w:w="109"/>
        <w:gridCol w:w="305"/>
        <w:gridCol w:w="741"/>
        <w:gridCol w:w="158"/>
        <w:gridCol w:w="109"/>
        <w:gridCol w:w="109"/>
        <w:gridCol w:w="109"/>
        <w:gridCol w:w="352"/>
        <w:gridCol w:w="854"/>
        <w:gridCol w:w="267"/>
      </w:tblGrid>
      <w:tr>
        <w:trPr/>
        <w:tc>
          <w:tcPr>
            <w:tcW w:w="145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 cash paid for interest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 financing cash flows</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operating cash flows (fixed payments)</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supplemental noncash information (in millions):</w:t>
      </w:r>
    </w:p>
    <w:tbl>
      <w:tblPr>
        <w:tblW w:w="10205" w:type="dxa"/>
        <w:jc w:val="left"/>
        <w:tblInd w:w="0" w:type="dxa"/>
        <w:tblLayout w:type="fixed"/>
        <w:tblCellMar>
          <w:top w:w="28" w:type="dxa"/>
          <w:left w:w="28" w:type="dxa"/>
          <w:bottom w:w="28" w:type="dxa"/>
          <w:right w:w="28" w:type="dxa"/>
        </w:tblCellMar>
      </w:tblPr>
      <w:tblGrid>
        <w:gridCol w:w="1657"/>
        <w:gridCol w:w="1279"/>
        <w:gridCol w:w="1287"/>
        <w:gridCol w:w="318"/>
        <w:gridCol w:w="613"/>
        <w:gridCol w:w="164"/>
        <w:gridCol w:w="109"/>
        <w:gridCol w:w="109"/>
        <w:gridCol w:w="109"/>
        <w:gridCol w:w="381"/>
        <w:gridCol w:w="734"/>
        <w:gridCol w:w="197"/>
        <w:gridCol w:w="109"/>
        <w:gridCol w:w="109"/>
        <w:gridCol w:w="109"/>
        <w:gridCol w:w="252"/>
        <w:gridCol w:w="611"/>
        <w:gridCol w:w="324"/>
        <w:gridCol w:w="109"/>
        <w:gridCol w:w="109"/>
        <w:gridCol w:w="109"/>
        <w:gridCol w:w="284"/>
        <w:gridCol w:w="689"/>
        <w:gridCol w:w="434"/>
      </w:tblGrid>
      <w:tr>
        <w:trPr/>
        <w:tc>
          <w:tcPr>
            <w:tcW w:w="16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arising from obtaining right-of-use assets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arising from obtaining right-of-use assets</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531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3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4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of lease liabilities is (in millions):</w:t>
      </w:r>
    </w:p>
    <w:tbl>
      <w:tblPr>
        <w:tblW w:w="6777" w:type="dxa"/>
        <w:jc w:val="left"/>
        <w:tblInd w:w="0" w:type="dxa"/>
        <w:tblLayout w:type="fixed"/>
        <w:tblCellMar>
          <w:top w:w="28" w:type="dxa"/>
          <w:left w:w="28" w:type="dxa"/>
          <w:bottom w:w="28" w:type="dxa"/>
          <w:right w:w="28" w:type="dxa"/>
        </w:tblCellMar>
      </w:tblPr>
      <w:tblGrid>
        <w:gridCol w:w="1393"/>
        <w:gridCol w:w="1223"/>
        <w:gridCol w:w="1239"/>
        <w:gridCol w:w="346"/>
        <w:gridCol w:w="839"/>
        <w:gridCol w:w="180"/>
        <w:gridCol w:w="109"/>
        <w:gridCol w:w="109"/>
        <w:gridCol w:w="109"/>
        <w:gridCol w:w="296"/>
        <w:gridCol w:w="718"/>
        <w:gridCol w:w="216"/>
      </w:tblGrid>
      <w:tr>
        <w:trPr/>
        <w:tc>
          <w:tcPr>
            <w:tcW w:w="139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2023 </w:t>
            </w:r>
            <w:r>
              <w:rPr>
                <w:rFonts w:ascii="Times New Roman;sans-serif" w:hAnsi="Times New Roman;sans-serif"/>
                <w:b w:val="false"/>
                <w:color w:val="000000"/>
                <w:sz w:val="13"/>
              </w:rPr>
              <w:t>(1)</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present value of lease liabilities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Excludes the nine months ended October 1, 2023.</w:t>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Income Taxes</w:t>
      </w:r>
    </w:p>
    <w:p>
      <w:pPr>
        <w:pStyle w:val="TextBody"/>
        <w:bidi w:val="0"/>
        <w:spacing w:before="0" w:after="0"/>
        <w:jc w:val="left"/>
        <w:rPr/>
      </w:pPr>
      <w:r>
        <w:rPr/>
      </w:r>
    </w:p>
    <w:p>
      <w:pPr>
        <w:pStyle w:val="TextBody"/>
        <w:bidi w:val="0"/>
        <w:spacing w:lineRule="auto" w:line="276"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total income tax provision (benefit) to the amount computed by applying the statutory federal income tax rate of 21% to income (loss) from continuing operations before income taxes for the three and nine months ended October 1, 2023 and September 25, 2022 is as follows (in millions):</w:t>
      </w:r>
    </w:p>
    <w:tbl>
      <w:tblPr>
        <w:tblW w:w="10205" w:type="dxa"/>
        <w:jc w:val="left"/>
        <w:tblInd w:w="0" w:type="dxa"/>
        <w:tblLayout w:type="fixed"/>
        <w:tblCellMar>
          <w:top w:w="28" w:type="dxa"/>
          <w:left w:w="28" w:type="dxa"/>
          <w:bottom w:w="28" w:type="dxa"/>
          <w:right w:w="28" w:type="dxa"/>
        </w:tblCellMar>
      </w:tblPr>
      <w:tblGrid>
        <w:gridCol w:w="1854"/>
        <w:gridCol w:w="1610"/>
        <w:gridCol w:w="1615"/>
        <w:gridCol w:w="254"/>
        <w:gridCol w:w="490"/>
        <w:gridCol w:w="130"/>
        <w:gridCol w:w="127"/>
        <w:gridCol w:w="127"/>
        <w:gridCol w:w="127"/>
        <w:gridCol w:w="297"/>
        <w:gridCol w:w="676"/>
        <w:gridCol w:w="151"/>
        <w:gridCol w:w="109"/>
        <w:gridCol w:w="109"/>
        <w:gridCol w:w="109"/>
        <w:gridCol w:w="254"/>
        <w:gridCol w:w="490"/>
        <w:gridCol w:w="131"/>
        <w:gridCol w:w="122"/>
        <w:gridCol w:w="122"/>
        <w:gridCol w:w="122"/>
        <w:gridCol w:w="292"/>
        <w:gridCol w:w="666"/>
        <w:gridCol w:w="221"/>
      </w:tblGrid>
      <w:tr>
        <w:trPr/>
        <w:tc>
          <w:tcPr>
            <w:tcW w:w="185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w:t>
            </w:r>
          </w:p>
        </w:tc>
      </w:tr>
      <w:tr>
        <w:trPr/>
        <w:tc>
          <w:tcPr>
            <w:tcW w:w="5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w:t>
              <w:br/>
              <w:t>2022</w:t>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at federal statutory rate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 and other</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 excess tax shortfalls (benefits)</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impact of research &amp; development tax credits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 from continuing operations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The Company calculates its interim income tax provision in accordance with ASC Topic 270, “</w:t>
      </w:r>
      <w:r>
        <w:rPr>
          <w:rFonts w:ascii="Times New Roman;sans-serif" w:hAnsi="Times New Roman;sans-serif"/>
          <w:b w:val="false"/>
          <w:i/>
          <w:color w:val="000000"/>
          <w:sz w:val="20"/>
        </w:rPr>
        <w:t>Interim Reporting</w:t>
      </w:r>
      <w:r>
        <w:rPr>
          <w:rFonts w:ascii="Times New Roman;sans-serif" w:hAnsi="Times New Roman;sans-serif"/>
          <w:b w:val="false"/>
          <w:color w:val="000000"/>
          <w:sz w:val="20"/>
        </w:rPr>
        <w:t>,” and ASC Topic 740, “</w:t>
      </w:r>
      <w:r>
        <w:rPr>
          <w:rFonts w:ascii="Times New Roman;sans-serif" w:hAnsi="Times New Roman;sans-serif"/>
          <w:b w:val="false"/>
          <w:i/>
          <w:color w:val="000000"/>
          <w:sz w:val="20"/>
        </w:rPr>
        <w:t>Accounting for Income Taxes.</w:t>
      </w:r>
      <w:r>
        <w:rPr>
          <w:color w:val="000000"/>
        </w:rPr>
        <w:t xml:space="preserve">” </w:t>
      </w:r>
      <w:r>
        <w:rPr>
          <w:rFonts w:ascii="Times New Roman;sans-serif" w:hAnsi="Times New Roman;sans-serif"/>
          <w:b w:val="false"/>
          <w:color w:val="000000"/>
          <w:sz w:val="20"/>
        </w:rPr>
        <w:t xml:space="preserve">Prior to 2022, the Company calculated the provision for income taxes during the interim reporting periods by applying an estimate of the annual effective tax rate for the full fiscal year to “ordinary” income or loss (pretax income or loss excluding unusual or infrequently occurring discrete items) for the reporting period. The Company determined that since small changes in estimated “ordinary” income would result in significant changes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estimated annual effective tax rate, the historical method used prior to 2022 would not provide a reliable estimate for the nine months ended October 1, 2023 and September 25, 2022. Therefore, a discrete effective tax rate method was used to calculate taxes for the nine months ended October 1, 2023 and September 25, 2022.</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October 1, 2023, the Company had $25.1 million of unrecognized tax benefits. Included in the balance of unrecognized tax benefits at October 1, 2023 are $22.6 million that, if recognized, would impact the Company’s effective income tax rate.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related to unrecognized tax benefits in its provision for income taxes. For the nine months ended October 1, 2023 and September 25, 2022, the Company recorded an expense for interest and penalties of $0.2 million and $0.3 million, respectively. For the nine months ended October 1, 2023 and September 25, 2022, there was no material benefit recorded related to the removal of interest and penalties. The Company believes that it is reasonably possible that as much as $0.1 million of the liabilities for uncertain tax positions will expire within the next twelve months due to the expiration of various applicable statutes of limitations.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Inflation Reduction Act of 2022 (“IRA”), was signed into law. Among other things, the IRA imposes a 15% corporate alternative minimum tax for tax years beginning after December 31, 2022, levies a 1% excise tax on net stock purchases after December 31, 2022, and provides tax incentives to promote clean energy. The IRA is not expected to have a material impact on our results of operations or financial position.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 New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18, 2022, the Company completed the refinancing of its outstanding $90 million revolving credit facility and $300 million 6.5% Senior Secured Notes (the “Senior Secured Notes”), with a new 5-year $200 million Revolving Credit Facility and 5-year $200 million Term Loan A (collectively, the “New Credit Facility”). The Company incurred debt issuance costs of $3.3 million associated with the New Credit Facility. As of October 1, 2023, the Company made $6.3 million in principal payments on Term Loan A, and has net amounts outstanding of approximately $50.0 million under the new Revolving Credit Facility, with approximately $150.0 million remaining in borrowing capacity, less approximately $13.7 million of letters of credit outstanding.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18, 2022, the proceeds of $300 million from the New Credit Facility, along with cash funded by the Company for the 3.25% call premium to redeem the Company’s outstanding Senior Secured Notes, plus accrued interest, was distributed to the trustee for redemption of the Senior Secured Notes. The redemption of the Company’s outstanding $300 million 6.5% Senior Secured Notes due November 2025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New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October 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of one-month term SOFR of 3.721% and settles monthly on the last day of each calendar month. The swap has an effective date of May 1, 2023 and terminates on May 1, 2026. Refer to Note 15 for further discussion of the accounting treatment of the swap arrangement.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Term Loan and Revolving Credit Debt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and revolving credit debt and the current period interest rates are as follows (in millions):</w:t>
      </w:r>
    </w:p>
    <w:tbl>
      <w:tblPr>
        <w:tblW w:w="9488" w:type="dxa"/>
        <w:jc w:val="left"/>
        <w:tblInd w:w="0" w:type="dxa"/>
        <w:tblLayout w:type="fixed"/>
        <w:tblCellMar>
          <w:top w:w="28" w:type="dxa"/>
          <w:left w:w="28" w:type="dxa"/>
          <w:bottom w:w="28" w:type="dxa"/>
          <w:right w:w="28" w:type="dxa"/>
        </w:tblCellMar>
      </w:tblPr>
      <w:tblGrid>
        <w:gridCol w:w="2173"/>
        <w:gridCol w:w="1908"/>
        <w:gridCol w:w="1919"/>
        <w:gridCol w:w="109"/>
        <w:gridCol w:w="109"/>
        <w:gridCol w:w="109"/>
        <w:gridCol w:w="460"/>
        <w:gridCol w:w="237"/>
        <w:gridCol w:w="592"/>
        <w:gridCol w:w="109"/>
        <w:gridCol w:w="109"/>
        <w:gridCol w:w="109"/>
        <w:gridCol w:w="511"/>
        <w:gridCol w:w="264"/>
        <w:gridCol w:w="770"/>
      </w:tblGrid>
      <w:tr>
        <w:trPr/>
        <w:tc>
          <w:tcPr>
            <w:tcW w:w="2173"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long-term unamortized debt issuance costs -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unamortized debt issuance costs -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Future long-term debt principal payments at October 1, 2023 were as follows (in millions):</w:t>
      </w:r>
    </w:p>
    <w:p>
      <w:pPr>
        <w:pStyle w:val="TextBody"/>
        <w:bidi w:val="0"/>
        <w:spacing w:before="0" w:after="0"/>
        <w:jc w:val="left"/>
        <w:rPr/>
      </w:pPr>
      <w:r>
        <w:rPr/>
      </w:r>
    </w:p>
    <w:tbl>
      <w:tblPr>
        <w:tblW w:w="1849"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211"/>
        <w:gridCol w:w="61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 6.5% Senior Secured Notes due 2025</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2017, the Company issued and sold $300 million aggregate principal amount of 6.5% Senior Secured Notes due 2025 (the “Senior Secured Notes”), in a private placement conducted pursuant to Rule 144A and Regulation S under the Securities Act of 1933, as amended. The Company incurred debt issuance costs of $6.6 million associated with the Senior Secured Notes. The Senior Secured Notes were redeemed on March 14, 2022.</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    Other Indebtedness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and Security Agreement</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20, 2017, the Company entered into an amended and restated credit and security agreement (the “Credit and Security Agreement”), which established a five-year senior secured revolving credit facility in the aggregate principal amount of $90.0 million consisting of a subline for letters of credit in an amount not to exceed $50.0 million, as well as a swingline loan in an aggregate principal amount at any time outstanding not to exceed $10.0 million. The Credit and Security Agreement was replaced by the New Credit Facility on February 18, 2022.</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Segment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two reportable segments. The KGS reportable segment is comprised of an aggregation of KGS operating business units, including the Company’s microwave electronics products, space, satellite and cyber, training solutions, C5ISR/modular systems, turbine technologies and defense and rocket support systems operating segments.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from continuing operations of the reportable business segments is reconciled to the corresponding consolidated amount. The reconciling item </w:t>
      </w:r>
      <w:r>
        <w:rPr>
          <w:rFonts w:ascii="Times New Roman;sans-serif" w:hAnsi="Times New Roman;sans-serif"/>
          <w:b w:val="false"/>
          <w:i/>
          <w:color w:val="000000"/>
          <w:sz w:val="20"/>
        </w:rPr>
        <w:t>Corporate activities</w:t>
      </w:r>
      <w:r>
        <w:rPr>
          <w:color w:val="000000"/>
        </w:rPr>
        <w:t xml:space="preserve"> </w:t>
      </w:r>
      <w:r>
        <w:rPr>
          <w:rFonts w:ascii="Times New Roman;sans-serif" w:hAnsi="Times New Roman;sans-serif"/>
          <w:b w:val="false"/>
          <w:color w:val="000000"/>
          <w:sz w:val="20"/>
        </w:rPr>
        <w:t>includes costs for certain stock-based compensation programs (including stock-based compensation costs for stock options, the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Revenues, depreciation and amortization, and operating income (loss) generated by the Company’s reportable segments for the three and nine month periods ended October 1, 2023 and September 25, 2022 are as follows (in millions): </w:t>
      </w:r>
    </w:p>
    <w:tbl>
      <w:tblPr>
        <w:tblW w:w="9740" w:type="dxa"/>
        <w:jc w:val="left"/>
        <w:tblInd w:w="0" w:type="dxa"/>
        <w:tblLayout w:type="fixed"/>
        <w:tblCellMar>
          <w:top w:w="28" w:type="dxa"/>
          <w:left w:w="28" w:type="dxa"/>
          <w:bottom w:w="28" w:type="dxa"/>
          <w:right w:w="28" w:type="dxa"/>
        </w:tblCellMar>
      </w:tblPr>
      <w:tblGrid>
        <w:gridCol w:w="1103"/>
        <w:gridCol w:w="965"/>
        <w:gridCol w:w="976"/>
        <w:gridCol w:w="291"/>
        <w:gridCol w:w="849"/>
        <w:gridCol w:w="150"/>
        <w:gridCol w:w="109"/>
        <w:gridCol w:w="109"/>
        <w:gridCol w:w="109"/>
        <w:gridCol w:w="348"/>
        <w:gridCol w:w="1017"/>
        <w:gridCol w:w="180"/>
        <w:gridCol w:w="109"/>
        <w:gridCol w:w="109"/>
        <w:gridCol w:w="109"/>
        <w:gridCol w:w="291"/>
        <w:gridCol w:w="849"/>
        <w:gridCol w:w="150"/>
        <w:gridCol w:w="109"/>
        <w:gridCol w:w="109"/>
        <w:gridCol w:w="109"/>
        <w:gridCol w:w="342"/>
        <w:gridCol w:w="999"/>
        <w:gridCol w:w="249"/>
      </w:tblGrid>
      <w:tr>
        <w:trPr/>
        <w:tc>
          <w:tcPr>
            <w:tcW w:w="110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Kratos Government Solutions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2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activities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 (loss)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Unmanned Systems operating loss for the nine months ended September 25, 2022 includes a $5.5 million litigation settlement charge related to the resolution of a dispute with an international customer, for which the contractual arrangement was entered into in March 2011, prior to Kratos’ acquisition of Composite Engineering Inc. (“CEi”).</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Redeemable Noncontrolling Interest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2019, the Company acquired 80.1% of the issued and outstanding shares of capital stock of Florida Turbine Technologies Inc., a Florida corporation (“FTT Inc.”), and 80.1% of the membership interests in KTT Core, a Delaware limited liability company, for an aggregate purchase price of approximately $60 million. On February 18, 2022, the capital stock of FTT Inc. was conveyed to KTT Core for organizational purposes such that FTT Inc. is now a wholly owned subsidiary of KTT Core. In connection with the Company’s acquisition of FTT Inc., and KTT Core, (i) beginning in January 2024, the holders (the “Holders”) of the minority interests in KTT Core (the “Minority Interests”) will have an annual right (the “Put Right”) to sell all of the Minority Interests to the Company at a purchase price based on a specified multiple of the trailing 12 months EBITDA of KTT Core and its subsidiaries (the “Acquired Companies”), subject to adjustment as set forth in the Exchange Agreement entered into by and among the Company, the Acquired Companies and the Holders, as amended on February 18, 2022 (the “Exchange Agreement”) (provided, however, that following certain events, including a change of control, the Put Right will be accelerated and the Minority Interest Purchase Price (as defined in the Exchange Agreement) will be a specified increased multiple of the trailing 12 months EBITDA of the Acquired Companies); and (ii) beginning in January 2025, the Company will have an annual right to purchase all of the Minority Interests from the Holders at the Minority Interest Purchase Price.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13, 2022, the Company entered into an Equity Purchase Agreement (the “Equity Purchase Agreement”) to acquire an additional 9.95% (the “Purchased Shares”) of the issued and outstanding shares of capital stock of KTT Core (together with its wholly-owned subsidiaries including FTT Inc.), a majority owned subsidiary of the Company, for an aggregate estimated purchase price of approximately $6.4 million, to be paid in shares of Kratos common stock. Pursuant to the Equity Purchase Agreement, the Company paid consideration of $2.7 million, paid in 190,258 shares of its common stock, based upon Kratos’ trading price on the date of distribution. Following the closing of the transactions contemplated by the Equity Purchase Agreement, the Company owned 90.05% of KTT Core. On April 7, 2023, the final aggregate purchase price, as updated to reflect the actual 2022 operating results and to reflect the market price of Kratos common stock on the day of issuance, was determined and 828,128 shares of Kratos common stock were issued to the Holders of the minority interest with a value of $10.7 million.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Put Right and annual purchase right of the Holders and the Company, respectively, remain available under the Exchange Agreement as to the remaining 9.95% minority interest in KTT Core.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will have a corresponding effect on net income per share attributable to Kratos shareholders. As a result of the Company’s acquisition of an additional 9.95% of the issued and outstanding shares of capital stock of KTT Core, the carrying value of the redeemable noncontrolling interest was adjusted. As of December 25, 2022, the estimated Redemption Amount of the redeemable noncontrolling interest was $11.2 million. For the three and nine months ended September 25, 2022 there was no adjustment to the carrying value of the redeemable noncontrolling interest. The Company recorded an increase of $4.2 million and $7.1 million in the carrying value of the redeemable noncontrolling interest to the estimated Redemption Amount for the three and nine months ended October 1, 2023, respectively.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Significant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$185.5 million and $158.1 million, or 68% and 69% of total Kratos revenue, for the three months ended October 1, 2023 and September 25, 2022, respectively, and $524.4 million and $453.8 million, or 69% and 70% of total Kratos revenue, for the nine months ended October 1, 2023 and September 25, 2022, respectively.</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Because litigation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pStyle w:val="TextBody"/>
        <w:bidi w:val="0"/>
        <w:spacing w:before="0" w:after="0"/>
        <w:ind w:left="0" w:right="0" w:firstLine="720"/>
        <w:jc w:val="left"/>
        <w:rPr/>
      </w:pPr>
      <w:r>
        <w:rPr/>
      </w:r>
    </w:p>
    <w:p>
      <w:pPr>
        <w:pStyle w:val="TextBody"/>
        <w:bidi w:val="0"/>
        <w:spacing w:lineRule="auto" w:line="417" w:before="0" w:after="160"/>
        <w:ind w:left="0" w:right="0" w:hanging="720"/>
        <w:jc w:val="left"/>
        <w:rPr>
          <w:color w:val="000000"/>
        </w:rPr>
      </w:pPr>
      <w:r>
        <w:rPr>
          <w:color w:val="000000"/>
        </w:rPr>
        <w:t>    </w:t>
      </w:r>
      <w:r>
        <w:rPr>
          <w:rFonts w:ascii="Times New Roman;sans-serif" w:hAnsi="Times New Roman;sans-serif"/>
          <w:b/>
          <w:color w:val="000000"/>
          <w:sz w:val="20"/>
        </w:rPr>
        <w:t>Legal and Regulatory Matters</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U.S. Government Cost Claims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 costs incurred and allocated to contracts with the U.S. Government for compliance with regulatory standards. For those Company subsidiaries and fiscal years which have not yet been audited by the DCAA or for those audits which are in process which have not yet been completed by the DCAA, the Company cannot reasonably estimate the range of loss, if any, that may result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Litigation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normal and routine litigation arising from the ordinary course and conduct of business and, at times, as a result of mergers,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Derivative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derivative portfolio consists of forward exchange contracts used to manage foreign currency risks and an interest rate swap contract to hedge U.S. dollar-one month Term SOFR in order to mitigate the exposure to interest rate movements associated with the Company’s Term Loan A. Derivative financial instruments are recognized on the Condensed Consolidated Balance Sheets as either assets or liabilities and are measured at fair value.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Forward Contracts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values of the foreign currency exchange contracts are recorded each period in earnings. As of October 1, 2023, the Company did not use hedge accounting for its foreign currency exchange contracts. The notional value of the Company’s foreign currency exchange contracts at October 1, 2023, was $15.5 million. At October 1, 2023, the fair value amounts of the foreign currency exchange contracts were a $0.1 million asset and a $0.4 million liability. The net loss from these forward exchange contracts was $0.1 million and $0.2 million for the three and nine months ended October 1, 2023, respectively, and is included in other expense. The notional value of the Company’s foreign currency exchange contracts at December 25, 2022, was $10.2 million. At December 25, 2022, the fair value amounts of the foreign currency exchange contracts were a $0.1 million asset and a $0.3 million liability.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Cash Flow Hedge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2023, the Company entered into an interest rate swap contract with an initial notional amount of $195.0 million to manage the variability of cash flows associated with the Term Loan A. The interest rate swap contract matures on May 1, 2026 and requires periodic interest rate settlements. The swap is at a fixed SOFR of 3.721% and settles monthly on the last day of each calendar month. The Company has designated the interest rate swap contract as a cash flow hedge and assesses the hedge effectiveness both at the onset of the hedge and at regular intervals throughout the life of the derivative. Changes in fair value (gains and losses) related to derivative financial instruments that qualify as cash flow hedges are deferred in Accumulated Other Comprehensive Income (Loss) (“AOCI”) until the underlying transaction is reflected in earnings. The net gain reclassed from AOCI from the interest rate swap reflected in earnings was $0.8 million and $1.2 million for the three and nine months ended October 1, 2023, respectively, and is recorded as an offset to interest expense. The Company did not have any interest rate swap contracts on December 25,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this derivative represents the discounted value of the expected future discounted cash flows for the interest rate swap, based on the amortization schedule and the current forward curve for the remaining term of the contract, as of the date of each reporting period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770"/>
        <w:gridCol w:w="1556"/>
        <w:gridCol w:w="1566"/>
        <w:gridCol w:w="109"/>
        <w:gridCol w:w="109"/>
        <w:gridCol w:w="109"/>
        <w:gridCol w:w="258"/>
        <w:gridCol w:w="755"/>
        <w:gridCol w:w="133"/>
        <w:gridCol w:w="109"/>
        <w:gridCol w:w="109"/>
        <w:gridCol w:w="109"/>
        <w:gridCol w:w="247"/>
        <w:gridCol w:w="477"/>
        <w:gridCol w:w="128"/>
        <w:gridCol w:w="109"/>
        <w:gridCol w:w="109"/>
        <w:gridCol w:w="109"/>
        <w:gridCol w:w="320"/>
        <w:gridCol w:w="618"/>
        <w:gridCol w:w="168"/>
        <w:gridCol w:w="109"/>
        <w:gridCol w:w="109"/>
        <w:gridCol w:w="109"/>
        <w:gridCol w:w="245"/>
        <w:gridCol w:w="473"/>
        <w:gridCol w:w="183"/>
      </w:tblGrid>
      <w:tr>
        <w:trPr/>
        <w:tc>
          <w:tcPr>
            <w:tcW w:w="17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4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 designated as a cash flow hedge,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Subsequent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 2023, the Company entered into an agreement to acquire all of the outstanding equity securities of aerial target drone designer Sierra Technical Services, Inc. (“STS”) pursuant to which the Company (i) issued 866,026 shares of Kratos common stock valued at $12.8 million on October 3, 2023 and (ii) agreed to issue up to an additional 979,038 shares of Kratos common stock valued at $14.5 million pursuant to certain holdback and earn-out provisions, in each case, to the former stockholders of STS. The initial accounting for the business combination was incomplete at the time of issuance of these financial statements and as a result it is impracticable to provide full disclosure of required financial information at the filing date. Additional disclosures related to this transaction will be included in the Company’s Form 10-K for the year ending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720"/>
        <w:jc w:val="left"/>
        <w:rPr/>
      </w:pPr>
      <w:r>
        <w:rPr>
          <w:rFonts w:ascii="Times New Roman;sans-serif" w:hAnsi="Times New Roman;sans-serif"/>
          <w:b w:val="false"/>
          <w:i/>
          <w:color w:val="000000"/>
          <w:sz w:val="20"/>
        </w:rPr>
        <w:t>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Department of Defense (“DoD”), which could cause delays, cancellations or reductions of key government contracts; bid protests; changes in the scope or timing of our projects; the timing, rescheduling or cancellation of significant customer contracts and agreements; failure by our subcontractors or suppliers to perform their contractual obligations; our failure to meet performance obligations; if the unmanned systems markets do not experience significant growth, or it the products we have developed or will develop do not become programs of record; if we cannot expand our customer base or if our products do not achieve broad acceptance which could impact our ability to achieve our anticipated level of growth; consolidation by or the loss of key customers; risks of adverse regulatory action or litigation; risks associated with debt leverage; failure to successfully achieve our acquisition, integration, cost reduction or divestiture strategies; risks related to security breaches, cybersecurity attacks or other significant disruptions of our information systems; risks related to the new DoD CMMC requirement recently issued by the Pentagon; risks associated with pandemics, epidemics or other public health emergencies, such as the outbreak of coronavirus disease 2019 (“COVID-19”); risks related to unknown defects or errors in our products; risks relating to the ongoing conflict in Ukraine and the Israeli-Palestinian military conflict and the risks to our operations located in Israel; risks related to continued interest rate increases by the Federal Reserve; and competition in the marketplace, which could reduce revenues and profit margins, as well as the additional risks and uncertainties described in this Quarterly Report on Form 10-Q, in “Item 1A-Risk Factors” of our Annual Report on Form 10-K for the fiscal year ended December 25, 2022 filed with the U.S. Securities and Exchange Commission (the “SEC”</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on February 23, 2023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All references to “us,” “we,” “our,” the “Company” and “Kratos” refer to Kratos Defense &amp; Security Solutions, Inc., a Delaware corporation, and its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Kratos is a Technology Company in the Defense, National Security and Global markets. Kratos develops, rapidly brings to market and fields transformational technology, products, software and systems, at an affordable cost.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 demonstrated and proven commercial and venture capital backed approaches, including proactive, internally funded research and streamlined development processes and by partnering with similar entrepreneurial entities, Kratos is focused on being first to market, well in advance of the competition, which is typically focused on and aligned with government funding cycles and the related extended development and fielding timelines. At Kratos, affordability is a technology, better is the enemy of good enough and ready today, and being first to market with relevant offerings is our key competitive advantage.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Kratos’ primary focus areas are unmanned systems, space and satellite communications, microwave electronics products, cybersecurity/warfare, rocket, hypersonic and missile defense systems, turbine technologies, and Command, Control, Communication, Computing, Combat, Intelligence Surveillance and Reconnaissance (“C5ISR”) Systems and training solutions. We believe that our technology, intellectual property, proprietary products, and software and designed-in positions on our customers’ programs, platforms and systems, and our ability to rapidly develop, demonstrate and field affordable leading technology solutions ahead of the competition, gives us a competitive advantage and creates a high barrier to entry into our markets.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workforce is primarily engineering and technically oriented with a significant number of employees holding National Security clearances. Much of our work is performed at customer locations, or in secure manufacturing facilities and other secured facilities. Our primary end customers are defense and national security related agencies, communications and other global enterprises. Our entire organization is focused on executing our strategy of being the disruptive, affordable, leading technology and intellectual property based product, software and system provider in our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Industry Update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9, 2023, President Biden’s fiscal year 2024 budget request was submitted to Congress, initiating the 2024 defense budget authorization and appropriations legislative process. The request includes an $886 billion proposed appropriation for national defense, of which $842 billion would be for the U.S. Department of Defense (“DoD”) base budget. The proposed legislation also caps national defense spending at $886 billion for fiscal year 2024 and $895 billion for fiscal year 2025. On June 3, 2023, President Biden signed into law a bill to suspend the $31.4 trillion debt ceiling through January 1, 2025. On July 14, 2023, the U.S. House of Representatives passed its version of a sweeping Bill setting Policy for the DoD, the Fiscal 2024 National Defense Authorization Act (“NDAA”), at $886 billion. The vote of 219-210 was largely along party lines, a departure from the typical bipartisan support for a bill that has passed every year since 1961. The Senate passed its version of the NDAA Bill on July 27, 2023 at $866 billion and included several significant differences from the previously passed U.S. House of Representative Bill. The NDAA is one of the major pieces of legislation Congress passes annually. The NDAA is closely watched by industry and other stakeholders and related interests, as the NDAA typically determines the specific spending outlays and purchases of the Department of Defense and other National Security related Agencies.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two chambers (i.e. the House and Senate) continue the legislative process on the fiscal year 2024 budget. Final passage of the Fiscal 2024 NDAA is anticipated before the end of this calendar year. Congress will also continue efforts to reschedule appropriations bills and conference agreements, but these actions depend on the Senate calendar. On September 30, 2023, the President signed a Continuing Resolution Authorization (“CRA”) to continue funding the U.S Government at fiscal year 2023 levels through November 17, 2023, or if earlier, enactment of the Fiscal 2024 NDAA. Under such CRA, funding at amounts consistent with appropriated levels for fiscal year 2023 is available, subject to certain restrictions, but new contracts and program starts are not authorized. If Congress is not able to enact fiscal year 2024 appropriations bills or extend such CRA, the U.S Government would be subject to a shutdown, which could result in program delays or, cancellations, payment issues and/or other disruptions.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budget environment, including Israel and Ukraine funding support, heightened levels of inflation, related supply chain disruption, and the appropriations process, continues to create significant short and long-term industry risks. Additionally, with the recent change of party in Congress in 2022, resulting with the Democrats controlling the Senate and the Presidency and the Republicans controlling the House of Representatives, considerable uncertainty exists regarding how future budgets, funding, timing and related program decisions will unfold, including the potential differing defense spending priorities of the Biden administration and of the Congress.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continued budget pressures (which are expected), CRAs, (which are also expected), future Federal Government debt ceiling issues, or Federal Government shutdowns could have serious negative consequences for the security of our country and the defense industrial base, including the Company and the related customers, employees, suppliers, investors, and communities that rely on companies in the defense industrial base. It is likely that budget and program decisions made in such an uncertain environment would have long-term implications for our Company and the entire defense industry. Additionally, funding for certain programs, including those in which we currently participate, may be reduced, delayed or cancelled, and budget uncertainty or funding cuts globally could adversely affect the viability of our customers, partners, teammates, subcontractors, suppliers, and our employee base.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business is well-positioned in areas that the DoD and other customers indicate are priorities for future defense spending, including those based on the 2022 National Security Strategy document, the 2023 U.S. National Security related budget and NDAA and the recently released fiscal 2024 National Security Budget request and NDAA, and also the related Future Years Defense Program or five year projection of the forces, resources and programs needed to support the DoD’s strategy and operations.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due to a divided Congress and Executive Branch, federal budgetary uncertainty, expected CRAs, potential budgetary restrictions or limitations, defense or other spending cuts, including the budgetary impacts of support for the conflicts in Israel and Ukraine, challenges in the appropriations process, the debt ceiling issue and ongoing fiscal debates, the short and long term impacts to the industry and to our business remain uncertain.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Such a challenging federal and DoD budgetary environment may negatively impact our customers, business and programs and could have a material adverse effect on our forecasts, estimates, financial position, results of operations and/or cash flows.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be affected by various unfavorable macroeconomic conditions including significant adverse supply chain disruptions that continue throughout the industry and for us, and related delays in the receipt and delivery of materials,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parts, supplies, etc., which in certain instances and for certain items is significant. In addition, inflation and the related increased costs of inputs needed to execute our business, including materials, parts, supplies, consultants, subcontractors, vendors, etc. have significantly increased our business costs and have significantly adversely impacted our operations, profit margins and financial forecasts.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Also, a shortage of qualified labor, and the cost of that labor for the Company and its labor base is a significant operational challenge for the Company. The cost of labor has increased significantly and current challenges in hiring, obtaining and retaining employees, including those employees requiring National Security clearances, is adversely impacting Kratos’ ability to execute its business. There is also a significant industry wide labor shortage, including in the Science, Technology, Engineering, and Math (STEM) discipline areas, and also including employees willing and/or able to obtain National Security clearances, and for high level manufacturing and production disciplines.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recent actions by the Federal Reserve to increase interest rates have impacted our interest expense on our outstanding debt borrowings and the related cost of executing Kratos’ business. Each of these matters and issues are expected to continue for the foreseeable future and are expected to continue to adversely impact the Company’s operations, financial results and financial forecasts.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Reportable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currently operates in two reportable segments.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our unmanned aerial, unmanned ground, unmanned seaborne and command, control and communications system businesses.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11 of the accompanying Condensed Consolidated Financial Statements. From a customer and solutions perspective, we view our business as an integrated whole, leveraging skills and assets wherever possible.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Comparison of Results for the Three Months Ended October 1, 2023 to the Three Months Ended September 25, 2022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Revenues.</w:t>
      </w:r>
      <w:r>
        <w:rPr>
          <w:color w:val="000000"/>
        </w:rPr>
        <w:t xml:space="preserve">  </w:t>
      </w:r>
      <w:r>
        <w:rPr>
          <w:rFonts w:ascii="Times New Roman;sans-serif" w:hAnsi="Times New Roman;sans-serif"/>
          <w:b w:val="false"/>
          <w:color w:val="000000"/>
          <w:sz w:val="20"/>
        </w:rPr>
        <w:t>Revenues by operating segment for the three months ended October 1, 2023 and September 25, 2022 are as follows (dollars in millions):</w:t>
      </w:r>
    </w:p>
    <w:tbl>
      <w:tblPr>
        <w:tblW w:w="8674" w:type="dxa"/>
        <w:jc w:val="left"/>
        <w:tblInd w:w="0" w:type="dxa"/>
        <w:tblLayout w:type="fixed"/>
        <w:tblCellMar>
          <w:top w:w="28" w:type="dxa"/>
          <w:left w:w="28" w:type="dxa"/>
          <w:bottom w:w="28" w:type="dxa"/>
          <w:right w:w="28" w:type="dxa"/>
        </w:tblCellMar>
      </w:tblPr>
      <w:tblGrid>
        <w:gridCol w:w="1087"/>
        <w:gridCol w:w="953"/>
        <w:gridCol w:w="959"/>
        <w:gridCol w:w="291"/>
        <w:gridCol w:w="849"/>
        <w:gridCol w:w="150"/>
        <w:gridCol w:w="109"/>
        <w:gridCol w:w="109"/>
        <w:gridCol w:w="109"/>
        <w:gridCol w:w="348"/>
        <w:gridCol w:w="1017"/>
        <w:gridCol w:w="180"/>
        <w:gridCol w:w="109"/>
        <w:gridCol w:w="109"/>
        <w:gridCol w:w="109"/>
        <w:gridCol w:w="211"/>
        <w:gridCol w:w="511"/>
        <w:gridCol w:w="109"/>
        <w:gridCol w:w="109"/>
        <w:gridCol w:w="109"/>
        <w:gridCol w:w="109"/>
        <w:gridCol w:w="255"/>
        <w:gridCol w:w="256"/>
        <w:gridCol w:w="517"/>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Kratos Government Solutions</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increased $46.0 million to $274.6 million for the three months ended October 1, 2023 from $228.6 million for the three months ended September 25, 2022. Revenues in our KGS segment increased $39.3 million primarily due to a net increase of $19.7 million in our C5ISR, turbine technologies, microwave electronics products, defense and rocket support and training solutions businesses, and an increase of $19.6 million in our space and satellite communications business. Revenues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US segment increased $6.7 million to $56.7 million for the three months ended October 1, 2023, primarily due to increased target drone activity as a result of timing of program contract awards and increased production volume as compared to the three months ended September 25, 2022.</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increased $28.1 million to $168.1 million for the three months ended October 1, 2023 from $140.0 million for the three months ended September 25, 2022, primarily as a result of increased production in our KGS segment and in our US segment. As a percentage of total consolidated revenues, product sales were 61.2% for the three months ended October 1, 2023 as compared to 61.2% for the three months ended September 25, 2022. Service revenues increased by $17.9 million to $106.5 million for the three months ended October 1, 2023 from $88.6 million for the three months ended September 25, 2022, primarily related to increased activity in our turbine technologies, and space and satellite business in our KGS segment.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Cost of revenues increased $27.5 million to $201.2 million for the three months ended October 1, 2023 from $173.7 million for the three months ended September 25, 2022. The increase in cost of revenues was primarily related to increased activity in our turbine technologies, and space and satellite business in our KGS Segment.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Gross Margin</w:t>
      </w:r>
      <w:r>
        <w:rPr>
          <w:rFonts w:ascii="Times New Roman;sans-serif" w:hAnsi="Times New Roman;sans-serif"/>
          <w:b w:val="false"/>
          <w:color w:val="000000"/>
          <w:sz w:val="20"/>
        </w:rPr>
        <w:t>.  Gross margin increased to 26.7% for the three months ended October 1, 2023 from 24.0% for the three months ended September 25, 2022. Margins on services decreased to 25.8% for the three months ended October 1, 2023 from 26.5% for the three months ended September 25, 2022. Margins on products increased to 27.3% for the three months ended October 1, 2023 from 22.4% for the three months end September 25, 2022. Margins in the KGS segment increased to 27.9% for the three months ended October 1, 2023 from 24.7% for the three months ended September 25, 2022, primarily due to a more favorable mix of revenues. Margins in the US segment increased to 22.0% for the three months ended October 1, 2023 from 21.4% for the three months ended September 25, 2022, primarily due to a more favorable mix of products produced and shipped in the three months ended October 1, 2023.</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Selling, General and Administrative (“SG&amp;A”) Expenses</w:t>
      </w:r>
      <w:r>
        <w:rPr>
          <w:rFonts w:ascii="Times New Roman;sans-serif" w:hAnsi="Times New Roman;sans-serif"/>
          <w:b w:val="false"/>
          <w:color w:val="000000"/>
          <w:sz w:val="20"/>
        </w:rPr>
        <w:t>.  SG&amp;A expenses increased $2.4 million to $50.9 million for the three months ended October 1, 2023 from $48.5 million for the three months ended September 25, 2022. As a percentage of revenues, SG&amp;A decreased to 18.5% at October 1, 2023 from 21.2% at September 25, 2022.</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Research and Development (“R&amp;D”) Expenses.</w:t>
      </w:r>
      <w:r>
        <w:rPr>
          <w:color w:val="000000"/>
        </w:rPr>
        <w:t xml:space="preserve">  </w:t>
      </w:r>
      <w:r>
        <w:rPr>
          <w:rFonts w:ascii="Times New Roman;sans-serif" w:hAnsi="Times New Roman;sans-serif"/>
          <w:b w:val="false"/>
          <w:color w:val="000000"/>
          <w:sz w:val="20"/>
        </w:rPr>
        <w:t>R&amp;D expenses increased $0.7 million to $10.3 million for the three months ended October 1, 2023 from $9.6 million for the three months ended September 25, 2022, primarily due to increased development efforts in our space and satellite communications business. As a percentage of revenues, R&amp;D decreased to 3.8% for the three months ended October 1, 2023 from 4.2% for the three months ended September 25, 2022.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Restructuring Expenses and Other.</w:t>
      </w:r>
      <w:r>
        <w:rPr>
          <w:color w:val="000000"/>
        </w:rPr>
        <w:t xml:space="preserve"> </w:t>
      </w:r>
      <w:r>
        <w:rPr>
          <w:rFonts w:ascii="Times New Roman;sans-serif" w:hAnsi="Times New Roman;sans-serif"/>
          <w:b w:val="false"/>
          <w:color w:val="000000"/>
          <w:sz w:val="20"/>
        </w:rPr>
        <w:t xml:space="preserve">Restructuring expenses and other decreased to $0.0 million from $0.2 million for the three months ended October 1, 2023 and September 25, 2022, respectively.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Total Other Expense, Net.</w:t>
      </w:r>
      <w:r>
        <w:rPr>
          <w:color w:val="000000"/>
        </w:rPr>
        <w:t xml:space="preserve">  </w:t>
      </w:r>
      <w:r>
        <w:rPr>
          <w:rFonts w:ascii="Times New Roman;sans-serif" w:hAnsi="Times New Roman;sans-serif"/>
          <w:b w:val="false"/>
          <w:color w:val="000000"/>
          <w:sz w:val="20"/>
        </w:rPr>
        <w:t>Total other expense, net increased to $5.4 million from $5.2 million for the three months ended October 1, 2023 and September 25, 2022, respectively. This increase in expense of $0.2 million was primarily related to an increase in interest expense of $1.3 million in the three months ended October 1, 2023 resulting from an increase in interest rates, partially offset by a decrease in expense of $1.0 million related to foreign transaction losses.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val="false"/>
          <w:i/>
          <w:color w:val="000000"/>
          <w:sz w:val="20"/>
        </w:rPr>
        <w:t>Provision (Benefit) for Income Taxes from Continuing Operations.</w:t>
      </w:r>
      <w:r>
        <w:rPr>
          <w:color w:val="000000"/>
        </w:rPr>
        <w:t> </w:t>
      </w:r>
      <w:r>
        <w:rPr>
          <w:rFonts w:ascii="Times New Roman;sans-serif" w:hAnsi="Times New Roman;sans-serif"/>
          <w:b w:val="false"/>
          <w:color w:val="000000"/>
          <w:sz w:val="20"/>
        </w:rPr>
        <w:t>The income tax expense from continuing operations for the three months ended October 1, 2023 was $3.8 million and the income tax benefit from continuing operations for the three months ended September 25, 2022 was $0.8 million. For the three months ended October 1, 2023 and September 25, 2022, the Company utilized the discrete effective tax rate method. The discrete method is applied when it is not possible to reliably estimate our full year effective tax rate due to significant permanent differences in relation to pre-tax book income, resulting in significant variability to our effective tax rate.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76"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Comparison of Results for the Nine Months Ended October 1, 2023 to the Nine Months Ended September 25, 2022</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 Revenues by operating segment for the nine months ended October 1, 2023 and September 25, 2022 are as follows (dollars in millions):</w:t>
      </w:r>
    </w:p>
    <w:p>
      <w:pPr>
        <w:pStyle w:val="TextBody"/>
        <w:bidi w:val="0"/>
        <w:spacing w:before="0" w:after="0"/>
        <w:jc w:val="left"/>
        <w:rPr/>
      </w:pPr>
      <w:r>
        <w:rPr/>
      </w:r>
    </w:p>
    <w:tbl>
      <w:tblPr>
        <w:tblW w:w="8900" w:type="dxa"/>
        <w:jc w:val="left"/>
        <w:tblInd w:w="0" w:type="dxa"/>
        <w:tblLayout w:type="fixed"/>
        <w:tblCellMar>
          <w:top w:w="28" w:type="dxa"/>
          <w:left w:w="28" w:type="dxa"/>
          <w:bottom w:w="28" w:type="dxa"/>
          <w:right w:w="28" w:type="dxa"/>
        </w:tblCellMar>
      </w:tblPr>
      <w:tblGrid>
        <w:gridCol w:w="1130"/>
        <w:gridCol w:w="992"/>
        <w:gridCol w:w="998"/>
        <w:gridCol w:w="291"/>
        <w:gridCol w:w="849"/>
        <w:gridCol w:w="150"/>
        <w:gridCol w:w="109"/>
        <w:gridCol w:w="109"/>
        <w:gridCol w:w="109"/>
        <w:gridCol w:w="348"/>
        <w:gridCol w:w="1017"/>
        <w:gridCol w:w="180"/>
        <w:gridCol w:w="109"/>
        <w:gridCol w:w="109"/>
        <w:gridCol w:w="109"/>
        <w:gridCol w:w="211"/>
        <w:gridCol w:w="616"/>
        <w:gridCol w:w="109"/>
        <w:gridCol w:w="109"/>
        <w:gridCol w:w="109"/>
        <w:gridCol w:w="109"/>
        <w:gridCol w:w="255"/>
        <w:gridCol w:w="256"/>
        <w:gridCol w:w="517"/>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Kratos Government Solutions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increased $114.3 million to $763.3 million for the nine months ended October 1, 2023 from $649.0 million for the nine months ended September 25, 2022. Revenues in our KGS segment increased $116.5 million, primarily due to the net increased contribution of $21.5 million in revenues from the recent acquisition of SRI’s Engineering Division (“SRE”), a net increase of $49.1 million in our C5ISR, turbine technologies, microwave electronics products, defense and rocket support and training solutions businesses, and an increase of $45.9 million in our space and satellite communications business. Revenues in our US segment decreased $2.2 million to $156.8 million for the nine months ended October 1, 2023 primarily due to a reduction in tactical drone based revenues as a result of timing of program contract awards, as compared to the nine months ended September 25, 2022.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sales increased $47.8 million to $461.5 million for the nine months ended October 1, 2023 from $413.7 million for the nine months ended September 25, 2022, primarily as a result of increased production activity in our KGS segment, offset partially by decreased volume in our US segment. As a percentage of total revenue, product sales were 60.5% for the nine months ended October 1, 2023 as compared to 63.7% for the nine months ended September 25, 2022. Service revenues increased by $66.5 million to $301.8 million for the nine months ended October 1, 2023 from $235.3 million for the nine months ended September 25, 2022. The increase was primarily a result of the recent Cosmic and SRE acquisitions as well as increased volume in the turbine technologies business.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Cost of Revenues</w:t>
      </w:r>
      <w:r>
        <w:rPr>
          <w:rFonts w:ascii="Times New Roman;sans-serif" w:hAnsi="Times New Roman;sans-serif"/>
          <w:b w:val="false"/>
          <w:color w:val="000000"/>
          <w:sz w:val="20"/>
        </w:rPr>
        <w:t>. Cost of revenues increased $82.2 million to $566.6 million for the nine months ended October 1, 2023 from $484.4 million for the nine months ended September 25, 2022. The increase in cost of revenues was primarily a result of the increase in revenues discussed above.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 xml:space="preserve">Gross Margin. </w:t>
      </w:r>
      <w:r>
        <w:rPr>
          <w:rFonts w:ascii="Times New Roman;sans-serif" w:hAnsi="Times New Roman;sans-serif"/>
          <w:b w:val="false"/>
          <w:color w:val="000000"/>
          <w:sz w:val="20"/>
        </w:rPr>
        <w:t>Gross margin increased to 25.8% for the nine months ended October 1, 2023 from 25.4% for the nine months ended September 25, 2022. Margins on services decreased to 24.7% for the nine months ended October 1, 2023 from 27.2% for the nine months ended September 25, 2022. Margins on product sales increased to 26.5% for the nine months ended October 1, 2023 from 24.3% for the nine months ended September 25, 2022. Margins in the KGS segment increased to 27.1% for the nine months ended October 1, 2023 from 26.9% for the nine months ended September 25, 2022 primarily due to a more favorable mix of revenues. Margins in the US segment increased to 20.7% for the nine months ended October 1, 2023 from 20.5% for the nine months ended September 25, 2022.</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SG&amp;A Expenses</w:t>
      </w:r>
      <w:r>
        <w:rPr>
          <w:rFonts w:ascii="Times New Roman;sans-serif" w:hAnsi="Times New Roman;sans-serif"/>
          <w:b w:val="false"/>
          <w:color w:val="000000"/>
          <w:sz w:val="20"/>
        </w:rPr>
        <w:t>. SG&amp;A expenses were $146.0 million for the nine months ended October 1, 2023 and $136.3 million for the nine months ended September 25, 2022. As a percentage of revenues, SG&amp;A decreased to 19.1% at October 1, 2023, from 21.0% at September 25, 2022.</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R&amp;D Expenses</w:t>
      </w:r>
      <w:r>
        <w:rPr>
          <w:rFonts w:ascii="Times New Roman;sans-serif" w:hAnsi="Times New Roman;sans-serif"/>
          <w:b w:val="false"/>
          <w:color w:val="000000"/>
          <w:sz w:val="20"/>
        </w:rPr>
        <w:t>. R&amp;D expenses were $30.4 million for the nine months ended October 1, 2023 and $28.0 million for the nine months ended September 25, 2022, with the primary increases in expenses in our</w:t>
      </w:r>
      <w:r>
        <w:rPr>
          <w:color w:val="000000"/>
        </w:rPr>
        <w:t xml:space="preserve"> </w:t>
      </w:r>
      <w:r>
        <w:rPr>
          <w:rFonts w:ascii="Times New Roman;sans-serif" w:hAnsi="Times New Roman;sans-serif"/>
          <w:b w:val="false"/>
          <w:color w:val="000000"/>
          <w:sz w:val="20"/>
        </w:rPr>
        <w:t xml:space="preserve">space and satellite communications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 As a percentage of revenues, R&amp;D expenses decreased to 4.0% for the nine months ended October 1, 2023 from 4.3% for the nine months ended September 25, 2022.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Restructuring Expenses and Other</w:t>
      </w:r>
      <w:r>
        <w:rPr>
          <w:rFonts w:ascii="Times New Roman;sans-serif" w:hAnsi="Times New Roman;sans-serif"/>
          <w:b w:val="false"/>
          <w:color w:val="000000"/>
          <w:sz w:val="20"/>
        </w:rPr>
        <w:t>. Restructuring expenses and other decreased to $0.9 million for the nine months ended October 1, 2023 from $6.4 million for the nine months ended September 25, 2022, primarily as a result of the $5.5 million litigation charge related to the settlement of a dispute with an international customer in our US segment during the nine months ended September 25, 2022.</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Total Other Expense, Net</w:t>
      </w:r>
      <w:r>
        <w:rPr>
          <w:rFonts w:ascii="Times New Roman;sans-serif" w:hAnsi="Times New Roman;sans-serif"/>
          <w:b w:val="false"/>
          <w:color w:val="000000"/>
          <w:sz w:val="20"/>
        </w:rPr>
        <w:t>. Total other expense, net decreased to $15.9 million for the nine months ended October 1, 2023 from $26.9 million for the nine months ended September 25, 2022</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The decrease in expense of $11.0 million was primarily related to the $13.0 million loss on the extinguishment of our Senior Secured Notes during the nine months ended September 25, 2022 which was partially offset by an increase in interest expense of $3.4 million during the nine months ended October 1, 2023 resulting from increased interest rates.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Provision (Benefit) for Income Taxes from Continuing Operations</w:t>
      </w:r>
      <w:r>
        <w:rPr>
          <w:rFonts w:ascii="Times New Roman;sans-serif" w:hAnsi="Times New Roman;sans-serif"/>
          <w:b w:val="false"/>
          <w:color w:val="000000"/>
          <w:sz w:val="20"/>
        </w:rPr>
        <w:t xml:space="preserve">. The income tax expense from continuing operations for the nine months ended October 1, 2023 was $6.9 million and the income tax benefit for the nine months ended September 25, 2022 was $4.6 million. For the nine months ended October 1, 2023 and September 25, 2022, the Company utilized the discrete effective tax rate method. The discrete method is applied when it is not possible to reliably estimate our full year effective tax rate due to significant permanent differences in relation to pre-tax book income, resulting in significant variability to our estimated effective tax rate.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 2023, we had approximately $1,165.0 million of total backlog, of which $850.9 million was funded. We expect to recognize approximately 20% of the remaining total backlog as revenue in fiscal year 2023, an additional 47% in fiscal year 2024 and the balance thereafter. Our comparable total backlog balance as of September 25, 2022, was approximately $1,068.9 million, of which $696.1 million was funded. Backlog as of October 1, 2023 as compared to September 25, 2022 has increased primarily as a result of contract awards in our Space, Satellite, Cyber and Training, Turbine Technologies, Microwave Technologies and Unmanned Systems businesses.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a subsequent appropriation and the procuring agency allocates funding to the contract.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Contracts undertaken by us may extend beyond one year. Accordingly, portions are carried forward from one year to the next as part of backlog. Because many factors affect the scheduling of projects, no assurance can be given as to when or if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our backlog until a related contract award is received.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October 1, 2023, we had cash and cash equivalents of $42.2 million compared with cash and cash equivalents of $81.3 million as of December 25, 2022, which includes $25.5 million and $18.9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United States they could be repatriated, and their repatriation into the United States may cause us to incur additional foreign withholding taxes. We do not currently intend to repatriate these earnings.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total long-term debt decreased from $257.5 million at December 25, 2022 to $243.7 million at October 1, 2023. Under the New Credit Facility, on February 18, 2022, we completed the refinancing of our outstanding $90 million revolving credit facility and $300 million of Senior Secured Notes, with a new 5-year $200 million Revolving Credit Facility and 5-year $200 million Term Loan A. As of October 1, 2023, the Company has made $6.3 million of principal payments on Term Loan A, and has net amounts outstanding of approximately $50.0 million under the new Revolving Credit Facility, with approximately $150.0 million remaining in borrowing capacity, less $13.7 million for outstanding letters of credit (as more fully described in Note 10 of the accompanying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18, 2022, the proceeds of $300 million from the New Credit Facility, along with cash funded by us for the 3.25% call premium to redeem the Company’s outstanding Senior Secured Notes, plus accrued interest, was distributed to the trustee for redemption of the Senior Secured Notes. The redemption of the outstanding $300 million of Senior Secured Notes closed on March 14, 2022, for an amount of cash equal to 103.25% of the principal amount thereof plus accrued and unpaid interest thereon. We incurred a loss on the extinguishment of debt of $9.8 million related to the call premium on the Senior Secured Notes and the write-off of $3.2 million of unamortized debt issuance costs resulting in a total loss on extinguishment of debt of $13.0 million.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our operating cash flow to finance trade accounts receivable, fund necessary increases in inventory including increasing inventory stock levels and advance buys in larger lot sizes to gain pricing benefits where possible, in order to mitigate the impact of supply chain disruptions and price increases, utilize working capital to fund revenue growth, fund internal investments of engineering costs, fund capital expenditures, our internal research and development investments and our ongoing operations, service our debt, enhance our security infrastructure, including cyber security infrastructure, and make strategic acquisitions. Financing trade accounts receivable is necessary because, on average, our customers do not pay us as quickly as we pay our vendors and employees for their goods and services because a number of our receivables are contractually billable and due to us only when certain contractual milestones are achieved. Financing increases in inventory balances are necessary to fulfill shipment requirements to meet delivery schedules of our customers, to fund advanced inventory purchases to mitigate supply chain disruptions, and to fund increased inventory levels related to revenue growth. These financing requirements have increased and have recently negatively impacted our operating cash flows due to actions we have taken to advance inventory purchases in an attempt to mitigate supply chain disruptions and to bolster our inventory levels. For the nine months ended October 1, 2023, approximately $23.7 million of operating cash flow was used to fund inventory purchases. Cash from continuing operations is primarily derived from our customer contracts in progress and associated changes in working capital components. Our days sales outstanding (“DSO”) have decreased from 134 days as of December 25, 2022 to 117 days at October 1, 2023, primarily reflecting outstanding contractual billing milestones.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 Despite the decreases in our DSOs, net increases in our receivable balances of $32.6 million for the nine months ended October 1, 2023 from the approximate 18 percent year over year revenue growth of the Company, have resulted in a use of operating cash flows reflecting the growth in our revenues in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performance of work terminated plus a reasonable profit on those costs; and (3) and its costs incurred in settling with subcontractors and preparing and settling the termination proposal. However, we will not be able to collect the total withheld amounts until the settlement terms of the T for C have been negotiated and agreed to with the customer. At October 1, 2023, approximately $4.8 million in unbilled receivables remain outstanding on this project. In March 2022, we agreed, together with the customer, to a litigation settlement of $6.0 million for a portion of the amounts outstanding on this project, which was collected in July 2022. The remaining unbilled balance of $4.8 million is subject to negotiation and settlement with the customer.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We were also in dispute with an international customer in our US segment concerning the completion of certain system requirements and contractual milestones related to a contract the Company acquired with the acquisition of CEi in 2012. In June 2022, the parties entered into a settlement agreement to resolve their dispute and to resolve all claims and counterclaims, and we are currently in the process of implementing the terms of the settlement agreement.</w:t>
      </w:r>
      <w:r>
        <w:rPr>
          <w:color w:val="000000"/>
        </w:rPr>
        <w:t xml:space="preserve"> </w:t>
      </w:r>
      <w:r>
        <w:rPr>
          <w:rFonts w:ascii="Times New Roman;sans-serif" w:hAnsi="Times New Roman;sans-serif"/>
          <w:b w:val="false"/>
          <w:color w:val="000000"/>
          <w:sz w:val="20"/>
        </w:rPr>
        <w:t>The Company recorded a $5.5 million litigation settlement charge which is included in restructuring expenses and other in the year ended December 25,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net cash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tbl>
      <w:tblPr>
        <w:tblW w:w="8891" w:type="dxa"/>
        <w:jc w:val="center"/>
        <w:tblInd w:w="0" w:type="dxa"/>
        <w:tblLayout w:type="fixed"/>
        <w:tblCellMar>
          <w:top w:w="28" w:type="dxa"/>
          <w:left w:w="28" w:type="dxa"/>
          <w:bottom w:w="28" w:type="dxa"/>
          <w:right w:w="28" w:type="dxa"/>
        </w:tblCellMar>
      </w:tblPr>
      <w:tblGrid>
        <w:gridCol w:w="1930"/>
        <w:gridCol w:w="1695"/>
        <w:gridCol w:w="1700"/>
        <w:gridCol w:w="340"/>
        <w:gridCol w:w="775"/>
        <w:gridCol w:w="175"/>
        <w:gridCol w:w="109"/>
        <w:gridCol w:w="109"/>
        <w:gridCol w:w="109"/>
        <w:gridCol w:w="319"/>
        <w:gridCol w:w="887"/>
        <w:gridCol w:w="743"/>
      </w:tblGrid>
      <w:tr>
        <w:trPr/>
        <w:tc>
          <w:tcPr>
            <w:tcW w:w="193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from continuing operations</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from continuing operations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w:t>
            </w:r>
          </w:p>
        </w:tc>
        <w:tc>
          <w:tcPr>
            <w:tcW w:w="74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from continuing operations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7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cash flows of discontinued operations</w:t>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from continuing operations was $2.2 million for the nine months ended October 1, 2023. Net cash used in operating activities from continuing operations for the nine months ended October 1, 2023 was primarily a result of the net loss of $3.2 million and changes in net working capital accounts of $51.9 million partially offset by noncash charges $53.1 million which includes stock compensation, depreciation and amortization. Net cash used in operating activities from continuing operations was $32.3 million for the nine months ended September 25, 2022 was primarily a result of the net loss of $28.3 million and the impact of working capital requirements to fund revenue growth.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from continuing operations for the nine months ended October 1, 2023 is comprised of $33.1 million in capital expenditures partially offset by receipt of $8.3 million of proceeds from the sale of Valkyries which had been previously built as capital assets as they were produced ahead of government contract award. During the nine months ended October 1, 2023, capital expenditures of approximately $16.5 million were incurred in our US business, primarily related to our unmanned tactical initiative. We expect our capital expenditures for our fiscal year 2023 to continue to be significant for investments we are making, specifically in our US business totaling approximately $20 to $25 million. The Company made the decision in the first quarter of 2023 to move forward with its second serial production run of 12 next generation Valkyries. The total estimated amount related to production of Valkyries and related equipment, ahead of government contract award, including the first and second production run, is $16 to $18 million of the estimated 2023 capital expenditures for the US business. The Company is currently producing or anticipates producing several versions of the Valkyrie within the 24 unit production, based on routine communications with the customers, which mix and ultimate duration of the 24 Lot Build may change as a result. Net cash used in investing activities from continuing operations for the nine months ended September 25, 2022 is comprised of cash paid for acquisitions, net of cash acquired of $132.2 million, and $34.8 million in capital expenditures. Cash used for acquisitions included $74.0 million related to the acquisition of the assets of SRE, $37.5 million related to the acquisition of Cosmic, $15.3 million for the remaining purchase price due on the acquisition of CTT, and a $5.4 million payment due under the acquisition agreement for KTT Core, of which we purchased a controlling interest in February 2019.</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from continuing operations was $12.1 million for the nine months ended October 1, 2023, which included $3.8 million of principal payments on our $200 million Term Loan A and a $64.0 million payment (partially offset by a $54.0 million draw) on the new Revolving Credit Facility, payroll withholding taxes paid from vested restricted stock traded for taxes of $3.6 million and payments made on financing lease obligations of $1.2 million. These uses were partially offset by employee stock purchase plan receipts of $6.5 million. Net cash used in financing activities from continuing operations was $21.4 million for the nine months ended September 25, 2022, and included $309.8 million used to redeem our $300 million of Senior Secured Notes including the call premium of $9.8 million, debt issuance costs of $3.2 million, payroll withholding taxes paid from vested restricted stock traded for taxes of $12.3 million and payments made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 obligations of $1.0 million. These uses were partially offset by $300.0 million in proceeds from our New Credit Facility (partially offset by a $1.2 million principal payment on June 30, 2022) and employee stock purchase plan receipts of $6.1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operating cash flows of discontinued operations for the nine months ended October 1, 2023 was a use of $0.0 million. The net operating cash flows of discontinued operations for the nine months ended September 25, 2022 was a use of $0.3 million.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Commitments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New Credit Facility</w:t>
      </w:r>
    </w:p>
    <w:p>
      <w:pPr>
        <w:pStyle w:val="TextBody"/>
        <w:bidi w:val="0"/>
        <w:spacing w:before="0" w:after="0"/>
        <w:jc w:val="left"/>
        <w:rPr/>
      </w:pPr>
      <w:r>
        <w:rPr/>
      </w:r>
    </w:p>
    <w:p>
      <w:pPr>
        <w:pStyle w:val="TextBody"/>
        <w:bidi w:val="0"/>
        <w:spacing w:lineRule="auto" w:line="268" w:before="0" w:after="0"/>
        <w:jc w:val="left"/>
        <w:rPr/>
      </w:pPr>
      <w:r>
        <w:rPr>
          <w:color w:val="000000"/>
        </w:rPr>
        <w:t>    </w:t>
      </w:r>
      <w:r>
        <w:rPr>
          <w:rFonts w:ascii="Times New Roman;sans-serif" w:hAnsi="Times New Roman;sans-serif"/>
          <w:b w:val="false"/>
          <w:color w:val="000000"/>
          <w:sz w:val="20"/>
        </w:rPr>
        <w:t xml:space="preserve">Under the New Credit Facility, on February 18, 2022, the Company completed the refinancing of its outstanding $90 million revolving credit facility and $300 million Senior Secured Notes, with a new 5-year $200 million Revolving Credit Facility and 5-year $200 million Term Loan A. The Company incurred debt issuance costs of $3.3 million associated with the New Credit Facility. As of October 1, 2023, the Company has made $6.3 million of principal payments on Term Loan A. As of October 1, 2023, the Company has net amounts outstanding of approximately $50.0 million under the new Revolving Credit Facility, with approximately $150.0 million remaining in borrowing capacity, less $13.7 million for outstanding letters of credit.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18, 2022, the proceeds of $300 million from the New Credit Facility along with cash funded by the Company for the 3.25% call premium to redeem the Company’s outstanding Senior Secured Notes, plus accrued interest, was distributed to the trustee for redemption of the Senior Secured Notes. The redemption of the Company’s outstanding $300 million 6.5% Senior Secured Notes due November 2025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New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and the term loan credit facility may take the form of base rate loans or SOFR loans. Base rate loans under the Credit Agreement will bear interest at a rate per annum equal to the sum of the Applicable Margin (as defined in the Credit Agreement) from time to time in effect plus the highest of (i) the Agent’s(as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one-month term SOFR of 3.721% and settles monthly on the last day of each calendar month. The swap has an effective date of May 1, 2023 and terminates on May 1, 2026.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October 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6.5% Senior Secured Notes due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2017, the Company issued and sold $300 million aggregate principal amount of Senior Secured Notes due 2025 in a private placement conducted pursuant to Rule 144A and Regulation S under the Securities Act of 1933, as amended. The Company incurred debt issuance costs of $6.6 million associated with the Senior Secured Notes. The Senior Secured Notes were redeemed on March 14, 2022.</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Indebtedness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and Security Agreement</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20, 2017, the Company entered into the amended and restated credit and security agreement (the “Credit and Security Agreement”), which established a five-year senior secured revolving credit facility in the aggregate principal amount of $90.0 million (subject to a potential increase of the aggregate principal amount to $115.0 million, subject to the agent’s and applicable lenders’ approval), consisting of a subline for letters of credit in an amount not to exceed $50.0 million, as well as a swingline loan in an aggregate principal amount at any time outstanding not to exceed $10.0 million. The Credit and Security Agreement was replaced by the New Credit Facility on February 18, 2022.</w:t>
      </w:r>
    </w:p>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Liquidity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 Part I, Item 1A, “Risk Factors” of our Annual Report on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a significant long-term negative impact to our financial results and cash flows from operations. In such a situation, we could fall out of compliance with our financial and other covenants, which, if not waived, could limit our liquidity and capital resources.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Principles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discussion of our financial condition and results of operations is based on the Condensed Consolidated Financial Statements included in this Quarterly Report on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our “Critical Accounting Policies or Estimates” as compared to the significant accounting policies described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December 25, 2022, there have been no material changes in the quantitative or qualitative aspects of our market risk profile. For additional information regarding our exposure to certain market risks, see “Item 7A. Quantitative and Qualitative Disclosures About Market Risk” included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Conclusions Regarding the Effectiveness of Disclosure Controls and Procedures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foregoing, our Principal Executive Officer and Principal Financial Officer concluded that our disclosure controls and procedures were effective at the reasonable assurance level as of October 1, 2023.</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under the Committee of Sponsoring Organizations 2013 Framework. There was no change in our internal control over financial reporting during the three months ended October 1, 2023 that has materially affected, or is reasonably likely to materially affect, our internal control over financial reporting.</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14 of the Notes to Condensed Consolidated Financial Statements contained within this Quarterly Report for a discussion of our legal proceedings.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evaluating us and our common stock, we urge you to carefully consider the risks and other information in this Quarterly Report on Form 10-Q, as well as the risk factors disclosed in Item 1A. to Part I of our Annual Report on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0aa4a409962413aa971385b2457d9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October 1, 2023, none of our directors or officers (as defined in Rule 16a-1 under the Exchange Act) adopted, modified or terminated a "Rule 10b5-1 trading arrangement" or "non-Rule 105b-1 trading arrangement" (as those terms are defined in Item 408 of Regulation S-K), except as described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20"/>
        <w:gridCol w:w="621"/>
        <w:gridCol w:w="620"/>
        <w:gridCol w:w="239"/>
        <w:gridCol w:w="239"/>
        <w:gridCol w:w="243"/>
        <w:gridCol w:w="386"/>
        <w:gridCol w:w="386"/>
        <w:gridCol w:w="388"/>
        <w:gridCol w:w="391"/>
        <w:gridCol w:w="391"/>
        <w:gridCol w:w="393"/>
        <w:gridCol w:w="717"/>
        <w:gridCol w:w="717"/>
        <w:gridCol w:w="719"/>
        <w:gridCol w:w="541"/>
        <w:gridCol w:w="421"/>
        <w:gridCol w:w="421"/>
        <w:gridCol w:w="421"/>
        <w:gridCol w:w="421"/>
        <w:gridCol w:w="610"/>
      </w:tblGrid>
      <w:tr>
        <w:trPr/>
        <w:tc>
          <w:tcPr>
            <w:tcW w:w="9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and Title</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1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Date</w:t>
            </w:r>
          </w:p>
        </w:tc>
        <w:tc>
          <w:tcPr>
            <w:tcW w:w="11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c>
          <w:tcPr>
            <w:tcW w:w="21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Rule 10b5-1 Trading Arrangement? (Y/N)</w:t>
            </w:r>
            <w:r>
              <w:rPr>
                <w:rFonts w:ascii="Times New Roman;sans-serif" w:hAnsi="Times New Roman;sans-serif"/>
                <w:b/>
                <w:color w:val="000000"/>
                <w:sz w:val="13"/>
              </w:rPr>
              <w:t>(1)</w:t>
            </w:r>
          </w:p>
        </w:tc>
        <w:tc>
          <w:tcPr>
            <w:tcW w:w="283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Number of Securities Subject to Trading Arrangement</w:t>
            </w:r>
          </w:p>
        </w:tc>
      </w:tr>
      <w:tr>
        <w:trPr/>
        <w:tc>
          <w:tcPr>
            <w:tcW w:w="216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Mills</w:t>
            </w:r>
          </w:p>
        </w:tc>
        <w:tc>
          <w:tcPr>
            <w:tcW w:w="721"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w:t>
            </w:r>
          </w:p>
        </w:tc>
        <w:tc>
          <w:tcPr>
            <w:tcW w:w="1160"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8/16/2023</w:t>
            </w:r>
          </w:p>
        </w:tc>
        <w:tc>
          <w:tcPr>
            <w:tcW w:w="1175"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3/29/2024</w:t>
            </w:r>
          </w:p>
        </w:tc>
        <w:tc>
          <w:tcPr>
            <w:tcW w:w="2153"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w:t>
            </w:r>
          </w:p>
        </w:tc>
        <w:tc>
          <w:tcPr>
            <w:tcW w:w="1383" w:type="dxa"/>
            <w:gridSpan w:val="3"/>
            <w:vMerge w:val="restart"/>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16,091</w:t>
            </w:r>
          </w:p>
        </w:tc>
        <w:tc>
          <w:tcPr>
            <w:tcW w:w="1452"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C5ISR Division</w:t>
            </w:r>
          </w:p>
        </w:tc>
        <w:tc>
          <w:tcPr>
            <w:tcW w:w="721"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1160"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1175"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2153"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1383" w:type="dxa"/>
            <w:gridSpan w:val="3"/>
            <w:vMerge w:val="continue"/>
            <w:tcBorders>
              <w:top w:val="single" w:sz="8"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1452"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r>
      <w:tr>
        <w:trPr/>
        <w:tc>
          <w:tcPr>
            <w:tcW w:w="21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Deanna Lund</w:t>
            </w:r>
          </w:p>
        </w:tc>
        <w:tc>
          <w:tcPr>
            <w:tcW w:w="72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Modify</w:t>
            </w:r>
          </w:p>
        </w:tc>
        <w:tc>
          <w:tcPr>
            <w:tcW w:w="116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8/18/2023</w:t>
            </w:r>
          </w:p>
        </w:tc>
        <w:tc>
          <w:tcPr>
            <w:tcW w:w="1175"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6/30/2025</w:t>
            </w:r>
          </w:p>
        </w:tc>
        <w:tc>
          <w:tcPr>
            <w:tcW w:w="215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w:t>
            </w:r>
          </w:p>
        </w:tc>
        <w:tc>
          <w:tcPr>
            <w:tcW w:w="138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114,567</w:t>
            </w:r>
          </w:p>
        </w:tc>
        <w:tc>
          <w:tcPr>
            <w:tcW w:w="145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72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16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17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15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38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45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Phillip Carrai</w:t>
            </w:r>
          </w:p>
        </w:tc>
        <w:tc>
          <w:tcPr>
            <w:tcW w:w="721" w:type="dxa"/>
            <w:gridSpan w:val="3"/>
            <w:vMerge w:val="restart"/>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w:t>
            </w:r>
          </w:p>
        </w:tc>
        <w:tc>
          <w:tcPr>
            <w:tcW w:w="1160" w:type="dxa"/>
            <w:gridSpan w:val="3"/>
            <w:vMerge w:val="restart"/>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9/15/2023</w:t>
            </w:r>
          </w:p>
        </w:tc>
        <w:tc>
          <w:tcPr>
            <w:tcW w:w="1175" w:type="dxa"/>
            <w:gridSpan w:val="3"/>
            <w:vMerge w:val="restart"/>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12/31/2024</w:t>
            </w:r>
          </w:p>
        </w:tc>
        <w:tc>
          <w:tcPr>
            <w:tcW w:w="2153" w:type="dxa"/>
            <w:gridSpan w:val="3"/>
            <w:vMerge w:val="restart"/>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w:t>
            </w:r>
          </w:p>
        </w:tc>
        <w:tc>
          <w:tcPr>
            <w:tcW w:w="1383" w:type="dxa"/>
            <w:gridSpan w:val="3"/>
            <w:vMerge w:val="restart"/>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42,000</w:t>
            </w:r>
          </w:p>
        </w:tc>
        <w:tc>
          <w:tcPr>
            <w:tcW w:w="1452"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Space, Training and Cyber Solutions Division</w:t>
            </w:r>
          </w:p>
        </w:tc>
        <w:tc>
          <w:tcPr>
            <w:tcW w:w="721" w:type="dxa"/>
            <w:gridSpan w:val="3"/>
            <w:vMerge w:val="continue"/>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Normal"/>
              <w:bidi w:val="0"/>
              <w:jc w:val="left"/>
              <w:rPr/>
            </w:pPr>
            <w:r>
              <w:rPr/>
            </w:r>
          </w:p>
        </w:tc>
        <w:tc>
          <w:tcPr>
            <w:tcW w:w="1160" w:type="dxa"/>
            <w:gridSpan w:val="3"/>
            <w:vMerge w:val="continue"/>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Normal"/>
              <w:bidi w:val="0"/>
              <w:jc w:val="left"/>
              <w:rPr/>
            </w:pPr>
            <w:r>
              <w:rPr/>
            </w:r>
          </w:p>
        </w:tc>
        <w:tc>
          <w:tcPr>
            <w:tcW w:w="1175" w:type="dxa"/>
            <w:gridSpan w:val="3"/>
            <w:vMerge w:val="continue"/>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Normal"/>
              <w:bidi w:val="0"/>
              <w:jc w:val="left"/>
              <w:rPr/>
            </w:pPr>
            <w:r>
              <w:rPr/>
            </w:r>
          </w:p>
        </w:tc>
        <w:tc>
          <w:tcPr>
            <w:tcW w:w="2153" w:type="dxa"/>
            <w:gridSpan w:val="3"/>
            <w:vMerge w:val="continue"/>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Normal"/>
              <w:bidi w:val="0"/>
              <w:jc w:val="left"/>
              <w:rPr/>
            </w:pPr>
            <w:r>
              <w:rPr/>
            </w:r>
          </w:p>
        </w:tc>
        <w:tc>
          <w:tcPr>
            <w:tcW w:w="1383" w:type="dxa"/>
            <w:gridSpan w:val="3"/>
            <w:vMerge w:val="continue"/>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Normal"/>
              <w:bidi w:val="0"/>
              <w:jc w:val="left"/>
              <w:rPr/>
            </w:pPr>
            <w:r>
              <w:rPr/>
            </w:r>
          </w:p>
        </w:tc>
        <w:tc>
          <w:tcPr>
            <w:tcW w:w="1452" w:type="dxa"/>
            <w:gridSpan w:val="3"/>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r>
    </w:tbl>
    <w:p>
      <w:pPr>
        <w:pStyle w:val="TextBody"/>
        <w:bidi w:val="0"/>
        <w:spacing w:lineRule="auto" w:line="256" w:before="0" w:after="0"/>
        <w:jc w:val="left"/>
        <w:rPr/>
      </w:pPr>
      <w:r>
        <w:rPr>
          <w:rFonts w:ascii="Times New Roman;sans-serif" w:hAnsi="Times New Roman;sans-serif"/>
          <w:b w:val="false"/>
          <w:color w:val="000000"/>
          <w:sz w:val="13"/>
        </w:rPr>
        <w:t>(1)</w:t>
      </w:r>
      <w:r>
        <w:rPr>
          <w:rFonts w:ascii="Times New Roman;sans-serif" w:hAnsi="Times New Roman;sans-serif"/>
          <w:b w:val="false"/>
          <w:color w:val="000000"/>
          <w:sz w:val="18"/>
        </w:rPr>
        <w:t xml:space="preserve">Denotes whether the trading arrangement is intended </w:t>
      </w:r>
      <w:r>
        <w:rPr>
          <w:rFonts w:ascii="Times New Roman;sans-serif" w:hAnsi="Times New Roman;sans-serif"/>
          <w:b w:val="false"/>
          <w:color w:val="000000"/>
          <w:sz w:val="18"/>
          <w:shd w:fill="FFFFFF" w:val="clear"/>
        </w:rPr>
        <w:t>to satisfy the affirmative defense of Rule 10b5-1(c).</w:t>
      </w:r>
    </w:p>
    <w:p>
      <w:pPr>
        <w:pStyle w:val="TextBody"/>
        <w:bidi w:val="0"/>
        <w:spacing w:lineRule="auto" w:line="256" w:before="0" w:after="0"/>
        <w:jc w:val="left"/>
        <w:rPr/>
      </w:pPr>
      <w:r>
        <w:rPr>
          <w:rFonts w:ascii="Times New Roman;sans-serif" w:hAnsi="Times New Roman;sans-serif"/>
          <w:b w:val="false"/>
          <w:color w:val="000000"/>
          <w:sz w:val="13"/>
          <w:shd w:fill="FFFFFF" w:val="clear"/>
        </w:rPr>
        <w:t>(2)</w:t>
      </w:r>
      <w:r>
        <w:rPr>
          <w:rFonts w:ascii="Times New Roman;sans-serif" w:hAnsi="Times New Roman;sans-serif"/>
          <w:b w:val="false"/>
          <w:color w:val="000000"/>
          <w:sz w:val="18"/>
          <w:shd w:fill="FFFFFF" w:val="clear"/>
        </w:rPr>
        <w:t>This number represents the maximum number of shares of our common stock that may be sold pursuant to the trading arrangement. The number of shares actually sold will depend on the satisfaction of certain conditions set forth in the trading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0aa4a409962413aa971385b2457d9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4"/>
        <w:gridCol w:w="233"/>
        <w:gridCol w:w="234"/>
        <w:gridCol w:w="109"/>
        <w:gridCol w:w="109"/>
        <w:gridCol w:w="109"/>
        <w:gridCol w:w="1705"/>
        <w:gridCol w:w="1565"/>
        <w:gridCol w:w="1568"/>
        <w:gridCol w:w="109"/>
        <w:gridCol w:w="109"/>
        <w:gridCol w:w="109"/>
        <w:gridCol w:w="170"/>
        <w:gridCol w:w="170"/>
        <w:gridCol w:w="171"/>
        <w:gridCol w:w="109"/>
        <w:gridCol w:w="109"/>
        <w:gridCol w:w="109"/>
        <w:gridCol w:w="328"/>
        <w:gridCol w:w="328"/>
        <w:gridCol w:w="329"/>
        <w:gridCol w:w="109"/>
        <w:gridCol w:w="109"/>
        <w:gridCol w:w="109"/>
        <w:gridCol w:w="210"/>
        <w:gridCol w:w="210"/>
        <w:gridCol w:w="211"/>
        <w:gridCol w:w="109"/>
        <w:gridCol w:w="109"/>
        <w:gridCol w:w="109"/>
        <w:gridCol w:w="255"/>
        <w:gridCol w:w="255"/>
        <w:gridCol w:w="364"/>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br/>
              <w:t>Period End</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Furnished</w:t>
              <w:br/>
              <w:t>Herewith</w:t>
            </w:r>
          </w:p>
        </w:tc>
      </w:tr>
      <w:tr>
        <w:trPr/>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Stock Purchase Agreement, dated February 28, 2018, among Kratos Defense &amp; Security Solutions, Inc., Kratos Public Safety &amp; Security Solutions, Inc. and Securitas Electronic Security,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05/10/2018</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Purchase Agreement, dated February 27, 2019, by and among Kratos Defense &amp; Security Solutions, Inc., Shirley Brostmeyer, (“SB”), Joseph Brostmeyer (“JB”), certain trusts established by SB, JB and members of their immediate family, and JB, as the Sellers Representative.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05/08/2019</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Certificate of Incorporation of Kratos Defense &amp; Security Solutions,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02/27/2017</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Second Amended and Restated Bylaws of Kratos Defense &amp; Security Solutions,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02/27/2017</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Specimen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02/27/2017</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31001ex-311.htm">
              <w:r>
                <w:rPr>
                  <w:rStyle w:val="InternetLink"/>
                  <w:rFonts w:ascii="Times New Roman;sans-serif" w:hAnsi="Times New Roman;sans-serif"/>
                  <w:b w:val="false"/>
                  <w:color w:val="0000FF"/>
                  <w:sz w:val="20"/>
                  <w:u w:val="single"/>
                </w:rPr>
                <w:t>Certification of Chief Executive Officer pursuant to Section 302 of the Sarbanes 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31001ex-312.htm">
              <w:r>
                <w:rPr>
                  <w:rStyle w:val="InternetLink"/>
                  <w:rFonts w:ascii="Times New Roman;sans-serif" w:hAnsi="Times New Roman;sans-serif"/>
                  <w:b w:val="false"/>
                  <w:color w:val="0000FF"/>
                  <w:sz w:val="20"/>
                  <w:u w:val="single"/>
                </w:rPr>
                <w:t xml:space="preserve">Certification of Chief Financial Officer pursuant to Section 302 of the Sarbanes 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31001ex-321.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for Eric M. DeMarco.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31001ex-322.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for Deanna Lund.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6">
              <w:r>
                <w:rPr>
                  <w:rStyle w:val="InternetLink"/>
                  <w:rFonts w:ascii="Times New Roman;sans-serif" w:hAnsi="Times New Roman;sans-serif"/>
                  <w:b w:val="false"/>
                  <w:color w:val="0000FF"/>
                  <w:sz w:val="20"/>
                  <w:u w:val="single"/>
                </w:rPr>
                <w:t>Inline XBRL Instance Document-the instance document does not appear in the Interactive Data File because its XBRL tags are embedded within the Inline XBRL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6">
              <w:r>
                <w:rPr>
                  <w:rStyle w:val="InternetLink"/>
                  <w:rFonts w:ascii="Times New Roman;sans-serif" w:hAnsi="Times New Roman;sans-serif"/>
                  <w:b w:val="false"/>
                  <w:color w:val="0000FF"/>
                  <w:sz w:val="20"/>
                  <w:u w:val="single"/>
                </w:rPr>
                <w:t>Inline XBRL Taxonomy Extension Schema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6">
              <w:r>
                <w:rPr>
                  <w:rStyle w:val="InternetLink"/>
                  <w:rFonts w:ascii="Times New Roman;sans-serif" w:hAnsi="Times New Roman;sans-serif"/>
                  <w:b w:val="false"/>
                  <w:color w:val="0000FF"/>
                  <w:sz w:val="20"/>
                  <w:u w:val="single"/>
                </w:rPr>
                <w:t>Inline XBRL Taxonomy Extension Calculation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6">
              <w:r>
                <w:rPr>
                  <w:rStyle w:val="InternetLink"/>
                  <w:rFonts w:ascii="Times New Roman;sans-serif" w:hAnsi="Times New Roman;sans-serif"/>
                  <w:b w:val="false"/>
                  <w:color w:val="0000FF"/>
                  <w:sz w:val="20"/>
                  <w:u w:val="single"/>
                </w:rPr>
                <w:t>Inline XBRL Taxonomy Extension Definition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6">
              <w:r>
                <w:rPr>
                  <w:rStyle w:val="InternetLink"/>
                  <w:rFonts w:ascii="Times New Roman;sans-serif" w:hAnsi="Times New Roman;sans-serif"/>
                  <w:b w:val="false"/>
                  <w:color w:val="0000FF"/>
                  <w:sz w:val="20"/>
                  <w:u w:val="single"/>
                </w:rPr>
                <w:t>Inline XBRL Taxonomy Extension Label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a4a409962413aa971385b2457d939_16">
              <w:r>
                <w:rPr>
                  <w:rStyle w:val="InternetLink"/>
                  <w:rFonts w:ascii="Times New Roman;sans-serif" w:hAnsi="Times New Roman;sans-serif"/>
                  <w:b w:val="false"/>
                  <w:color w:val="0000FF"/>
                  <w:sz w:val="20"/>
                  <w:u w:val="single"/>
                </w:rPr>
                <w:t>Inline XBRL Taxonomy Extension Presentation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0aa4a409962413aa971385b2457d939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Certain confidential information contained in this Exhibit (indicated by asterisks) has been omitted because it is both (i) not material and (ii) the type of information that the registrant treats as private or confidential.</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0aa4a409962413aa971385b2457d9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8468"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708"/>
        <w:gridCol w:w="708"/>
        <w:gridCol w:w="708"/>
        <w:gridCol w:w="1225"/>
        <w:gridCol w:w="1225"/>
        <w:gridCol w:w="17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DEFENSE &amp; SECURITY SOLUTIONS,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M. DEMARCO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M. DeMarco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DEANNA H. LUND, CPA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Deanna H. Lund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MARIA CERVANTES DE BURGREEN, CPA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Maria Cervantes de Burgreen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Vice President and Corporate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Eric M. DeMarco,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quarterly report on Form 10-Q of Kratos Defense &amp; Security Solutions, Inc.;</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(d)</w:t>
      </w:r>
      <w:r>
        <w:rPr>
          <w:color w:val="000000"/>
        </w:rPr>
        <w:t>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November 2, 2023 </w:t>
      </w:r>
    </w:p>
    <w:p>
      <w:pPr>
        <w:pStyle w:val="TextBody"/>
        <w:bidi w:val="0"/>
        <w:spacing w:lineRule="auto" w:line="288" w:before="0" w:after="0"/>
        <w:jc w:val="left"/>
        <w:rPr>
          <w:color w:val="000000"/>
        </w:rPr>
      </w:pPr>
      <w:r>
        <w:rPr>
          <w:color w:val="000000"/>
        </w:rPr>
        <w:t> </w:t>
      </w:r>
    </w:p>
    <w:tbl>
      <w:tblPr>
        <w:tblW w:w="4691" w:type="dxa"/>
        <w:jc w:val="center"/>
        <w:tblInd w:w="0" w:type="dxa"/>
        <w:tblLayout w:type="fixed"/>
        <w:tblCellMar>
          <w:top w:w="28" w:type="dxa"/>
          <w:left w:w="28" w:type="dxa"/>
          <w:bottom w:w="28" w:type="dxa"/>
          <w:right w:w="28" w:type="dxa"/>
        </w:tblCellMar>
      </w:tblPr>
      <w:tblGrid>
        <w:gridCol w:w="1565"/>
        <w:gridCol w:w="1375"/>
        <w:gridCol w:w="1379"/>
        <w:gridCol w:w="109"/>
        <w:gridCol w:w="109"/>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President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Deanna H. Lund,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I have reviewed this quarterly report on Form 10-Q of Kratos Defense &amp; Security Solutions, Inc.;</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(a)</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(b)</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(c)</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(d)</w:t>
      </w:r>
      <w:r>
        <w:rPr>
          <w:color w:val="000000"/>
        </w:rPr>
        <w:t>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(a)</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(b)</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November 2, 2023 </w:t>
      </w:r>
    </w:p>
    <w:p>
      <w:pPr>
        <w:pStyle w:val="TextBody"/>
        <w:bidi w:val="0"/>
        <w:spacing w:lineRule="auto" w:line="288" w:before="0" w:after="0"/>
        <w:jc w:val="left"/>
        <w:rPr>
          <w:color w:val="000000"/>
        </w:rPr>
      </w:pPr>
      <w:r>
        <w:rPr>
          <w:color w:val="000000"/>
        </w:rPr>
        <w:t> </w:t>
      </w:r>
    </w:p>
    <w:tbl>
      <w:tblPr>
        <w:tblW w:w="5427" w:type="dxa"/>
        <w:jc w:val="center"/>
        <w:tblInd w:w="0" w:type="dxa"/>
        <w:tblLayout w:type="fixed"/>
        <w:tblCellMar>
          <w:top w:w="28" w:type="dxa"/>
          <w:left w:w="28" w:type="dxa"/>
          <w:bottom w:w="28" w:type="dxa"/>
          <w:right w:w="28" w:type="dxa"/>
        </w:tblCellMar>
      </w:tblPr>
      <w:tblGrid>
        <w:gridCol w:w="1832"/>
        <w:gridCol w:w="1609"/>
        <w:gridCol w:w="1614"/>
        <w:gridCol w:w="109"/>
        <w:gridCol w:w="109"/>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 and Acting Principal Accounting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SECTION 906 OF THE SARBANES-OXLEY ACT OF 2002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In connection with the accompanying Quarterly Report of Kratos Defense &amp; Security Solutions, Inc. (the “Company”) on Form 10-Q for the quarter ended October 1, 2023 (the “Report”), I, Eric M. DeMarco, Chief Executive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as amended; and</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(2)</w:t>
      </w:r>
      <w:r>
        <w:rPr>
          <w:color w:val="000000"/>
        </w:rPr>
        <w:t> </w:t>
      </w:r>
      <w:r>
        <w:rPr>
          <w:rFonts w:ascii="Times New Roman;sans-serif" w:hAnsi="Times New Roman;sans-serif"/>
          <w:b w:val="false"/>
          <w:color w:val="000000"/>
          <w:sz w:val="18"/>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November 2, 2023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p>
      <w:pPr>
        <w:pStyle w:val="TextBody"/>
        <w:bidi w:val="0"/>
        <w:spacing w:lineRule="auto" w:line="288" w:before="0" w:after="0"/>
        <w:jc w:val="center"/>
        <w:rPr>
          <w:color w:val="000000"/>
        </w:rPr>
      </w:pPr>
      <w:r>
        <w:rPr>
          <w:color w:val="000000"/>
        </w:rPr>
        <w:t> </w:t>
      </w:r>
    </w:p>
    <w:tbl>
      <w:tblPr>
        <w:tblW w:w="2877" w:type="dxa"/>
        <w:jc w:val="center"/>
        <w:tblInd w:w="0" w:type="dxa"/>
        <w:tblLayout w:type="fixed"/>
        <w:tblCellMar>
          <w:top w:w="28" w:type="dxa"/>
          <w:left w:w="28" w:type="dxa"/>
          <w:bottom w:w="28" w:type="dxa"/>
          <w:right w:w="28" w:type="dxa"/>
        </w:tblCellMar>
      </w:tblPr>
      <w:tblGrid>
        <w:gridCol w:w="907"/>
        <w:gridCol w:w="798"/>
        <w:gridCol w:w="800"/>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President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SECTION 906 OF THE SARBANES-OXLEY ACT OF 2002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In connection with the accompanying Quarterly Report of Kratos Defense &amp; Security Solutions, Inc. (the “Company”) on Form 10-Q for the quarter ended October 1, 2023 (the “Report”), I, Deanna H. Lund, Chief Financial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as amended; and</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(2)</w:t>
      </w:r>
      <w:r>
        <w:rPr>
          <w:color w:val="000000"/>
        </w:rPr>
        <w:t> </w:t>
      </w:r>
      <w:r>
        <w:rPr>
          <w:rFonts w:ascii="Times New Roman;sans-serif" w:hAnsi="Times New Roman;sans-serif"/>
          <w:b w:val="false"/>
          <w:color w:val="000000"/>
          <w:sz w:val="18"/>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November 2, 2023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p>
      <w:pPr>
        <w:pStyle w:val="TextBody"/>
        <w:bidi w:val="0"/>
        <w:spacing w:lineRule="auto" w:line="288" w:before="0" w:after="0"/>
        <w:jc w:val="center"/>
        <w:rPr>
          <w:color w:val="000000"/>
        </w:rPr>
      </w:pPr>
      <w:r>
        <w:rPr>
          <w:color w:val="000000"/>
        </w:rPr>
        <w:t> </w:t>
      </w:r>
    </w:p>
    <w:tbl>
      <w:tblPr>
        <w:tblW w:w="5426" w:type="dxa"/>
        <w:jc w:val="center"/>
        <w:tblInd w:w="0" w:type="dxa"/>
        <w:tblLayout w:type="fixed"/>
        <w:tblCellMar>
          <w:top w:w="28" w:type="dxa"/>
          <w:left w:w="28" w:type="dxa"/>
          <w:bottom w:w="28" w:type="dxa"/>
          <w:right w:w="28" w:type="dxa"/>
        </w:tblCellMar>
      </w:tblPr>
      <w:tblGrid>
        <w:gridCol w:w="1826"/>
        <w:gridCol w:w="1610"/>
        <w:gridCol w:w="1618"/>
        <w:gridCol w:w="109"/>
        <w:gridCol w:w="109"/>
        <w:gridCol w:w="154"/>
      </w:tblGrid>
      <w:tr>
        <w:trPr/>
        <w:tc>
          <w:tcPr>
            <w:tcW w:w="182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 and Acting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69258/000106925818000021/ktos20180401ex-22.htm" TargetMode="External"/><Relationship Id="rId3" Type="http://schemas.openxmlformats.org/officeDocument/2006/relationships/hyperlink" Target="http://www.sec.gov/Archives/edgar/data/1069258/000106925819000017/exhibit23redacted.htm" TargetMode="External"/><Relationship Id="rId4" Type="http://schemas.openxmlformats.org/officeDocument/2006/relationships/hyperlink" Target="http://www.sec.gov/Archives/edgar/data/1069258/000106925817000009/ktos20161225ex-31.htm" TargetMode="External"/><Relationship Id="rId5" Type="http://schemas.openxmlformats.org/officeDocument/2006/relationships/hyperlink" Target="http://www.sec.gov/Archives/edgar/data/1069258/000106925817000009/ktos20161225ex-32.htm" TargetMode="External"/><Relationship Id="rId6" Type="http://schemas.openxmlformats.org/officeDocument/2006/relationships/hyperlink" Target="http://www.sec.gov/Archives/edgar/data/1069258/000106925817000009/kratoscommonformofcertif.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22760</Words>
  <Characters>124899</Characters>
  <CharactersWithSpaces>146644</CharactersWithSpaces>
  <Paragraphs>2662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