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80" w:hanging="309"/>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30" w:lineRule="exact"/>
        <w:rPr>
          <w:sz w:val="24"/>
          <w:szCs w:val="24"/>
          <w:color w:val="auto"/>
        </w:rPr>
      </w:pPr>
    </w:p>
    <w:p>
      <w:pPr>
        <w:jc w:val="center"/>
        <w:ind w:left="5320" w:right="140" w:hanging="5115"/>
        <w:spacing w:after="0" w:line="320" w:lineRule="auto"/>
        <w:tabs>
          <w:tab w:leader="none" w:pos="538"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33" w:right="29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20"/>
          </w:cols>
          <w:pgMar w:left="240" w:top="233" w:right="29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59" w:lineRule="exact"/>
        <w:rPr>
          <w:sz w:val="24"/>
          <w:szCs w:val="24"/>
          <w:color w:val="auto"/>
        </w:rPr>
      </w:pPr>
    </w:p>
    <w:p>
      <w:pPr>
        <w:sectPr>
          <w:pgSz w:w="11900" w:h="16838" w:orient="portrait"/>
          <w:cols w:equalWidth="0" w:num="2">
            <w:col w:w="6540" w:space="720"/>
            <w:col w:w="4100"/>
          </w:cols>
          <w:pgMar w:left="240" w:top="233"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4820 Eastgate Mall, Suite 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3" w:right="299" w:bottom="1440" w:gutter="0" w:footer="0" w:header="0"/>
          <w:type w:val="continuous"/>
        </w:sectPr>
      </w:pPr>
    </w:p>
    <w:p>
      <w:pPr>
        <w:spacing w:after="0" w:line="309"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500"/>
          </w:cols>
          <w:pgMar w:left="240" w:top="233" w:right="29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40"/>
          </w:cols>
          <w:pgMar w:left="240" w:top="233" w:right="29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60"/>
          </w:cols>
          <w:pgMar w:left="240" w:top="233" w:right="299" w:bottom="1440" w:gutter="0" w:footer="0" w:header="0"/>
          <w:type w:val="continuous"/>
        </w:sectPr>
      </w:pPr>
    </w:p>
    <w:p>
      <w:pPr>
        <w:spacing w:after="0" w:line="243" w:lineRule="exact"/>
        <w:rPr>
          <w:sz w:val="24"/>
          <w:szCs w:val="24"/>
          <w:color w:val="auto"/>
        </w:rPr>
      </w:pPr>
    </w:p>
    <w:p>
      <w:pPr>
        <w:ind w:left="340" w:right="180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3, 2013, 56,668,864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0000FF"/>
            </w:tcBorders>
            <w:gridSpan w:val="6"/>
          </w:tcPr>
          <w:p>
            <w:pPr>
              <w:jc w:val="center"/>
              <w:ind w:right="20"/>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9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Balance Sheets at December 30, 2012 and March 31, 2013 (unaudited)</w:t>
              </w:r>
            </w:hyperlink>
          </w:p>
        </w:tc>
        <w:tc>
          <w:tcPr>
            <w:tcW w:w="29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Condensed Consolidated Statements of Operations and Comprehensive Income (Loss) for the Three Months Ended March 25, 2012 and</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March 31, 2013 (unaudited)</w:t>
              </w:r>
            </w:hyperlink>
          </w:p>
        </w:tc>
        <w:tc>
          <w:tcPr>
            <w:tcW w:w="7780" w:type="dxa"/>
            <w:vAlign w:val="bottom"/>
            <w:tcBorders>
              <w:top w:val="single" w:sz="8" w:color="0000FF"/>
            </w:tcBorders>
            <w:gridSpan w:val="11"/>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Cash Flows for the Three Months Ended March 25, 2012 and March 31, 2013 (unaudited)</w:t>
              </w:r>
            </w:hyperlink>
          </w:p>
        </w:tc>
        <w:tc>
          <w:tcPr>
            <w:tcW w:w="54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990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9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990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52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1.</w:t>
              </w:r>
            </w:hyperlink>
          </w:p>
        </w:tc>
        <w:tc>
          <w:tcPr>
            <w:tcW w:w="990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3.</w:t>
              </w:r>
            </w:hyperlink>
          </w:p>
        </w:tc>
        <w:tc>
          <w:tcPr>
            <w:tcW w:w="990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4.</w:t>
              </w:r>
            </w:hyperlink>
          </w:p>
        </w:tc>
        <w:tc>
          <w:tcPr>
            <w:tcW w:w="9900" w:type="dxa"/>
            <w:vAlign w:val="bottom"/>
            <w:gridSpan w:val="18"/>
          </w:tcPr>
          <w:p>
            <w:pPr>
              <w:spacing w:after="0"/>
              <w:rPr>
                <w:sz w:val="20"/>
                <w:szCs w:val="20"/>
                <w:color w:val="auto"/>
              </w:rPr>
            </w:pPr>
            <w:r>
              <w:rPr>
                <w:rFonts w:ascii="Arial" w:cs="Arial" w:eastAsia="Arial" w:hAnsi="Arial"/>
                <w:sz w:val="18"/>
                <w:szCs w:val="18"/>
                <w:color w:val="auto"/>
              </w:rPr>
              <w:t>Mine Safety Disclosures</w:t>
            </w:r>
          </w:p>
        </w:tc>
        <w:tc>
          <w:tcPr>
            <w:tcW w:w="56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5.</w:t>
              </w:r>
            </w:hyperlink>
          </w:p>
        </w:tc>
        <w:tc>
          <w:tcPr>
            <w:tcW w:w="990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6.</w:t>
              </w:r>
            </w:hyperlink>
          </w:p>
        </w:tc>
        <w:tc>
          <w:tcPr>
            <w:tcW w:w="990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41</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60" w:type="dxa"/>
            <w:vAlign w:val="bottom"/>
            <w:gridSpan w:val="10"/>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98"/>
        </w:trPr>
        <w:tc>
          <w:tcPr>
            <w:tcW w:w="6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gridSpan w:val="2"/>
          </w:tcPr>
          <w:p>
            <w:pPr>
              <w:ind w:left="340"/>
              <w:spacing w:after="0"/>
              <w:rPr>
                <w:sz w:val="20"/>
                <w:szCs w:val="20"/>
                <w:color w:val="auto"/>
              </w:rPr>
            </w:pPr>
            <w:r>
              <w:rPr>
                <w:rFonts w:ascii="Arial" w:cs="Arial" w:eastAsia="Arial" w:hAnsi="Arial"/>
                <w:sz w:val="16"/>
                <w:szCs w:val="16"/>
                <w:b w:val="1"/>
                <w:bCs w:val="1"/>
                <w:color w:val="auto"/>
              </w:rPr>
              <w:t>December 30, 2012</w:t>
            </w:r>
          </w:p>
        </w:tc>
        <w:tc>
          <w:tcPr>
            <w:tcW w:w="320" w:type="dxa"/>
            <w:vAlign w:val="bottom"/>
          </w:tcPr>
          <w:p>
            <w:pPr>
              <w:spacing w:after="0"/>
              <w:rPr>
                <w:sz w:val="24"/>
                <w:szCs w:val="24"/>
                <w:color w:val="auto"/>
              </w:rPr>
            </w:pPr>
          </w:p>
        </w:tc>
        <w:tc>
          <w:tcPr>
            <w:tcW w:w="1940" w:type="dxa"/>
            <w:vAlign w:val="bottom"/>
          </w:tcPr>
          <w:p>
            <w:pPr>
              <w:jc w:val="right"/>
              <w:ind w:right="579"/>
              <w:spacing w:after="0"/>
              <w:rPr>
                <w:sz w:val="20"/>
                <w:szCs w:val="20"/>
                <w:color w:val="auto"/>
              </w:rPr>
            </w:pPr>
            <w:r>
              <w:rPr>
                <w:rFonts w:ascii="Arial" w:cs="Arial" w:eastAsia="Arial" w:hAnsi="Arial"/>
                <w:sz w:val="16"/>
                <w:szCs w:val="16"/>
                <w:b w:val="1"/>
                <w:bCs w:val="1"/>
                <w:color w:val="auto"/>
              </w:rPr>
              <w:t>March 31, 2013</w:t>
            </w:r>
          </w:p>
        </w:tc>
      </w:tr>
      <w:tr>
        <w:trPr>
          <w:trHeight w:val="33"/>
        </w:trPr>
        <w:tc>
          <w:tcPr>
            <w:tcW w:w="67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5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94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54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5.3</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281.8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54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88.2</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54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10.2</w:t>
            </w:r>
          </w:p>
        </w:tc>
      </w:tr>
      <w:tr>
        <w:trPr>
          <w:trHeight w:val="33"/>
        </w:trPr>
        <w:tc>
          <w:tcPr>
            <w:tcW w:w="67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455.1</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54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84.0</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596.4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54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96.8</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38.3</w:t>
            </w:r>
          </w:p>
        </w:tc>
      </w:tr>
      <w:tr>
        <w:trPr>
          <w:trHeight w:val="29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5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1,283.9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1,270.6</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5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71.6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54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41.7</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43.4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54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21.7</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48.4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54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29.0</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19.8</w:t>
            </w: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275.6</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629.5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debt premium</w:t>
            </w:r>
          </w:p>
        </w:tc>
        <w:tc>
          <w:tcPr>
            <w:tcW w:w="54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17.7</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32.2</w:t>
            </w: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955.0</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December</w:t>
            </w: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30, 2012 and March 31, 2013</w:t>
            </w:r>
          </w:p>
        </w:tc>
        <w:tc>
          <w:tcPr>
            <w:tcW w:w="54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20"/>
        </w:trPr>
        <w:tc>
          <w:tcPr>
            <w:tcW w:w="6740" w:type="dxa"/>
            <w:vAlign w:val="bottom"/>
          </w:tcPr>
          <w:p>
            <w:pPr>
              <w:ind w:left="180"/>
              <w:spacing w:after="0"/>
              <w:rPr>
                <w:sz w:val="20"/>
                <w:szCs w:val="20"/>
                <w:color w:val="auto"/>
              </w:rPr>
            </w:pPr>
            <w:r>
              <w:rPr>
                <w:rFonts w:ascii="Arial" w:cs="Arial" w:eastAsia="Arial" w:hAnsi="Arial"/>
                <w:sz w:val="16"/>
                <w:szCs w:val="16"/>
                <w:color w:val="auto"/>
                <w:w w:val="90"/>
              </w:rPr>
              <w:t>Common stock, $0.001 par value, 195,000,000 shares authorized; 56,613,024 and 56,654,577 shares</w:t>
            </w: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06"/>
        </w:trPr>
        <w:tc>
          <w:tcPr>
            <w:tcW w:w="6740" w:type="dxa"/>
            <w:vAlign w:val="bottom"/>
          </w:tcPr>
          <w:p>
            <w:pPr>
              <w:ind w:left="180"/>
              <w:spacing w:after="0"/>
              <w:rPr>
                <w:sz w:val="20"/>
                <w:szCs w:val="20"/>
                <w:color w:val="auto"/>
              </w:rPr>
            </w:pPr>
            <w:r>
              <w:rPr>
                <w:rFonts w:ascii="Arial" w:cs="Arial" w:eastAsia="Arial" w:hAnsi="Arial"/>
                <w:sz w:val="16"/>
                <w:szCs w:val="16"/>
                <w:color w:val="auto"/>
              </w:rPr>
              <w:t>issued and outstanding at December 30, 2012 and March 31, 2013, respectively</w:t>
            </w:r>
          </w:p>
        </w:tc>
        <w:tc>
          <w:tcPr>
            <w:tcW w:w="540" w:type="dxa"/>
            <w:vAlign w:val="bottom"/>
          </w:tcPr>
          <w:p>
            <w:pPr>
              <w:spacing w:after="0"/>
              <w:rPr>
                <w:sz w:val="17"/>
                <w:szCs w:val="17"/>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9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5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848.8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5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(0.7)</w:t>
            </w:r>
          </w:p>
        </w:tc>
      </w:tr>
      <w:tr>
        <w:trPr>
          <w:trHeight w:val="33"/>
        </w:trPr>
        <w:tc>
          <w:tcPr>
            <w:tcW w:w="6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(532.5)</w:t>
            </w: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5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315.6</w:t>
            </w:r>
          </w:p>
        </w:tc>
      </w:tr>
      <w:tr>
        <w:trPr>
          <w:trHeight w:val="33"/>
        </w:trPr>
        <w:tc>
          <w:tcPr>
            <w:tcW w:w="67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1,270.6</w:t>
            </w:r>
          </w:p>
        </w:tc>
      </w:tr>
      <w:tr>
        <w:trPr>
          <w:trHeight w:val="20"/>
        </w:trPr>
        <w:tc>
          <w:tcPr>
            <w:tcW w:w="6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40" w:type="dxa"/>
            <w:vAlign w:val="bottom"/>
            <w:gridSpan w:val="2"/>
          </w:tcPr>
          <w:p>
            <w:pPr>
              <w:ind w:left="440"/>
              <w:spacing w:after="0"/>
              <w:rPr>
                <w:sz w:val="20"/>
                <w:szCs w:val="20"/>
                <w:color w:val="auto"/>
              </w:rPr>
            </w:pPr>
            <w:r>
              <w:rPr>
                <w:rFonts w:ascii="Arial" w:cs="Arial" w:eastAsia="Arial" w:hAnsi="Arial"/>
                <w:sz w:val="16"/>
                <w:szCs w:val="16"/>
                <w:b w:val="1"/>
                <w:bCs w:val="1"/>
                <w:color w:val="auto"/>
              </w:rPr>
              <w:t>March 25, 2012</w:t>
            </w:r>
          </w:p>
        </w:tc>
        <w:tc>
          <w:tcPr>
            <w:tcW w:w="82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2013</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5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88.2</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86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5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151.7</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187.1</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44.2</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 and acquisition expenses</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5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income from continuing operations</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5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expense, net</w:t>
            </w:r>
          </w:p>
        </w:tc>
        <w:tc>
          <w:tcPr>
            <w:tcW w:w="5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5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 from continuing operations</w:t>
            </w:r>
          </w:p>
        </w:tc>
        <w:tc>
          <w:tcPr>
            <w:tcW w:w="5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6860" w:type="dxa"/>
            <w:vAlign w:val="bottom"/>
          </w:tcPr>
          <w:p>
            <w:pPr>
              <w:ind w:left="40"/>
              <w:spacing w:after="0"/>
              <w:rPr>
                <w:sz w:val="20"/>
                <w:szCs w:val="20"/>
                <w:color w:val="auto"/>
              </w:rPr>
            </w:pPr>
            <w:r>
              <w:rPr>
                <w:rFonts w:ascii="Arial" w:cs="Arial" w:eastAsia="Arial" w:hAnsi="Arial"/>
                <w:sz w:val="16"/>
                <w:szCs w:val="16"/>
                <w:color w:val="auto"/>
              </w:rPr>
              <w:t>Loss from continuing operations</w:t>
            </w:r>
          </w:p>
        </w:tc>
        <w:tc>
          <w:tcPr>
            <w:tcW w:w="5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w:t>
            </w:r>
          </w:p>
        </w:tc>
        <w:tc>
          <w:tcPr>
            <w:tcW w:w="5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loss</w:t>
            </w: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Basic income (loss) per common share:</w:t>
            </w:r>
          </w:p>
        </w:tc>
        <w:tc>
          <w:tcPr>
            <w:tcW w:w="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continuing operations</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Net loss from discontinued operations</w:t>
            </w:r>
          </w:p>
        </w:tc>
        <w:tc>
          <w:tcPr>
            <w:tcW w:w="5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 per common share</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6"/>
                <w:szCs w:val="16"/>
                <w:color w:val="auto"/>
              </w:rPr>
              <w:t>Diluted income (loss) per common share:</w:t>
            </w: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continuing operations</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Net loss from discontinued operations</w:t>
            </w:r>
          </w:p>
        </w:tc>
        <w:tc>
          <w:tcPr>
            <w:tcW w:w="5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 per common share</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Diluted</w:t>
            </w:r>
          </w:p>
        </w:tc>
        <w:tc>
          <w:tcPr>
            <w:tcW w:w="5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6"/>
                <w:szCs w:val="16"/>
                <w:color w:val="auto"/>
              </w:rPr>
              <w:t>Net loss from above</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260"/>
              <w:spacing w:after="0"/>
              <w:rPr>
                <w:sz w:val="20"/>
                <w:szCs w:val="20"/>
                <w:color w:val="auto"/>
              </w:rPr>
            </w:pPr>
            <w:r>
              <w:rPr>
                <w:rFonts w:ascii="Arial" w:cs="Arial" w:eastAsia="Arial" w:hAnsi="Arial"/>
                <w:sz w:val="16"/>
                <w:szCs w:val="16"/>
                <w:color w:val="auto"/>
              </w:rPr>
              <w:t>Change in cumulative translation adjustment</w:t>
            </w:r>
          </w:p>
        </w:tc>
        <w:tc>
          <w:tcPr>
            <w:tcW w:w="56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net of tax</w:t>
            </w:r>
          </w:p>
        </w:tc>
        <w:tc>
          <w:tcPr>
            <w:tcW w:w="5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March 25, 2012</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March 31, 2013</w:t>
            </w: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700" w:type="dxa"/>
            <w:vAlign w:val="bottom"/>
            <w:gridSpan w:val="2"/>
          </w:tcPr>
          <w:p>
            <w:pPr>
              <w:jc w:val="right"/>
              <w:ind w:right="138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Adjustments to reconcile loss from continuing operations to net cash provided by operating activities</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from continuing operations:</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premium on Senior Secured Notes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compensation</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interest payable</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Income tax receivable and payable</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auto"/>
            </w:tcBorders>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 from continuing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700" w:type="dxa"/>
            <w:vAlign w:val="bottom"/>
            <w:tcBorders>
              <w:bottom w:val="single" w:sz="8" w:color="auto"/>
            </w:tcBorders>
            <w:gridSpan w:val="2"/>
            <w:shd w:val="clear" w:color="auto" w:fill="CCEEFF"/>
          </w:tcPr>
          <w:p>
            <w:pPr>
              <w:jc w:val="right"/>
              <w:ind w:right="1388"/>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information as of March 31, 2013 and for the three months ended March 25, 2012 and March 31, 2013 is unaudited. The condensed consolidated balance sheet as of December 30, 2012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30, 2012, included in the Company’s Annual Report on Form 10-K filed with the U.S. Securities and Exchange Commission ("SEC") on March 12, 2013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calendar year, with interim fiscal periods ending on the last Sunday of each calendar quarter. The three months ended March 25, 2012 and March 31, 2013 consisted of 13-week periods. There were 53 calendar weeks in the fiscal year ended December 30, 2012 and there are 52 calendar weeks in the fiscal year ending on December 29, 2013.</w:t>
      </w:r>
    </w:p>
    <w:p>
      <w:pPr>
        <w:spacing w:after="0" w:line="16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 reclassification was made to the March 25, 2012 condensed consolidated statement of cash flows to present the change in accrued interest of approximately $15.6 million as a discrete line item which has previously been reported in accrued expenses. In addition, a reclassification was made to the March 25, 2012 condensed consolidated statement of operations and comprehensive income (loss) to reclassify approximately $0.4 million of commission expense out of cost of product sales to selling, general and administrative expenses to conform with the March 31, 2013 classification of these expenses.</w:t>
      </w:r>
    </w:p>
    <w:p>
      <w:pPr>
        <w:spacing w:after="0" w:line="15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Accounting Standards Updates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February 2013, the Financial Accounting Standards Board ("FASB") issued "Comprehensive Income: Reporting of Amounts Reclassified Out of Accumulated Other Comprehensive Income," which requires entities to provide information about the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standard is effective prospectively for reporting periods beginning after December 15, 2012. The Company adopted this standard in the quarter ended March 31, 2013, which did not have a material impact on its consolidated financial statements.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2011 and February 2013, the FASB issued an amendment to the Balance Sheet topic of the Accounting Standards Codification ("ASC"), which requires entities to disclose both gross and net information about both derivatives and transactions eligible for offset in the statement of financial position and instruments and transactions subject to an agreement similar to a master netting agreement. The objective of the disclosure is to facilitate comparison between those entities that prepare their financial statements on the basis of GAAP and those entities that prepare their financial statements on the basis of International Financial Reporting Standards. This standard is effective for fiscal years, and interim periods within those years, beginning on or after January 1, 2013. Retrospective presentation for all comparative periods presented is required. Accordingly, the Company will adopt this amendment in the first quarter of fiscal year 2014. The Company does not believe that the adoption of this guidance will have a material impact on its consolidated financial statements.</w:t>
      </w:r>
    </w:p>
    <w:p>
      <w:pPr>
        <w:spacing w:after="0" w:line="233"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Other than as noted above, there have been no changes in the Company's significant accounting policies for the three months ended March 31, 2013 as compared to the significant accounting policies described in the Form 10-K.</w:t>
      </w:r>
    </w:p>
    <w:p>
      <w:pPr>
        <w:spacing w:after="0" w:line="27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11 for a discussion of the Company’s significant customers.</w:t>
      </w:r>
    </w:p>
    <w:p>
      <w:pPr>
        <w:spacing w:after="0" w:line="18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Company has 10% Senior Secured Notes due 2017 ("the Notes") with an aggregate principal amount of $625.0 million outstanding as of March 31, 2013. The Notes are due on June 1, 2017, and the Company pays interest at the rate of 10% per annum semi-annually, in arrears, on June 1 and December 1 of each year. In addition, the Company has $91.7 million available under its existing revolving credit agreement. See Note 9 for a complete description of the Company’s debt.</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intends to fund its cash requirements with cash on hand, cash flows from operating activities and borrowings under its existing revolving credit facility.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external to the Company's control. If the conditions in its industry deteriorate, its customers cancel or postpone projects, its customers experience significant cost constraints as a result of federal budget cuts or sequestration or if the Company is unable to sufficiently increase its revenues or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5" w:lineRule="exact"/>
        <w:rPr>
          <w:sz w:val="20"/>
          <w:szCs w:val="20"/>
          <w:color w:val="auto"/>
        </w:rPr>
      </w:pPr>
    </w:p>
    <w:p>
      <w:pPr>
        <w:ind w:left="580" w:right="8500" w:hanging="572"/>
        <w:spacing w:after="0" w:line="566" w:lineRule="auto"/>
        <w:tabs>
          <w:tab w:leader="none" w:pos="40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Recent Acquisitions </w:t>
      </w:r>
      <w:r>
        <w:rPr>
          <w:rFonts w:ascii="Arial" w:cs="Arial" w:eastAsia="Arial" w:hAnsi="Arial"/>
          <w:sz w:val="16"/>
          <w:szCs w:val="16"/>
          <w:i w:val="1"/>
          <w:iCs w:val="1"/>
          <w:color w:val="auto"/>
        </w:rPr>
        <w:t>Composite Engineering, Inc.</w:t>
      </w:r>
    </w:p>
    <w:p>
      <w:pPr>
        <w:spacing w:after="0" w:line="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July 2, 2012, the Company completed the acquisition of Composite Engineering, Inc. (“CEI”) for approximately $164.0 million. The purchase price including an adjustment for working capital and cash to be paid to the CEI shareholders for the 338(h)(10) election includes $135.0 million in cash and 4.0 million shares of the Company's common stock, valued at $5.94 per share on July 2, 2012, or $23.8 million. $10.7 million of the cash paid was placed into an escrow account as security for CEI's indemnification obligations as set forth in the CEI purchase agreement and will be reduced by $1.0 million to pay the working capital adjustment owed to the Company in July 2013. In addition, $2.5 million was paid to retire certain pre-existing CEI debt and settle pre-existing accounts receivable from CEI at its carrying and fair value of $3.0 million. The Company made an election under Section 338(h)(10) of the Internal Revenue Code, which resulted in tax deductible goodwill related to this transaction, and will pay an estimated $1.6 million in additional tax liability incurred by the shareholders of CEI for this election. The Company estimates that the tax deductible goodwill and intangibles, which is subject to change based upon the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final fair value of assets acquired and liabilities assumed, will be approximately $140.6 million and can be deducted for federal and California state income taxes over a 15-year period.</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connection with the completion of the CEI transaction, certain CEI personnel entered into long-term employment agreements with the Company. On July 2, 2012, the Company granted restricted stock units ("RSUs") for an aggregate 2.0 million shares of common stock as long-term retention inducement grants to certain employees of CEI who joined Kratos. The RSUs had an estimated value of $11.9 million on the grant date, vest on the fourth anniversary of the closing of the CEI acquisition, or earlier upon the occurrence of certain events, and are being accounted for as compensation expense over such four-year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CEI, on May 14, 2012, the Company sold approximately 20.0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per share in an underwritten public offering. The Company received gross proceeds of approximately $100.0 million and net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$97.0 million after deducting underwriting fees and other offering expenses. The Company used the net proceeds from this offering to fund a portion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price for the acquisition of CEI. In addition, the Company used borrowings of $40.0 million from its revolving line of credit to fund the purchase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price of CEI.</w:t>
      </w:r>
    </w:p>
    <w:p>
      <w:pPr>
        <w:spacing w:after="0" w:line="211"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agencies and foreign governments. CEI is a part of the Kratos Government Solutions ("KGS") segment.</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design, engineering, development, manufacturing and production of unmanned aerial targets, and will also enable the Company to realize significant cross selling opportunities.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preliminary estimated fair values of the major assets acquired and liabilities assumed (in millions):</w:t>
      </w:r>
    </w:p>
    <w:p>
      <w:pPr>
        <w:spacing w:after="0" w:line="115" w:lineRule="exact"/>
        <w:rPr>
          <w:sz w:val="20"/>
          <w:szCs w:val="20"/>
          <w:color w:val="auto"/>
        </w:rPr>
      </w:pPr>
    </w:p>
    <w:tbl>
      <w:tblPr>
        <w:tblLayout w:type="fixed"/>
        <w:tblInd w:w="2820" w:type="dxa"/>
        <w:tblCellMar>
          <w:top w:w="0" w:type="dxa"/>
          <w:left w:w="0" w:type="dxa"/>
          <w:bottom w:w="0" w:type="dxa"/>
          <w:right w:w="0" w:type="dxa"/>
        </w:tblCellMar>
      </w:tblP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37"/>
        </w:trPr>
        <w:tc>
          <w:tcPr>
            <w:tcW w:w="43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57"/>
        </w:trPr>
        <w:tc>
          <w:tcPr>
            <w:tcW w:w="4380" w:type="dxa"/>
            <w:vAlign w:val="bottom"/>
          </w:tcPr>
          <w:p>
            <w:pPr>
              <w:ind w:left="12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164.0</w:t>
            </w:r>
          </w:p>
        </w:tc>
      </w:tr>
      <w:tr>
        <w:trPr>
          <w:trHeight w:val="20"/>
        </w:trPr>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July 2, 2012, the expected fair value of accounts receivable approximated historical cost. The gross accounts receivable was $9.3 million, all of which is expected to be collectible. There was no contingent purchase consideration associated with the acquisition of CEI.</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amounts of revenue and operating loss of CEI included in the Company's condensed consolidated statement of operations and comprehensive income (loss) for the three months ended March 31, 2013 are $25.9 million and $3.2 million,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Purchase</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On December 30, 2011, the Company acquired selected assets of a critical infrastructure security and public safety system integration business (the “Critical Infrastructure Business”) for approximately $18.8 million, which includes a final agreement on the working capital adjustment.</w:t>
      </w:r>
    </w:p>
    <w:p>
      <w:pPr>
        <w:spacing w:after="0" w:line="14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 The Critical Infrastructure Business is part of the Company's Public Safety &amp; Security (“PSS”) segment.</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estimated fair values of the major assets acquired and liabilities assumed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210185</wp:posOffset>
            </wp:positionV>
            <wp:extent cx="366204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343"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Accounts receivable</w:t>
      </w:r>
    </w:p>
    <w:p>
      <w:pPr>
        <w:spacing w:after="0" w:line="7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62045" cy="171450"/>
                    </a:xfrm>
                    <a:prstGeom prst="rect">
                      <a:avLst/>
                    </a:prstGeom>
                    <a:noFill/>
                  </pic:spPr>
                </pic:pic>
              </a:graphicData>
            </a:graphic>
          </wp:anchor>
        </w:drawing>
      </w:r>
    </w:p>
    <w:p>
      <w:pPr>
        <w:spacing w:after="0" w:line="4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Intangible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62045" cy="180340"/>
                    </a:xfrm>
                    <a:prstGeom prst="rect">
                      <a:avLst/>
                    </a:prstGeom>
                    <a:noFill/>
                  </pic:spPr>
                </pic:pic>
              </a:graphicData>
            </a:graphic>
          </wp:anchor>
        </w:drawing>
      </w:r>
    </w:p>
    <w:p>
      <w:pPr>
        <w:spacing w:after="0" w:line="5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31750</wp:posOffset>
            </wp:positionV>
            <wp:extent cx="366204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62045" cy="188595"/>
                    </a:xfrm>
                    <a:prstGeom prst="rect">
                      <a:avLst/>
                    </a:prstGeom>
                    <a:noFill/>
                  </pic:spPr>
                </pic:pic>
              </a:graphicData>
            </a:graphic>
          </wp:anchor>
        </w:drawing>
      </w:r>
    </w:p>
    <w:p>
      <w:pPr>
        <w:spacing w:after="0" w:line="70" w:lineRule="exact"/>
        <w:rPr>
          <w:sz w:val="20"/>
          <w:szCs w:val="20"/>
          <w:color w:val="auto"/>
        </w:rPr>
      </w:pPr>
    </w:p>
    <w:p>
      <w:pPr>
        <w:jc w:val="center"/>
        <w:ind w:left="960"/>
        <w:spacing w:after="0"/>
        <w:rPr>
          <w:sz w:val="20"/>
          <w:szCs w:val="20"/>
          <w:color w:val="auto"/>
        </w:rPr>
      </w:pPr>
      <w:r>
        <w:rPr>
          <w:rFonts w:ascii="Arial" w:cs="Arial" w:eastAsia="Arial" w:hAnsi="Arial"/>
          <w:sz w:val="15"/>
          <w:szCs w:val="15"/>
          <w:color w:val="auto"/>
        </w:rPr>
        <w:t>Net assets acquired</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960" w:hanging="960"/>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23.4</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6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28.5</w:t>
      </w:r>
    </w:p>
    <w:p>
      <w:pPr>
        <w:spacing w:after="0" w:line="63" w:lineRule="exact"/>
        <w:rPr>
          <w:sz w:val="20"/>
          <w:szCs w:val="20"/>
          <w:color w:val="auto"/>
        </w:rPr>
      </w:pPr>
    </w:p>
    <w:p>
      <w:pPr>
        <w:jc w:val="right"/>
        <w:ind w:right="2840"/>
        <w:spacing w:after="0"/>
        <w:rPr>
          <w:sz w:val="20"/>
          <w:szCs w:val="20"/>
          <w:color w:val="auto"/>
        </w:rPr>
      </w:pPr>
      <w:r>
        <w:rPr>
          <w:rFonts w:ascii="Arial" w:cs="Arial" w:eastAsia="Arial" w:hAnsi="Arial"/>
          <w:sz w:val="18"/>
          <w:szCs w:val="18"/>
          <w:color w:val="auto"/>
        </w:rPr>
        <w:t>(9.7)</w:t>
      </w:r>
    </w:p>
    <w:p>
      <w:pPr>
        <w:spacing w:after="0" w:line="77" w:lineRule="exact"/>
        <w:rPr>
          <w:sz w:val="20"/>
          <w:szCs w:val="20"/>
          <w:color w:val="auto"/>
        </w:rPr>
      </w:pPr>
    </w:p>
    <w:p>
      <w:pPr>
        <w:ind w:left="960" w:hanging="96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892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180"/>
          </w:cols>
          <w:pgMar w:left="240" w:top="125" w:right="259" w:bottom="1440" w:gutter="0" w:footer="0" w:header="0"/>
          <w:type w:val="continuous"/>
        </w:sectPr>
      </w:pP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30, 2011, the expected fair value of accounts receivable approximated historical cost. The gross accounts receivable was $24.4 million, of which approximately $1.0 million is not expected to be collectible.</w:t>
      </w:r>
    </w:p>
    <w:p>
      <w:pPr>
        <w:spacing w:after="0" w:line="170"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Due to the integration of the Critical Infrastructure Business with the Company's existing PSS business it is impractical to estimate the amounts of revenue and operating income (loss) included in the Company's condensed consolidated statement of operations and comprehensive income (loss).</w:t>
      </w:r>
    </w:p>
    <w:p>
      <w:pPr>
        <w:spacing w:after="0" w:line="12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In accordance with FASB Accounting Standards Codification ("ASC") </w:t>
      </w:r>
      <w:r>
        <w:rPr>
          <w:rFonts w:ascii="Arial" w:cs="Arial" w:eastAsia="Arial" w:hAnsi="Arial"/>
          <w:sz w:val="16"/>
          <w:szCs w:val="16"/>
          <w:i w:val="1"/>
          <w:iCs w:val="1"/>
          <w:color w:val="auto"/>
        </w:rPr>
        <w:t>Topic 805, Business Combinations</w:t>
      </w:r>
      <w:r>
        <w:rPr>
          <w:rFonts w:ascii="Arial" w:cs="Arial" w:eastAsia="Arial" w:hAnsi="Arial"/>
          <w:sz w:val="16"/>
          <w:szCs w:val="16"/>
          <w:color w:val="auto"/>
        </w:rPr>
        <w:t xml:space="preserve"> (“Topic 805”), the allocation of the purchase price for the Company’s acquisition of CEI is subject to adjustment during the measurement period after the respective closing dates when additional information on asset and liability valuations becomes available. The above estimated fair values of assets acquired and liabilities assumed of CEI are provisional and are based on the information that was available as of the acquisition date to estimate the fair value of assets acquired and liabilities assumed. Measurement period adjustments reflect new information obtained about facts and circumstances that existed as of the acquisition date. The Company believes that such information provides a reasonable basis for estimating the fair values of assets acquired and liabilities assumed, but the Company is waiting for additional information necessary to finalize those fair values. The Company has not finalized its valuation of certain assets and liabilities recorded in connection with this transaction, including contingent liabilities and deferred taxes. Thus, the provisional measurements recorded are subject to change. Any changes will be recorded as adjustments to the fair value of those assets and liabilities, and residual amounts will be allocated to goodwill. The final valuation adjustments may also require adjustment to the condensed consolidated statements of operations and comprehensive income (loss).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following tables summarize the supplemental condensed consolidated statements of operations information on an unaudited pro forma basis as if the acquisition of CEI occurred on December 26, 2011 and include adjustments that were directly attributable to the transaction or were not expected to have a continuing impact on the Company. The acquisition of CEI is included in the results of operations for the three months ended March 31, 2013. There are no material, nonrecurring pro forma adjustments directly attributable to the business combination included in the reported pro forma revenue and earnings for 2012.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 (all amounts except per share amounts are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b w:val="1"/>
                <w:bCs w:val="1"/>
                <w:color w:val="auto"/>
              </w:rPr>
              <w:t>For the Three Months</w:t>
            </w:r>
          </w:p>
        </w:tc>
      </w:tr>
      <w:tr>
        <w:trPr>
          <w:trHeight w:val="149"/>
        </w:trPr>
        <w:tc>
          <w:tcPr>
            <w:tcW w:w="7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Ended March 25,</w:t>
            </w:r>
          </w:p>
        </w:tc>
      </w:t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 forma net loss before tax</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loss attributable to the registrant</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pro forma loss per share</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1"/>
                <w:szCs w:val="21"/>
                <w:color w:val="auto"/>
              </w:rPr>
            </w:pPr>
          </w:p>
        </w:tc>
      </w:tr>
      <w:tr>
        <w:trPr>
          <w:trHeight w:val="27"/>
        </w:trPr>
        <w:tc>
          <w:tcPr>
            <w:tcW w:w="7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pro forma financial information reflects acquisition related expenses incurred, pro forma adjustments for the additional amortization associated with finite-lived intangible assets acquired, additional incremental interest expense, stock compensation related to the RSUs granted in the CEI transaction, and the related tax expense.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adjustments are as follows (in millions):</w:t>
      </w:r>
    </w:p>
    <w:p>
      <w:pPr>
        <w:spacing w:after="0" w:line="200" w:lineRule="exact"/>
        <w:rPr>
          <w:sz w:val="20"/>
          <w:szCs w:val="20"/>
          <w:color w:val="auto"/>
        </w:rPr>
      </w:pPr>
    </w:p>
    <w:p>
      <w:pPr>
        <w:spacing w:after="0" w:line="383"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Three</w:t>
            </w:r>
          </w:p>
        </w:tc>
      </w:tr>
      <w:tr>
        <w:trPr>
          <w:trHeight w:val="149"/>
        </w:trPr>
        <w:tc>
          <w:tcPr>
            <w:tcW w:w="7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Months Ended</w:t>
            </w:r>
          </w:p>
        </w:tc>
      </w:tr>
      <w:tr>
        <w:trPr>
          <w:trHeight w:val="192"/>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25, 2012</w:t>
            </w:r>
          </w:p>
        </w:tc>
      </w:tr>
      <w:tr>
        <w:trPr>
          <w:trHeight w:val="250"/>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Net change in stock compensation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Increase in weighted average common shares outstanding for shares issued and not already included in the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0"/>
                <w:szCs w:val="20"/>
                <w:color w:val="auto"/>
              </w:rPr>
            </w:pPr>
          </w:p>
        </w:tc>
      </w:tr>
      <w:tr>
        <w:trPr>
          <w:trHeight w:val="27"/>
        </w:trPr>
        <w:tc>
          <w:tcPr>
            <w:tcW w:w="7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 xml:space="preserve">In connection with certain acquisitions, the Company has agreed to make additional future payments to the seller contingent upon achievement of specific performance-based milestones by the acquired entities. Pursuant to the provisions of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the Company will re-measure these liabilities each reporting period and record changes in the fair value in its condensed consolidated statement of operations and comprehensive income (loss). Increases or decreases in the fair value of the contingent consideration liability, which is measured as the present value of expected future cash flows, a Level 3 measurement in the fair value hierarchy (Level 3 hierarchy as defined by </w:t>
      </w:r>
      <w:r>
        <w:rPr>
          <w:rFonts w:ascii="Arial" w:cs="Arial" w:eastAsia="Arial" w:hAnsi="Arial"/>
          <w:sz w:val="16"/>
          <w:szCs w:val="16"/>
          <w:i w:val="1"/>
          <w:iCs w:val="1"/>
          <w:color w:val="auto"/>
        </w:rPr>
        <w:t>ASC Topic 820, Fair Value Measurements and Disclosures (“Topic 820”</w:t>
      </w:r>
      <w:r>
        <w:rPr>
          <w:rFonts w:ascii="Arial" w:cs="Arial" w:eastAsia="Arial" w:hAnsi="Arial"/>
          <w:sz w:val="16"/>
          <w:szCs w:val="16"/>
          <w:color w:val="auto"/>
        </w:rPr>
        <w:t>)), can result from changes in discount periods and rates, as well as changes in the estimates on the achievement of the performance-based milestones.</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Contingent acquisition consideration as of March 31, 2013, which is related to the DEI Services Corporation ("DEI") acquisition, is summarized in the following table (in millions):</w:t>
      </w:r>
    </w:p>
    <w:p>
      <w:pPr>
        <w:spacing w:after="0" w:line="320" w:lineRule="exact"/>
        <w:rPr>
          <w:sz w:val="20"/>
          <w:szCs w:val="20"/>
          <w:color w:val="auto"/>
        </w:rPr>
      </w:pPr>
    </w:p>
    <w:tbl>
      <w:tblPr>
        <w:tblLayout w:type="fixed"/>
        <w:tblInd w:w="2620" w:type="dxa"/>
        <w:tblCellMar>
          <w:top w:w="0" w:type="dxa"/>
          <w:left w:w="0" w:type="dxa"/>
          <w:bottom w:w="0" w:type="dxa"/>
          <w:right w:w="0" w:type="dxa"/>
        </w:tblCellMar>
      </w:tblP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30, 2012</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Cash payments and adjustments</w:t>
            </w:r>
          </w:p>
        </w:tc>
        <w:tc>
          <w:tcPr>
            <w:tcW w:w="5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2013</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March 31, 2013, the $2.1 million of contingent acquisition consideration is reflected in other current liabilities in the condensed consolidated balance sheet.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the Company will be obligated to pay certain additional contingent consideration (the “DEI Contingent Consideration”). The Company has paid $2.9 million related to the DEI Contingent Consideration, of which $2.5 million was paid in April 2012. As of March 31, 2013, the undiscounted amount of future DEI Contingent Consideration that is payable by the Company under the DEI Agreement is $2.1 million, which was paid in April of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ASC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as of the last day of each fiscal year or when evidence of potential impairment exists.</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KGS and PSS operating segments.</w:t>
      </w:r>
    </w:p>
    <w:p>
      <w:pPr>
        <w:spacing w:after="0" w:line="15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a Level 3 measurement. If the book value exceeds the estimated fair value for a reporting unit a potential impairment is indicated, and </w:t>
      </w:r>
      <w:r>
        <w:rPr>
          <w:rFonts w:ascii="Arial" w:cs="Arial" w:eastAsia="Arial" w:hAnsi="Arial"/>
          <w:sz w:val="17"/>
          <w:szCs w:val="17"/>
          <w:i w:val="1"/>
          <w:iCs w:val="1"/>
          <w:color w:val="auto"/>
        </w:rPr>
        <w:t>Topic 350</w:t>
      </w:r>
      <w:r>
        <w:rPr>
          <w:rFonts w:ascii="Arial" w:cs="Arial" w:eastAsia="Arial" w:hAnsi="Arial"/>
          <w:sz w:val="17"/>
          <w:szCs w:val="17"/>
          <w:color w:val="auto"/>
        </w:rPr>
        <w:t xml:space="preserve"> prescribes the approach for determining the impairment amount, if any.</w:t>
      </w:r>
    </w:p>
    <w:p>
      <w:pPr>
        <w:spacing w:after="0" w:line="17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as a result of the Company's decision in June 2012 to dispose of certain non-core businesses acquired in the Integral acquisition, the Company allocated $1.5 million of goodwill to discontinued operations, which resulted in an impairment charge (see Note 8). The Company then tested the goodwill remaining in the KGS reporting unit. The fair value of the KGS reporting unit exceeded its carrying value by 7.4% at that time.</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fourth quarter of 2012, the KGS reporting unit was impacted by continued declining market valuations and the economic uncertainty in the U.S. defense industry. At that time, Congress had been unable to agree on a budget that conformed with the Budget Control Act of 2011 requirements, which required additional substantial defense spending reductions through sequestration. Additionally, Congress and the President failed to agree on budgetary, tax and spending issues, and as a result a FY 2013 budget was not passed and a six-month continuing resolution that funded the U.S. Government through March 27, 2013 was passed. As of December 2012, these events significantly increased the likelihood of the sequester occurring, which has negative consequences for the defense industry. In addition, as Congress and the Administration could not come to an agreement on terms of a possible national fiscal approach, they also failed to address other fiscal matters such as the debt ceiling, which is currently expected to be reached during the first half of 2013. These events negatively impacted the Company's estimate of the fair value of the KGS reporting unit, resulting in the book value of KGS exceeding its fair value in step one of the impairment test in the fourth quarter of 2012.</w:t>
      </w:r>
    </w:p>
    <w:p>
      <w:pPr>
        <w:spacing w:after="0" w:line="18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Company then performed the second step of the goodwill impairment test to measure the amount of the impairment loss, if any, of the KGS reporting unit. The second step of the test requires the allocation of the reporting unit's fair value to its assets and liabilities, including any unrecognized intangible assets, in a hypothetical analysis that calculates the implied fair value of goodwill as if the reporting unit was being acquired in a business combination. If the implied fair value of goodwill is less than the carrying value, the difference is recorded as an impairment loss. Based on the results of the step two analysis, the Company recorded an $82.0 million goodwill impairment in the fourth quarter of 2012.</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three months ended March 31, 2013 are as follows (in millions):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Public Safety</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Government</w:t>
            </w:r>
          </w:p>
        </w:tc>
        <w:tc>
          <w:tcPr>
            <w:tcW w:w="2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&amp; Security</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Balance as of December 30, 2012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Retrospective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Balance as of December 30, 2012 after retrospective adjustments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accumulated impairment losses as of December 30, 2012 and March 31, 2013 were $247.4 million, of which $229.1 million was associated with the KGS segment and $18.3 million was associated with the PSS segment.</w:t>
      </w:r>
    </w:p>
    <w:p>
      <w:pPr>
        <w:spacing w:after="0" w:line="16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finite-lived intangible assets subject to amortization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30, 2012</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As of March 31, 2013</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8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97.7</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97.7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57.6</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15.2</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w:t>
            </w: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to the finite-lived intangible assets listed in the table above, the Company has $6.9 million of indefinite-lived intangible assets consisting of trade names at both December 30, 2012 and March 31, 2013.</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$10.5 million and $9.3 million for the three months ended March 25, 2012 and March 31, 2013.</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December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8"/>
          </w:tcPr>
          <w:p>
            <w:pPr>
              <w:ind w:lef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760" w:type="dxa"/>
            <w:vAlign w:val="bottom"/>
            <w:tcBorders>
              <w:bottom w:val="single" w:sz="8" w:color="CCEEFF"/>
            </w:tcBorders>
            <w:gridSpan w:val="3"/>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39.2</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jc w:val="center"/>
              <w:ind w:right="2850"/>
              <w:spacing w:after="0"/>
              <w:rPr>
                <w:sz w:val="20"/>
                <w:szCs w:val="20"/>
                <w:color w:val="auto"/>
              </w:rPr>
            </w:pPr>
            <w:r>
              <w:rPr>
                <w:rFonts w:ascii="Arial" w:cs="Arial" w:eastAsia="Arial" w:hAnsi="Arial"/>
                <w:sz w:val="18"/>
                <w:szCs w:val="18"/>
                <w:color w:val="auto"/>
                <w:w w:val="91"/>
              </w:rPr>
              <w:t>Subtotal inventoried costs</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Less: Customer advances and progress payments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jc w:val="center"/>
              <w:ind w:right="2870"/>
              <w:spacing w:after="0"/>
              <w:rPr>
                <w:sz w:val="20"/>
                <w:szCs w:val="20"/>
                <w:color w:val="auto"/>
              </w:rPr>
            </w:pPr>
            <w:r>
              <w:rPr>
                <w:rFonts w:ascii="Arial" w:cs="Arial" w:eastAsia="Arial" w:hAnsi="Arial"/>
                <w:sz w:val="18"/>
                <w:szCs w:val="18"/>
                <w:color w:val="auto"/>
                <w:w w:val="89"/>
              </w:rPr>
              <w:t>Total inventoried costs</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Stockholders’ Equity</w:t>
            </w: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8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3"/>
          </w:tcPr>
          <w:p>
            <w:pPr>
              <w:ind w:left="660"/>
              <w:spacing w:after="0"/>
              <w:rPr>
                <w:sz w:val="20"/>
                <w:szCs w:val="20"/>
                <w:color w:val="auto"/>
              </w:rPr>
            </w:pPr>
            <w:r>
              <w:rPr>
                <w:rFonts w:ascii="Arial" w:cs="Arial" w:eastAsia="Arial" w:hAnsi="Arial"/>
                <w:sz w:val="18"/>
                <w:szCs w:val="18"/>
                <w:color w:val="auto"/>
                <w:w w:val="95"/>
              </w:rPr>
              <w:t>A summary of the changes in stockholders’ equity is provided below (in millions):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5"/>
          </w:tcPr>
          <w:p>
            <w:pPr>
              <w:jc w:val="right"/>
              <w:ind w:right="360"/>
              <w:spacing w:after="0" w:line="153" w:lineRule="exact"/>
              <w:rPr>
                <w:sz w:val="20"/>
                <w:szCs w:val="20"/>
                <w:color w:val="auto"/>
              </w:rPr>
            </w:pPr>
            <w:r>
              <w:rPr>
                <w:rFonts w:ascii="Arial" w:cs="Arial" w:eastAsia="Arial" w:hAnsi="Arial"/>
                <w:sz w:val="14"/>
                <w:szCs w:val="14"/>
                <w:b w:val="1"/>
                <w:bCs w:val="1"/>
                <w:color w:val="auto"/>
              </w:rPr>
              <w:t>March 25,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2013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40" w:type="dxa"/>
            <w:vAlign w:val="bottom"/>
            <w:tcBorders>
              <w:right w:val="single" w:sz="8" w:color="CCEEFF"/>
            </w:tcBorders>
          </w:tcPr>
          <w:p>
            <w:pPr>
              <w:spacing w:after="0"/>
              <w:rPr>
                <w:sz w:val="21"/>
                <w:szCs w:val="21"/>
                <w:color w:val="auto"/>
              </w:rPr>
            </w:pPr>
          </w:p>
        </w:tc>
        <w:tc>
          <w:tcPr>
            <w:tcW w:w="5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312.6</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57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right w:val="single" w:sz="8" w:color="CCEEFF"/>
            </w:tcBorders>
          </w:tcPr>
          <w:p>
            <w:pPr>
              <w:spacing w:after="0"/>
              <w:rPr>
                <w:sz w:val="21"/>
                <w:szCs w:val="21"/>
                <w:color w:val="auto"/>
              </w:rPr>
            </w:pPr>
          </w:p>
        </w:tc>
        <w:tc>
          <w:tcPr>
            <w:tcW w:w="5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5780" w:type="dxa"/>
            <w:vAlign w:val="bottom"/>
            <w:gridSpan w:val="2"/>
          </w:tcPr>
          <w:p>
            <w:pPr>
              <w:ind w:left="120"/>
              <w:spacing w:after="0"/>
              <w:rPr>
                <w:sz w:val="20"/>
                <w:szCs w:val="20"/>
                <w:color w:val="auto"/>
              </w:rPr>
            </w:pPr>
            <w:r>
              <w:rPr>
                <w:rFonts w:ascii="Arial" w:cs="Arial" w:eastAsia="Arial" w:hAnsi="Arial"/>
                <w:sz w:val="18"/>
                <w:szCs w:val="18"/>
                <w:color w:val="auto"/>
              </w:rPr>
              <w:t>Foreign currency translation</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578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Borders>
              <w:right w:val="single" w:sz="8" w:color="CCEEFF"/>
            </w:tcBorders>
          </w:tcPr>
          <w:p>
            <w:pPr>
              <w:spacing w:after="0"/>
              <w:rPr>
                <w:sz w:val="21"/>
                <w:szCs w:val="21"/>
                <w:color w:val="auto"/>
              </w:rPr>
            </w:pPr>
          </w:p>
        </w:tc>
        <w:tc>
          <w:tcPr>
            <w:tcW w:w="5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578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57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tcBorders>
              <w:right w:val="single" w:sz="8" w:color="CCEEFF"/>
            </w:tcBorders>
          </w:tcPr>
          <w:p>
            <w:pPr>
              <w:spacing w:after="0"/>
              <w:rPr>
                <w:sz w:val="23"/>
                <w:szCs w:val="23"/>
                <w:color w:val="auto"/>
              </w:rPr>
            </w:pPr>
          </w:p>
        </w:tc>
        <w:tc>
          <w:tcPr>
            <w:tcW w:w="5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units traded for taxes</w:t>
            </w: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Stockholders’ equity at end of period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310.7</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315.6</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w w:val="98"/>
              </w:rPr>
              <w:t>The components of accumulated other comprehensive loss are as follows (in millions):</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82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vMerge w:val="restart"/>
          </w:tcPr>
          <w:p>
            <w:pPr>
              <w:jc w:val="right"/>
              <w:ind w:right="117"/>
              <w:spacing w:after="0"/>
              <w:rPr>
                <w:sz w:val="20"/>
                <w:szCs w:val="20"/>
                <w:color w:val="auto"/>
              </w:rPr>
            </w:pPr>
            <w:r>
              <w:rPr>
                <w:rFonts w:ascii="Arial" w:cs="Arial" w:eastAsia="Arial" w:hAnsi="Arial"/>
                <w:sz w:val="14"/>
                <w:szCs w:val="14"/>
                <w:b w:val="1"/>
                <w:bCs w:val="1"/>
                <w:color w:val="auto"/>
              </w:rPr>
              <w:t>March 25, 2012</w:t>
            </w:r>
          </w:p>
        </w:tc>
        <w:tc>
          <w:tcPr>
            <w:tcW w:w="8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1040" w:type="dxa"/>
            <w:vAlign w:val="bottom"/>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Post retirement benefit reserve adjustment net of tax expense</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578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5780" w:type="dxa"/>
            <w:vAlign w:val="bottom"/>
            <w:gridSpan w:val="2"/>
            <w:shd w:val="clear" w:color="auto" w:fill="CCEEFF"/>
          </w:tcPr>
          <w:p>
            <w:pPr>
              <w:jc w:val="center"/>
              <w:ind w:right="2210"/>
              <w:spacing w:after="0"/>
              <w:rPr>
                <w:sz w:val="20"/>
                <w:szCs w:val="20"/>
                <w:color w:val="auto"/>
              </w:rPr>
            </w:pPr>
            <w:r>
              <w:rPr>
                <w:rFonts w:ascii="Arial" w:cs="Arial" w:eastAsia="Arial" w:hAnsi="Arial"/>
                <w:sz w:val="18"/>
                <w:szCs w:val="18"/>
                <w:color w:val="auto"/>
                <w:w w:val="89"/>
              </w:rPr>
              <w:t>Total accumulated other comprehensive loss</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reclassifications from other comprehensive income to net loss for the three months ended March 31,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Common stock issued by the Company for the three months ended March 25, 2012 and March 31, 2013 was as follows (in millions):</w:t>
      </w:r>
    </w:p>
    <w:p>
      <w:pPr>
        <w:sectPr>
          <w:pgSz w:w="11900" w:h="16838" w:orient="portrait"/>
          <w:cols w:equalWidth="0" w:num="1">
            <w:col w:w="10440"/>
          </w:cols>
          <w:pgMar w:left="240" w:top="125"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Shares outstanding at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-139065</wp:posOffset>
            </wp:positionV>
            <wp:extent cx="599440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94400" cy="180340"/>
                    </a:xfrm>
                    <a:prstGeom prst="rect">
                      <a:avLst/>
                    </a:prstGeom>
                    <a:noFill/>
                  </pic:spPr>
                </pic:pic>
              </a:graphicData>
            </a:graphic>
          </wp:anchor>
        </w:drawing>
      </w:r>
    </w:p>
    <w:p>
      <w:pPr>
        <w:spacing w:after="0" w:line="57"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Stock issued for employee stock purchase plan, stock options and restricted stock units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-1905</wp:posOffset>
            </wp:positionV>
            <wp:extent cx="599440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94400" cy="18859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Shares outstanding at end of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732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25,</w:t>
            </w:r>
          </w:p>
        </w:tc>
        <w:tc>
          <w:tcPr>
            <w:tcW w:w="1300" w:type="dxa"/>
            <w:vAlign w:val="bottom"/>
          </w:tcPr>
          <w:p>
            <w:pPr>
              <w:jc w:val="right"/>
              <w:ind w:right="277"/>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13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2013</w:t>
            </w:r>
          </w:p>
        </w:tc>
      </w:tr>
      <w:tr>
        <w:trPr>
          <w:trHeight w:val="243"/>
        </w:trPr>
        <w:tc>
          <w:tcPr>
            <w:tcW w:w="132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486"/>
        </w:trPr>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32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400" w:space="300"/>
            <w:col w:w="2740"/>
          </w:cols>
          <w:pgMar w:left="240" w:top="125" w:right="12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00" w:lineRule="exact"/>
        <w:rPr>
          <w:sz w:val="20"/>
          <w:szCs w:val="20"/>
          <w:color w:val="auto"/>
        </w:rPr>
      </w:pPr>
    </w:p>
    <w:p>
      <w:pPr>
        <w:spacing w:after="0" w:line="272"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40"/>
          </w:cols>
          <w:pgMar w:left="240" w:top="125" w:right="12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w:t>
      </w:r>
      <w:r>
        <w:rPr>
          <w:rFonts w:ascii="Arial" w:cs="Arial" w:eastAsia="Arial" w:hAnsi="Arial"/>
          <w:sz w:val="17"/>
          <w:szCs w:val="17"/>
          <w:i w:val="1"/>
          <w:iCs w:val="1"/>
          <w:color w:val="auto"/>
        </w:rPr>
        <w:t>ASC Topic 260</w:t>
      </w:r>
      <w:r>
        <w:rPr>
          <w:rFonts w:ascii="Arial" w:cs="Arial" w:eastAsia="Arial" w:hAnsi="Arial"/>
          <w:sz w:val="17"/>
          <w:szCs w:val="17"/>
          <w:color w:val="auto"/>
        </w:rPr>
        <w:t xml:space="preserve">,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w:t>
      </w:r>
      <w:r>
        <w:rPr>
          <w:rFonts w:ascii="Arial" w:cs="Arial" w:eastAsia="Arial" w:hAnsi="Arial"/>
          <w:sz w:val="17"/>
          <w:szCs w:val="17"/>
          <w:i w:val="1"/>
          <w:iCs w:val="1"/>
          <w:color w:val="auto"/>
        </w:rPr>
        <w:t>Topic 260”</w:t>
      </w:r>
      <w:r>
        <w:rPr>
          <w:rFonts w:ascii="Arial" w:cs="Arial" w:eastAsia="Arial" w:hAnsi="Arial"/>
          <w:sz w:val="17"/>
          <w:szCs w:val="17"/>
          <w:color w:val="auto"/>
        </w:rPr>
        <w:t xml:space="preserve">). Under </w:t>
      </w:r>
      <w:r>
        <w:rPr>
          <w:rFonts w:ascii="Arial" w:cs="Arial" w:eastAsia="Arial" w:hAnsi="Arial"/>
          <w:sz w:val="17"/>
          <w:szCs w:val="17"/>
          <w:i w:val="1"/>
          <w:iCs w:val="1"/>
          <w:color w:val="auto"/>
        </w:rPr>
        <w:t>Topic 260</w:t>
      </w:r>
      <w:r>
        <w:rPr>
          <w:rFonts w:ascii="Arial" w:cs="Arial" w:eastAsia="Arial" w:hAnsi="Arial"/>
          <w:sz w:val="17"/>
          <w:szCs w:val="17"/>
          <w:color w:val="auto"/>
        </w:rPr>
        <w:t>,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387"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2"/>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earnings per share)</w:t>
            </w:r>
          </w:p>
        </w:tc>
        <w:tc>
          <w:tcPr>
            <w:tcW w:w="18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25,</w:t>
            </w:r>
          </w:p>
        </w:tc>
        <w:tc>
          <w:tcPr>
            <w:tcW w:w="180" w:type="dxa"/>
            <w:vAlign w:val="bottom"/>
          </w:tcPr>
          <w:p>
            <w:pPr>
              <w:spacing w:after="0"/>
              <w:rPr>
                <w:sz w:val="13"/>
                <w:szCs w:val="13"/>
                <w:color w:val="auto"/>
              </w:rPr>
            </w:pPr>
          </w:p>
        </w:tc>
        <w:tc>
          <w:tcPr>
            <w:tcW w:w="9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62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Weighted average outstanding shares of common stock (B)</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employee stock options and awards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and common stock equivalents (C)</w:t>
            </w: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Basic (A/B)</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(A/C)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6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shares were excluded from the calculation of diluted loss per share because their inclusion would have been anti-dilutive: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6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9"/>
              </w:rPr>
              <w:t>March 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260" w:type="dxa"/>
            <w:vAlign w:val="bottom"/>
            <w:vMerge w:val="continue"/>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2012</w:t>
            </w:r>
          </w:p>
        </w:tc>
        <w:tc>
          <w:tcPr>
            <w:tcW w:w="15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from stock options and awards</w:t>
            </w:r>
          </w:p>
        </w:tc>
        <w:tc>
          <w:tcPr>
            <w:tcW w:w="108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As of December 30, 2012, the Company had $13.4 million of unrecognized tax benefits that, if recognized, would affect the effective tax rate, subject to possible offset by an increase in the valuation allowance. During the three months ended March 31, 2013, this amount was increased by $0.1 million and was recorded as an adjustment to goodwill.</w:t>
      </w:r>
    </w:p>
    <w:p>
      <w:pPr>
        <w:spacing w:after="0" w:line="18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During the three months ended March 25, 2012, a $0.2 million expense was recorded related to interest and penalties. There was no material expense recorded during the three months ended March 31, 2013. The Company recorded a benefit for interest and penalties related to the reversal of prior positions of $0.1 million for the three months ended March 25, 2012 and no benefit for the three months ended March 31, 2013. The Company believes that it is reasonably possible that as much as $1.5 million of the liabilities for uncertain tax positions will expire within twelve months of March 31, 2013 due to the expiration of various applicable statutes of limitations.</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net operating loss (“NOL”) carryforwards. Generally, the Company's tax years for 2002 and later are subject to examination by various foreign tax authorities.</w:t>
      </w:r>
    </w:p>
    <w:p>
      <w:pPr>
        <w:spacing w:after="0" w:line="181"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Management will continue to evaluate the necessity to maintain a valuation allowance against the Company's net deferred tax assets. A reconciliation of the total income tax provision to the amount computed by applying the statutory federal income tax rate of 35% to loss from continuing operations before income tax provision for the three months ended March 25, 2012 and March 31, 2013 is as follows (in millions):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For the Three Months Ended</w:t>
            </w:r>
          </w:p>
        </w:tc>
      </w:tr>
      <w:tr>
        <w:trPr>
          <w:trHeight w:val="152"/>
        </w:trPr>
        <w:tc>
          <w:tcPr>
            <w:tcW w:w="7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25,</w:t>
            </w:r>
          </w:p>
        </w:tc>
        <w:tc>
          <w:tcPr>
            <w:tcW w:w="200" w:type="dxa"/>
            <w:vAlign w:val="bottom"/>
          </w:tcPr>
          <w:p>
            <w:pPr>
              <w:spacing w:after="0"/>
              <w:rPr>
                <w:sz w:val="13"/>
                <w:szCs w:val="13"/>
                <w:color w:val="auto"/>
              </w:rPr>
            </w:pPr>
          </w:p>
        </w:tc>
        <w:tc>
          <w:tcPr>
            <w:tcW w:w="10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7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Impact of indefinite lived deferred tax liabilities and state law changes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Increase/(decrease) in reserves for uncertain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Increase/(decrease) in federal valuation allowance</w:t>
            </w:r>
          </w:p>
        </w:tc>
        <w:tc>
          <w:tcPr>
            <w:tcW w:w="2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Federal and state income tax laws impose restrictions on the utilization of NOL and tax credit carryforwards in the event that an “ownership change” occurs for tax purposes, as defined by Section 382 (“Section 382”) of the Internal Revenue Code of 1986, as amended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 two preceding months. In March 2010, an “ownership change” occurred that will limit the utilization of the loss carryforwards. Additionally, in May 2012, another “ownership change” was triggered. As a result of these changes, the Company's federal annual utilization of NOL carryforwards will be limited to $28.1 million a year for the five years succeeding the initial ownership change in March 2010 and $11.6 million per year thereafter. If the entire limitation amount is not utilized in a year, the excess can be carried forward and utilized in future years. For the three months ended March 31, 2013, there was no impact of such limitations on the income tax provision since the amount of taxable income did not exceed the 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June 2012, consistent with the Company's plans to complete its assessment and evaluation of the non-core businesses acquired in the Integral acquisition, the Company committed to a plan to sell certain lines of business associated with antennas, satellite-cased products and fly-away terminals. These operations were previously reported in the KGS segment, and in accordance with </w:t>
      </w:r>
      <w:r>
        <w:rPr>
          <w:rFonts w:ascii="Arial" w:cs="Arial" w:eastAsia="Arial" w:hAnsi="Arial"/>
          <w:sz w:val="17"/>
          <w:szCs w:val="17"/>
          <w:i w:val="1"/>
          <w:iCs w:val="1"/>
          <w:color w:val="auto"/>
        </w:rPr>
        <w:t>Topic 205, Presentation of Financial Statements ("Topic 205"),</w:t>
      </w:r>
      <w:r>
        <w:rPr>
          <w:rFonts w:ascii="Arial" w:cs="Arial" w:eastAsia="Arial" w:hAnsi="Arial"/>
          <w:sz w:val="17"/>
          <w:szCs w:val="17"/>
          <w:color w:val="auto"/>
        </w:rPr>
        <w:t xml:space="preserve"> these businesses have been classified as held for sale and reported in discontinued operations in the accompanying condensed consolidated financial statements. In the second quarter of 2012, the Company recorded a $1.5 million impairment charge associated with the portion of goodwill that was allocated to the discontinued businesses based on management's estimate of the fair value of the business. The Company sold its domestic operations to two buyers for approximately $0.8 million in cash consideration and the assumption of certain liabilities. The Company received $0.3 million in cash in 2012 from the first buyer and $0.5 million in cash in April 2013 from the second buyer. The Company recorded a $1.2 million impairment charge in the first quarter of 2013 related to its revised estimate of the fair value of these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20" w:type="dxa"/>
            <w:vAlign w:val="bottom"/>
          </w:tcPr>
          <w:p>
            <w:pPr>
              <w:jc w:val="right"/>
              <w:ind w:right="4"/>
              <w:spacing w:after="0" w:line="153" w:lineRule="exact"/>
              <w:rPr>
                <w:sz w:val="20"/>
                <w:szCs w:val="20"/>
                <w:color w:val="auto"/>
              </w:rPr>
            </w:pPr>
            <w:r>
              <w:rPr>
                <w:rFonts w:ascii="Arial" w:cs="Arial" w:eastAsia="Arial" w:hAnsi="Arial"/>
                <w:sz w:val="14"/>
                <w:szCs w:val="14"/>
                <w:b w:val="1"/>
                <w:bCs w:val="1"/>
                <w:color w:val="auto"/>
              </w:rPr>
              <w:t>March 25,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20" w:type="dxa"/>
            <w:vAlign w:val="bottom"/>
            <w:tcBorders>
              <w:bottom w:val="single" w:sz="8" w:color="CCEEFF"/>
            </w:tcBorders>
            <w:gridSpan w:val="2"/>
            <w:shd w:val="clear" w:color="auto" w:fill="CCEEFF"/>
          </w:tcPr>
          <w:p>
            <w:pPr>
              <w:jc w:val="right"/>
              <w:ind w:right="102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Net loss before taxes</w:t>
            </w:r>
          </w:p>
        </w:tc>
        <w:tc>
          <w:tcPr>
            <w:tcW w:w="40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0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00" w:type="dxa"/>
            <w:vAlign w:val="bottom"/>
          </w:tcPr>
          <w:p>
            <w:pPr>
              <w:ind w:left="40"/>
              <w:spacing w:after="0"/>
              <w:rPr>
                <w:sz w:val="20"/>
                <w:szCs w:val="20"/>
                <w:color w:val="auto"/>
              </w:rPr>
            </w:pPr>
            <w:r>
              <w:rPr>
                <w:rFonts w:ascii="Arial" w:cs="Arial" w:eastAsia="Arial" w:hAnsi="Arial"/>
                <w:sz w:val="18"/>
                <w:szCs w:val="18"/>
                <w:color w:val="auto"/>
              </w:rPr>
              <w:t>Net loss after taxes</w:t>
            </w:r>
          </w:p>
        </w:tc>
        <w:tc>
          <w:tcPr>
            <w:tcW w:w="40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2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00" w:type="dxa"/>
            <w:vAlign w:val="bottom"/>
            <w:vMerge w:val="restart"/>
          </w:tcPr>
          <w:p>
            <w:pPr>
              <w:jc w:val="right"/>
              <w:ind w:right="1910"/>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90"/>
        <w:spacing w:after="0" w:line="264" w:lineRule="auto"/>
        <w:rPr>
          <w:sz w:val="20"/>
          <w:szCs w:val="20"/>
          <w:color w:val="auto"/>
        </w:rPr>
      </w:pPr>
      <w:r>
        <w:rPr>
          <w:rFonts w:ascii="Arial" w:cs="Arial" w:eastAsia="Arial" w:hAnsi="Arial"/>
          <w:sz w:val="18"/>
          <w:szCs w:val="18"/>
          <w:color w:val="auto"/>
        </w:rPr>
        <w:t>The following is a summary of the assets and liabilities of discontinued operations, which are in other current assets, other non-current assets, other current liabilities and other long-term liabilities in the accompanying condensed consolidated balance sheets as of December 30, 2012 and March 31, 2013 (in millions):</w:t>
      </w:r>
    </w:p>
    <w:p>
      <w:pPr>
        <w:spacing w:after="0" w:line="32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60" w:type="dxa"/>
            <w:vAlign w:val="bottom"/>
          </w:tcPr>
          <w:p>
            <w:pPr>
              <w:jc w:val="right"/>
              <w:ind w:right="36"/>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ind w:right="553"/>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5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60" w:type="dxa"/>
            <w:vAlign w:val="bottom"/>
            <w:tcBorders>
              <w:bottom w:val="single" w:sz="8" w:color="CCEEFF"/>
            </w:tcBorders>
            <w:shd w:val="clear" w:color="auto" w:fill="CCEEFF"/>
          </w:tcPr>
          <w:p>
            <w:pPr>
              <w:jc w:val="right"/>
              <w:ind w:right="12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Inventoried costs</w:t>
            </w: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580" w:type="dxa"/>
            <w:vAlign w:val="bottom"/>
          </w:tcPr>
          <w:p>
            <w:pPr>
              <w:ind w:left="160"/>
              <w:spacing w:after="0"/>
              <w:rPr>
                <w:sz w:val="20"/>
                <w:szCs w:val="20"/>
                <w:color w:val="auto"/>
              </w:rPr>
            </w:pPr>
            <w:r>
              <w:rPr>
                <w:rFonts w:ascii="Arial" w:cs="Arial" w:eastAsia="Arial" w:hAnsi="Arial"/>
                <w:sz w:val="18"/>
                <w:szCs w:val="18"/>
                <w:color w:val="auto"/>
              </w:rPr>
              <w:t>Current assets of discontinued operations</w:t>
            </w:r>
          </w:p>
        </w:tc>
        <w:tc>
          <w:tcPr>
            <w:tcW w:w="14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97"/>
        </w:trPr>
        <w:tc>
          <w:tcPr>
            <w:tcW w:w="65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Non-current assets of discontinued operations</w:t>
            </w:r>
          </w:p>
        </w:tc>
        <w:tc>
          <w:tcPr>
            <w:tcW w:w="1460" w:type="dxa"/>
            <w:vAlign w:val="bottom"/>
            <w:tcBorders>
              <w:top w:val="single" w:sz="8" w:color="auto"/>
              <w:bottom w:val="single" w:sz="8" w:color="auto"/>
            </w:tcBorders>
          </w:tcPr>
          <w:p>
            <w:pPr>
              <w:jc w:val="right"/>
              <w:ind w:right="12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tcBorders>
              <w:bottom w:val="single" w:sz="8" w:color="CCEEFF"/>
            </w:tcBorders>
            <w:shd w:val="clear" w:color="auto" w:fill="CCEEFF"/>
          </w:tcPr>
          <w:p>
            <w:pPr>
              <w:jc w:val="right"/>
              <w:ind w:right="12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6580" w:type="dxa"/>
            <w:vAlign w:val="bottom"/>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14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6580" w:type="dxa"/>
            <w:vAlign w:val="bottom"/>
          </w:tcPr>
          <w:p>
            <w:pPr>
              <w:ind w:left="160"/>
              <w:spacing w:after="0"/>
              <w:rPr>
                <w:sz w:val="20"/>
                <w:szCs w:val="20"/>
                <w:color w:val="auto"/>
              </w:rPr>
            </w:pPr>
            <w:r>
              <w:rPr>
                <w:rFonts w:ascii="Arial" w:cs="Arial" w:eastAsia="Arial" w:hAnsi="Arial"/>
                <w:sz w:val="18"/>
                <w:szCs w:val="18"/>
                <w:color w:val="auto"/>
              </w:rPr>
              <w:t>Long-term liabilities of discontinued operations</w:t>
            </w:r>
          </w:p>
        </w:tc>
        <w:tc>
          <w:tcPr>
            <w:tcW w:w="1460" w:type="dxa"/>
            <w:vAlign w:val="bottom"/>
            <w:tcBorders>
              <w:top w:val="single" w:sz="8" w:color="auto"/>
              <w:bottom w:val="single" w:sz="8" w:color="auto"/>
            </w:tcBorders>
          </w:tcPr>
          <w:p>
            <w:pPr>
              <w:jc w:val="right"/>
              <w:ind w:right="125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6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May 19, 2010, the Company entered into an indenture with the guarantors set forth therein and Wilmington Trust FSB, as trustee and collateral agent (as amended or supplemented the “Indenture”), to issue the Notes. As of March 31, 2013, the Company has issued Notes in the aggregate principal amount of $625.0 million under the Indenture, of which $225.0 million were issued on May 19, 2010, $285.0 million were issued on March 25, 2011 at a $20.0 million premium and an effective interest rate of 8.5%, and $115.0 million were issued on July 27, 2011 at a $5.8 million premium and an effective interest rate of 8.9%. These Notes have been used to fund acquisitions and for general corporate purposes. 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31, 2013, the Company was in compliance with the covenants contained in the Indenture governing the Notes.</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redeem up to 35% of the aggregate principal amount of the Notes at 110% of the aggregate principal amount of the Notes, plus accrued and unpaid interest to the date of redemption, with the net cash proceeds of certain equity offerings.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27, 2011, the Company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established a five-year senior secured revolving credit facility in the amount of $65.0 million (as amended and described below,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On November 14, 2011, the Company entered into a first amendment (the “First Amendment”) with certain lenders and KeyBank that amended the 2011 Credit Agreement. Among other things, the First Amendment: (i) increased the amount of the Amended Revolver from $65.0 million to $90.0 million;</w:t>
      </w:r>
    </w:p>
    <w:p>
      <w:pPr>
        <w:ind w:right="240" w:firstLine="8"/>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added to and modified the definitions of certain terms contained in the 2011 Credit Agreement; (iii) added PNC Bank, National Association as a lender under the 2011 Credit Agreement; and (iv) updated certain schedules to the 2011 Credit Agreement.</w:t>
      </w:r>
    </w:p>
    <w:p>
      <w:pPr>
        <w:spacing w:after="0" w:line="184" w:lineRule="exact"/>
        <w:rPr>
          <w:sz w:val="20"/>
          <w:szCs w:val="20"/>
          <w:color w:val="auto"/>
        </w:rPr>
      </w:pPr>
    </w:p>
    <w:p>
      <w:pPr>
        <w:ind w:right="20" w:firstLine="612"/>
        <w:spacing w:after="0" w:line="257" w:lineRule="auto"/>
        <w:rPr>
          <w:sz w:val="20"/>
          <w:szCs w:val="20"/>
          <w:color w:val="auto"/>
        </w:rPr>
      </w:pPr>
      <w:r>
        <w:rPr>
          <w:rFonts w:ascii="Arial" w:cs="Arial" w:eastAsia="Arial" w:hAnsi="Arial"/>
          <w:sz w:val="18"/>
          <w:szCs w:val="18"/>
          <w:color w:val="auto"/>
        </w:rPr>
        <w:t>On May 4, 2012, the Company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available to be borrowed under the 2011 Credit Agreement to $135.0 million subject to KeyBank's approval, and (v) updated certain schedules to the Credit Agreement.</w:t>
      </w:r>
    </w:p>
    <w:p>
      <w:pPr>
        <w:spacing w:after="0" w:line="188"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On May 8, 2012, the Company entered into a third amendment (the "Third Amendment") to the 2011 Credit Agreement. Under the terms of the Third Amendment, the definitions of certain terms of the 2011 Credit Agreement were modified and the acquisition of CEI was approved. The Company used the net proceeds from the sale of 20.0 million shares of its common stock, together with the borrowings under its credit facility, to fund the purchase of CEI on July 2, 2012 and to pay related fees and expenses.</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On February 27, 2013, the Company entered into a fourth amendment (the "Fourth Amendment") to the 2011 Credit Agreement. Under the terms of the Fourth Amendment, the definition of certain terms of the 2011 Credit Agreement and reporting requirements were modified.</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The Company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March 31, 2013, there were no outstanding borrowings on the Amended Revolver and $14.1 million was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outstanding on letters of credit resulting in net borrowing base availability of $91.7 million. The Company was in compliance with the financial covenants as of March 31,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The Company assumed a $10.0 million 10-year term loan with a bank in Israel that Herley entered into on September 16, 2008 in connection with the acquisition of one of its wholly owned subsidiaries. The balance as of March 31, 2013 was $5.5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March 31, 2013.</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30, 2012 and March 31, 2013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30,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As of March 31, 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net unamortized debt premium of $17.7 million as of March 31, 2013, which is the difference between the carrying amount of $648.2 million and the principal amount of $630.5 million represented in the previous table, is being amortized to interest expense over the terms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December 30, 2012 and March 31, 2013 are presented in Note 9. The carrying value of all other financial instruments, including cash equivalents, accounts receivable, accounts payable and short-term debt, approximated their estimated fair values at December 30, 2012 and March 31,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Significant Customers</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$140.9 million and $160.7 million or 67% and 64% of total Kratos revenue for the three months ended March 25, 2012 and March 31, 2013, respectively.</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U.S. Government continues to focus on developing and implementing spending, tax, and other initiatives to reduce the deficit, create jobs, and stimulate the economy. Although defense spending is expected to remain a national priority within future federal budgets, the Budget Control Act of 2011 (“Budget Control Act”) committed the U.S. Government to reduce the federal deficit over the next ten years. Under the Budget Control Act, the Bi-Partisan Congressional Joint Select Committee on Deficit Reduction (“the Joint Committee”) was responsible for identifying $1.2 to $1.5 trillion in deficit reductions by November 30, 2011. The Joint Committee was unable to identify the reductions by this deadline and thereby triggered a provision of the Budget Control Act called “sequestration,” which requires very substantial automatic spending cuts that have started in 2013, are split between defense and non-defense programs, and continue over a nine-year period.</w:t>
      </w:r>
    </w:p>
    <w:p>
      <w:pPr>
        <w:spacing w:after="0" w:line="18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 March 26, 2013, the President signed into law the Consolidated and Further Continuing Appropriations Act, 2013, which includes specific appropriations for the Company's major federal customers, including the DoD. On April 10, 2013,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President delivered his proposed FY 2014 budget to Congress. The President's $527 billion FY 2014 defense budget is slightly lower than final defense appropriations for FY 2013. While it largely reflects defense spending plans in the FY 2013 budget, it does not reflect the reductions mandated by Part II of the Budget Control Act. The Congressional appropriation and authorization of FY 2014 defense spending is likely to be marked by significant debate and an uncertain schedule. There continues to be uncertainty in how sequestration will ultimately be implemented, and there are many variables in how the law could be applied that make it difficult to determine the specific impacts. Any automatic reductions in national defense programs could impact the Company's significant customers, which in turn could impact the Company's business and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operates in two principal business segments: Kratos Government Solutions and Public Safety &amp; Security. The Company organizes its business segments based on the nature of the services offered. In the following table, total operating income of the business segments is reconciled to the corresponding consolidated amount. The reconciling item “Unallocated corporate expense, net” includes costs for certain stock-based compensation programs (including stock-based compensation costs for stock options, employee stock purchase plan shares and restricted stock units),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depreciation and amortization, and operating income generated by the Company’s current reporting segments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25, 2012 and March 31, 2013 are as follows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March 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7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r>
      <w:tr>
        <w:trPr>
          <w:trHeight w:val="23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137.3</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202.2</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2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252.8</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97"/>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14.2</w:t>
            </w:r>
          </w:p>
        </w:tc>
      </w:tr>
      <w:tr>
        <w:trPr>
          <w:trHeight w:val="210"/>
        </w:trPr>
        <w:tc>
          <w:tcPr>
            <w:tcW w:w="79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12.2</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its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w:t>
      </w:r>
    </w:p>
    <w:p>
      <w:pPr>
        <w:sectPr>
          <w:pgSz w:w="11900" w:h="16838" w:orient="portrait"/>
          <w:cols w:equalWidth="0" w:num="1">
            <w:col w:w="11400"/>
          </w:cols>
          <w:pgMar w:left="240" w:top="125"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the Company may be unsupported, exaggerated or unrelated to possible outcomes, and as such are not meaningful indicators of the Company's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of any such losses, damages or remedies on the Company's consolidated financial statements; and the unique facts and circumstances of the particular matter that may give rise to additional factors.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and Regulatory Matters</w:t>
      </w:r>
    </w:p>
    <w:p>
      <w:pPr>
        <w:spacing w:after="0" w:line="14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u w:val="single" w:color="auto"/>
          <w:color w:val="auto"/>
        </w:rPr>
        <w:t>Integral Indemnification Obligation</w:t>
      </w:r>
      <w:r>
        <w:rPr>
          <w:rFonts w:ascii="Arial" w:cs="Arial" w:eastAsia="Arial" w:hAnsi="Arial"/>
          <w:sz w:val="16"/>
          <w:szCs w:val="16"/>
          <w:color w:val="auto"/>
        </w:rPr>
        <w:t>. Integral, which was acquired on July 27, 2011, was previously the subject of a SEC investigation. On July 30,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2009, the SEC and Integral each announced that an administrative settlement had been reached concluding the SEC's investigation. In conjunction with its announcement of the administrative settlement, the SEC disclosed that it was instituting separate civil actions against three former officers of Integral, Steven R. Chamberlain (now deceased), Elaine M. Brown and Gary A. Prince, in a case filed July 30, 2009 captioned </w:t>
      </w:r>
      <w:r>
        <w:rPr>
          <w:rFonts w:ascii="Arial" w:cs="Arial" w:eastAsia="Arial" w:hAnsi="Arial"/>
          <w:sz w:val="16"/>
          <w:szCs w:val="16"/>
          <w:i w:val="1"/>
          <w:iCs w:val="1"/>
          <w:color w:val="auto"/>
        </w:rPr>
        <w:t>United States Securities and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Commission v. Steven R. Chamberlain, Elaine M. Brown, and Gary A. Prince, </w:t>
      </w:r>
      <w:r>
        <w:rPr>
          <w:rFonts w:ascii="Arial" w:cs="Arial" w:eastAsia="Arial" w:hAnsi="Arial"/>
          <w:sz w:val="16"/>
          <w:szCs w:val="16"/>
          <w:color w:val="auto"/>
        </w:rPr>
        <w:t>Case No. 09-CV-01423, pending in the United States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Columbia. The SEC's complaint alleges that from 1999 through August 2006, Chamberlain, Brown and Prince made materially false and misleading statements and omitted material information in various filings with the SEC by failing to disclose the role of Prince, who had been convicted of engaging in securities fraud while at another company, at Integral and his legal background in its filings. The SEC sought permanent injunctions against each defendant, as well as court orders imposing officer and director bars and civil penalties. Integral has indemnification obligations to these individuals, as well as to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the Company has assumed these indemnification obligations. The indemnification agreements provide, subject to certain terms and conditions, that the Company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December 2011, and the Company is advancing payment of indemnifiable costs pursuant to the indemnification agreements. On November 26, 2012, the SEC announced that it had finalized a settlement with Elaine M. Brown, resulting in a final judgment that resolved the SEC's matter against Brown. The SEC's case against Gary A. Prince proceeded to a bench trial in December 2012, which trial concluded in January 2013. On May 2, 2013, the court issued a memorandum opinion and entered an order granting judgment in favor of the SEC on one count of its complaint. The court found that in 1997, an accounting bar order had been issued against Mr. Prince because of his conduct at a different company, and that Mr. Prince violated the bar order between 1998 and 2006. The court issued an injunction permanently restraining and enjoining Mr. Prince from violating the accounting bar order. The court entered judgment in favor of Mr. Prince on all other counts of the SEC's complaint. No relief was sought or entered against Integral. Either party may appeal the court's decision, which would require the Company to continue to advance payment of indemnifiable costs.</w:t>
      </w:r>
    </w:p>
    <w:p>
      <w:pPr>
        <w:spacing w:after="0" w:line="9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b w:val="1"/>
          <w:bCs w:val="1"/>
          <w:u w:val="single" w:color="auto"/>
          <w:color w:val="auto"/>
        </w:rPr>
        <w:t>U.S. Government Cost Claims</w:t>
      </w:r>
      <w:r>
        <w:rPr>
          <w:rFonts w:ascii="Arial" w:cs="Arial" w:eastAsia="Arial" w:hAnsi="Arial"/>
          <w:sz w:val="17"/>
          <w:szCs w:val="17"/>
          <w:color w:val="auto"/>
        </w:rPr>
        <w:t>. The Company's contracts with the Department of Defense are subject to audit by the Defense Contract Audit</w:t>
      </w:r>
      <w:r>
        <w:rPr>
          <w:rFonts w:ascii="Arial" w:cs="Arial" w:eastAsia="Arial" w:hAnsi="Arial"/>
          <w:sz w:val="17"/>
          <w:szCs w:val="17"/>
          <w:b w:val="1"/>
          <w:bCs w:val="1"/>
          <w:color w:val="auto"/>
        </w:rPr>
        <w:t xml:space="preserve"> </w:t>
      </w:r>
      <w:r>
        <w:rPr>
          <w:rFonts w:ascii="Arial" w:cs="Arial" w:eastAsia="Arial" w:hAnsi="Arial"/>
          <w:sz w:val="17"/>
          <w:szCs w:val="17"/>
          <w:color w:val="auto"/>
        </w:rPr>
        <w:t>Agency (“DCAA”). As a result of these audits, from time to time, the Company is advised of claims concerning potential disallowed, overstated or disputed costs. For example, during the course of its current audits, the DCAA is closely examining and questioning certain of its established and disclosed practices that it had previously audited and accepted. In addition, based on a DCAA audit, the U.S. Department of Justice is currently investigating whether one of the Company's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 The Company intends to defend itself in these matters and to work to resolve or settle any disputed contract costs. When appropriate, the Company records accruals to reflect its expected exposure to the matters raised by the U.S. Government, and it reviews such accruals on a quarterly basis for sufficiency based on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most recent information available. Based on its assessment, it has accrued an amount in its financial statements for contingent liabilities associated with these matters that it considers to be immaterial to its overall financial position. The matter that is currently being investigated was identified during the acquisition process and was taken into consideration in the purchase price allocation of this subsidiary. Contract disputes with the U.S. Government, however, are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7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u w:val="single" w:color="auto"/>
          <w:color w:val="auto"/>
        </w:rPr>
        <w:t>Other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normal and routine litigation arising from the ordinary course and conduct of business,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a result of acquisitions and dispositions. Such disputes include, for example, commercial, employment, intellectual property, environmental and securities matters.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amounts accrued related to these matters are not material to the total liabilities of the Company.</w:t>
      </w:r>
    </w:p>
    <w:p>
      <w:pPr>
        <w:spacing w:after="0" w:line="221"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r>
      <w:tr>
        <w:trPr>
          <w:trHeight w:val="152"/>
        </w:trPr>
        <w:tc>
          <w:tcPr>
            <w:tcW w:w="662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3"/>
                <w:szCs w:val="13"/>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6"/>
                <w:szCs w:val="16"/>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Costs accrued and revenues deferred</w:t>
            </w: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liabilities assumed from acquisitions</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Settlements made (in cash or kind) and revenues recognized</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6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Condensed Consolidating Financial Statements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has $625.0 million in outstanding Senior Secured Notes (see Note 9). The Notes are guaranteed by all of the Company's 100% owned domestic subsidiaries (the "Subsidiary Guarantors") and are collateralized by the assets of all of the Company's 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Senior Secured Notes are not guaranteed by the Company's foreign subsidiaries (the “Non-Guarantor Subsidiaries”).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consolidated financial statements, except for the use of the equity method of accounting to reflect ownership interests in wholly owned subsidiaries, which are eliminated upon consolidation.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December 30, 2012</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8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1,180.9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20"/>
        </w:trPr>
        <w:tc>
          <w:tcPr>
            <w:tcW w:w="3700" w:type="dxa"/>
            <w:vAlign w:val="bottom"/>
          </w:tcPr>
          <w:p>
            <w:pPr>
              <w:ind w:left="16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160"/>
              <w:spacing w:after="0"/>
              <w:rPr>
                <w:sz w:val="20"/>
                <w:szCs w:val="20"/>
                <w:color w:val="auto"/>
              </w:rPr>
            </w:pPr>
            <w:r>
              <w:rPr>
                <w:rFonts w:ascii="Arial" w:cs="Arial" w:eastAsia="Arial" w:hAnsi="Arial"/>
                <w:sz w:val="16"/>
                <w:szCs w:val="16"/>
                <w:color w:val="auto"/>
              </w:rPr>
              <w:t>uncompleted contracts</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income tax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702.9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648.4</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661.7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729.1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959.8</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244"/>
        </w:trPr>
        <w:tc>
          <w:tcPr>
            <w:tcW w:w="370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1,180.9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60"/>
          </w:cols>
          <w:pgMar w:left="240" w:top="125" w:right="7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March 31, 2013</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482.7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455.1</w:t>
            </w:r>
          </w:p>
        </w:tc>
        <w:tc>
          <w:tcPr>
            <w:tcW w:w="0" w:type="dxa"/>
            <w:vAlign w:val="bottom"/>
          </w:tcPr>
          <w:p>
            <w:pPr>
              <w:spacing w:after="0"/>
              <w:rPr>
                <w:sz w:val="1"/>
                <w:szCs w:val="1"/>
                <w:color w:val="auto"/>
              </w:rPr>
            </w:pPr>
          </w:p>
        </w:tc>
      </w:tr>
      <w:tr>
        <w:trPr>
          <w:trHeight w:val="217"/>
        </w:trPr>
        <w:tc>
          <w:tcPr>
            <w:tcW w:w="3700" w:type="dxa"/>
            <w:vAlign w:val="bottom"/>
          </w:tcPr>
          <w:p>
            <w:pPr>
              <w:ind w:left="160"/>
              <w:spacing w:after="0"/>
              <w:rPr>
                <w:sz w:val="20"/>
                <w:szCs w:val="20"/>
                <w:color w:val="auto"/>
              </w:rPr>
            </w:pPr>
            <w:r>
              <w:rPr>
                <w:rFonts w:ascii="Arial" w:cs="Arial" w:eastAsia="Arial" w:hAnsi="Arial"/>
                <w:sz w:val="16"/>
                <w:szCs w:val="16"/>
                <w:color w:val="auto"/>
                <w:w w:val="99"/>
              </w:rPr>
              <w:t>Amounts due from affiliated companies, long-term</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Investment in subsidiaries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8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992.0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1,172.9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(985.3)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1,270.6</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20"/>
        </w:trPr>
        <w:tc>
          <w:tcPr>
            <w:tcW w:w="3700" w:type="dxa"/>
            <w:vAlign w:val="bottom"/>
          </w:tcPr>
          <w:p>
            <w:pPr>
              <w:ind w:left="16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00" w:type="dxa"/>
            <w:vAlign w:val="bottom"/>
          </w:tcPr>
          <w:p>
            <w:pPr>
              <w:ind w:left="160"/>
              <w:spacing w:after="0"/>
              <w:rPr>
                <w:sz w:val="20"/>
                <w:szCs w:val="20"/>
                <w:color w:val="auto"/>
              </w:rPr>
            </w:pPr>
            <w:r>
              <w:rPr>
                <w:rFonts w:ascii="Arial" w:cs="Arial" w:eastAsia="Arial" w:hAnsi="Arial"/>
                <w:sz w:val="16"/>
                <w:szCs w:val="16"/>
                <w:color w:val="auto"/>
              </w:rPr>
              <w:t>uncompleted contracts</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income tax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686.6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647.2</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676.4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955.0</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244"/>
        </w:trPr>
        <w:tc>
          <w:tcPr>
            <w:tcW w:w="370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992.0</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1,172.9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1,270.6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240" w:top="125" w:right="7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Three Months Ended March 25, 2012</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a Combined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40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102.1</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107.4</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79.8</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r>
      <w:tr>
        <w:trPr>
          <w:trHeight w:val="217"/>
        </w:trPr>
        <w:tc>
          <w:tcPr>
            <w:tcW w:w="402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151.7</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45.1</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17"/>
        </w:trPr>
        <w:tc>
          <w:tcPr>
            <w:tcW w:w="4020" w:type="dxa"/>
            <w:vAlign w:val="bottom"/>
          </w:tcPr>
          <w:p>
            <w:pPr>
              <w:ind w:left="120"/>
              <w:spacing w:after="0"/>
              <w:rPr>
                <w:sz w:val="20"/>
                <w:szCs w:val="20"/>
                <w:color w:val="auto"/>
              </w:rPr>
            </w:pPr>
            <w:r>
              <w:rPr>
                <w:rFonts w:ascii="Arial" w:cs="Arial" w:eastAsia="Arial" w:hAnsi="Arial"/>
                <w:sz w:val="16"/>
                <w:szCs w:val="16"/>
                <w:color w:val="auto"/>
              </w:rPr>
              <w:t>Operating income from continuing operations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17"/>
        </w:trPr>
        <w:tc>
          <w:tcPr>
            <w:tcW w:w="4020" w:type="dxa"/>
            <w:vAlign w:val="bottom"/>
          </w:tcPr>
          <w:p>
            <w:pPr>
              <w:ind w:left="240"/>
              <w:spacing w:after="0"/>
              <w:rPr>
                <w:sz w:val="20"/>
                <w:szCs w:val="20"/>
                <w:color w:val="auto"/>
              </w:rPr>
            </w:pPr>
            <w:r>
              <w:rPr>
                <w:rFonts w:ascii="Arial" w:cs="Arial" w:eastAsia="Arial" w:hAnsi="Arial"/>
                <w:sz w:val="16"/>
                <w:szCs w:val="16"/>
                <w:color w:val="auto"/>
              </w:rPr>
              <w:t>Total other income and expense, net</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Benefit for income taxes from continuing operations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0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Three Months Ended March 31, 2013</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a Combined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86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6"/>
                <w:szCs w:val="16"/>
                <w:b w:val="1"/>
                <w:bCs w:val="1"/>
                <w:color w:val="auto"/>
              </w:rPr>
              <w:t>Parent Company</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115.5</w:t>
            </w: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4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137.3</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252.8</w:t>
            </w:r>
          </w:p>
        </w:tc>
      </w:tr>
      <w:tr>
        <w:trPr>
          <w:trHeight w:val="217"/>
        </w:trPr>
        <w:tc>
          <w:tcPr>
            <w:tcW w:w="386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88.2</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17"/>
        </w:trPr>
        <w:tc>
          <w:tcPr>
            <w:tcW w:w="386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187.1</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3860" w:type="dxa"/>
            <w:vAlign w:val="bottom"/>
          </w:tcPr>
          <w:p>
            <w:pPr>
              <w:ind w:left="160"/>
              <w:spacing w:after="0"/>
              <w:rPr>
                <w:sz w:val="20"/>
                <w:szCs w:val="20"/>
                <w:color w:val="auto"/>
              </w:rPr>
            </w:pPr>
            <w:r>
              <w:rPr>
                <w:rFonts w:ascii="Arial" w:cs="Arial" w:eastAsia="Arial" w:hAnsi="Arial"/>
                <w:sz w:val="16"/>
                <w:szCs w:val="16"/>
                <w:color w:val="auto"/>
              </w:rPr>
              <w:t>Operating income from continuing operations</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86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expense, net</w:t>
            </w: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3860" w:type="dxa"/>
            <w:vAlign w:val="bottom"/>
          </w:tcPr>
          <w:p>
            <w:pPr>
              <w:ind w:left="240"/>
              <w:spacing w:after="0"/>
              <w:rPr>
                <w:sz w:val="20"/>
                <w:szCs w:val="20"/>
                <w:color w:val="auto"/>
              </w:rPr>
            </w:pPr>
            <w:r>
              <w:rPr>
                <w:rFonts w:ascii="Arial" w:cs="Arial" w:eastAsia="Arial" w:hAnsi="Arial"/>
                <w:sz w:val="16"/>
                <w:szCs w:val="16"/>
                <w:color w:val="auto"/>
              </w:rPr>
              <w:t>Total other expense, net</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Income (loss) from continuing operations before income</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3860" w:type="dxa"/>
            <w:vAlign w:val="bottom"/>
          </w:tcPr>
          <w:p>
            <w:pPr>
              <w:ind w:left="20"/>
              <w:spacing w:after="0"/>
              <w:rPr>
                <w:sz w:val="20"/>
                <w:szCs w:val="20"/>
                <w:color w:val="auto"/>
              </w:rPr>
            </w:pPr>
            <w:r>
              <w:rPr>
                <w:rFonts w:ascii="Arial" w:cs="Arial" w:eastAsia="Arial" w:hAnsi="Arial"/>
                <w:sz w:val="16"/>
                <w:szCs w:val="16"/>
                <w:color w:val="auto"/>
              </w:rPr>
              <w:t>Provision for income taxes from continuing operations</w:t>
            </w:r>
          </w:p>
        </w:tc>
        <w:tc>
          <w:tcPr>
            <w:tcW w:w="4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38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7"/>
        </w:trPr>
        <w:tc>
          <w:tcPr>
            <w:tcW w:w="3860" w:type="dxa"/>
            <w:vAlign w:val="bottom"/>
          </w:tcPr>
          <w:p>
            <w:pPr>
              <w:ind w:left="20"/>
              <w:spacing w:after="0"/>
              <w:rPr>
                <w:sz w:val="20"/>
                <w:szCs w:val="20"/>
                <w:color w:val="auto"/>
              </w:rPr>
            </w:pPr>
            <w:r>
              <w:rPr>
                <w:rFonts w:ascii="Arial" w:cs="Arial" w:eastAsia="Arial" w:hAnsi="Arial"/>
                <w:sz w:val="16"/>
                <w:szCs w:val="16"/>
                <w:color w:val="auto"/>
              </w:rPr>
              <w:t>Loss from discontinued operations</w:t>
            </w: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3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net income (loss) of subsidiaries</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3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37"/>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3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240" w:top="125" w:right="59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Three Months Ended March 25, 2012</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Guarantors on a</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06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Combined Basis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25.0</w:t>
            </w:r>
          </w:p>
        </w:tc>
      </w:tr>
      <w:tr>
        <w:trPr>
          <w:trHeight w:val="33"/>
        </w:trPr>
        <w:tc>
          <w:tcPr>
            <w:tcW w:w="4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Cash paid for acquisitions, net of cash acquired</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(Increase) decrease in restricted cash</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4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continuing</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31"/>
        </w:trPr>
        <w:tc>
          <w:tcPr>
            <w:tcW w:w="40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 of debt</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Financing from affiliated companies</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net</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0"/>
        </w:trPr>
        <w:tc>
          <w:tcPr>
            <w:tcW w:w="406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06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4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r>
      <w:tr>
        <w:trPr>
          <w:trHeight w:val="237"/>
        </w:trPr>
        <w:tc>
          <w:tcPr>
            <w:tcW w:w="4060" w:type="dxa"/>
            <w:vAlign w:val="bottom"/>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w:t>
            </w:r>
          </w:p>
        </w:tc>
      </w:tr>
      <w:tr>
        <w:trPr>
          <w:trHeight w:val="33"/>
        </w:trPr>
        <w:tc>
          <w:tcPr>
            <w:tcW w:w="4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rPr>
              <w:t>Effect of exchange rate changes on cash and cash equivalents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44"/>
        </w:trPr>
        <w:tc>
          <w:tcPr>
            <w:tcW w:w="40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r>
      <w:tr>
        <w:trPr>
          <w:trHeight w:val="20"/>
        </w:trPr>
        <w:tc>
          <w:tcPr>
            <w:tcW w:w="4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Three Months Ended March 31, 2013</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Non-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Guarantors 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Parent</w:t>
            </w: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Guarantors on 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 Combined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Company</w:t>
            </w: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Combined Basis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4"/>
              </w:rPr>
              <w:t>Basis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52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520" w:type="dxa"/>
            <w:vAlign w:val="bottom"/>
          </w:tcPr>
          <w:p>
            <w:pPr>
              <w:ind w:left="100"/>
              <w:spacing w:after="0"/>
              <w:rPr>
                <w:sz w:val="20"/>
                <w:szCs w:val="20"/>
                <w:color w:val="auto"/>
              </w:rPr>
            </w:pPr>
            <w:r>
              <w:rPr>
                <w:rFonts w:ascii="Arial" w:cs="Arial" w:eastAsia="Arial" w:hAnsi="Arial"/>
                <w:sz w:val="16"/>
                <w:szCs w:val="16"/>
                <w:color w:val="auto"/>
              </w:rPr>
              <w:t>Cash paid for acquisitions, net of cash acquired</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w:t>
            </w: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Decrease in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r>
      <w:tr>
        <w:trPr>
          <w:trHeight w:val="237"/>
        </w:trPr>
        <w:tc>
          <w:tcPr>
            <w:tcW w:w="452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1"/>
        </w:trPr>
        <w:tc>
          <w:tcPr>
            <w:tcW w:w="45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Repayment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4520" w:type="dxa"/>
            <w:vAlign w:val="bottom"/>
          </w:tcPr>
          <w:p>
            <w:pPr>
              <w:ind w:left="100"/>
              <w:spacing w:after="0"/>
              <w:rPr>
                <w:sz w:val="20"/>
                <w:szCs w:val="20"/>
                <w:color w:val="auto"/>
              </w:rPr>
            </w:pPr>
            <w:r>
              <w:rPr>
                <w:rFonts w:ascii="Arial" w:cs="Arial" w:eastAsia="Arial" w:hAnsi="Arial"/>
                <w:sz w:val="16"/>
                <w:szCs w:val="16"/>
                <w:color w:val="auto"/>
              </w:rPr>
              <w:t>Financings from affiliated companies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0"/>
        </w:trPr>
        <w:tc>
          <w:tcPr>
            <w:tcW w:w="4520" w:type="dxa"/>
            <w:vAlign w:val="bottom"/>
          </w:tcPr>
          <w:p>
            <w:pPr>
              <w:ind w:left="20"/>
              <w:spacing w:after="0"/>
              <w:rPr>
                <w:sz w:val="20"/>
                <w:szCs w:val="20"/>
                <w:color w:val="auto"/>
              </w:rPr>
            </w:pPr>
            <w:r>
              <w:rPr>
                <w:rFonts w:ascii="Arial" w:cs="Arial" w:eastAsia="Arial" w:hAnsi="Arial"/>
                <w:sz w:val="16"/>
                <w:szCs w:val="16"/>
                <w:color w:val="auto"/>
                <w:w w:val="96"/>
              </w:rPr>
              <w:t>Net cash provided by (used in) financing activities from continuing</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52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r>
      <w:tr>
        <w:trPr>
          <w:trHeight w:val="237"/>
        </w:trPr>
        <w:tc>
          <w:tcPr>
            <w:tcW w:w="4520" w:type="dxa"/>
            <w:vAlign w:val="bottom"/>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w:t>
            </w: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4"/>
        </w:trPr>
        <w:tc>
          <w:tcPr>
            <w:tcW w:w="452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21"/>
                <w:szCs w:val="21"/>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r>
      <w:tr>
        <w:trPr>
          <w:trHeight w:val="20"/>
        </w:trPr>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125" w:right="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which could cause delays, cancellations or reductions of key government contracts;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 as well as the additional risks and uncertainties described in “Item 1A-Risk Factors” of this Quarterly Report on Form 10-Q and our Annual Report on Form 10-K for the fiscal year ended December 30, 2012 filed with the Securities and Exchange Commission on March 12, 2013.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are a specialized security technology business providing mission critical products, services and solutions for domestic and international customers, with our principal customers being national security related agencies of the U.S. Government.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5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manufacture and design specialized electronic components, subsystems and systems for electronic attack, electronic warfare, radar, ISR,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client base, strong client relationships, broad array of contract vehicles, large employee base possessing specialized skills, extensive list of past performance qualifications, and significant management and operational capabilities position us for continued growth.</w:t>
      </w:r>
    </w:p>
    <w:p>
      <w:pPr>
        <w:spacing w:after="0" w:line="18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August 2011, Congress and the Administration enacted the Budget Control Act of 2011 (the “Budget Control Act”) in order to permit an increase in the federal government's borrowing limit while reducing projected net government spending over the next ten years. The Budget Control Act required $900 billion in immediate cuts to discretionary spending for 2012-2021. It also established a bi-partisan congressional Joint Select Committee on Deficit Reduction (the “Joint Committee”), which was charged with recommending legislation that would reduce net government spending by $1.2 to $1.5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split between defense and non-defense programs, that start in 2013 and continue over a nine-year period.</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FY 2013. The Office of Management and Budget (“OMB”) in its report to Congress on March 1, 2013, entitled “</w:t>
      </w:r>
      <w:r>
        <w:rPr>
          <w:rFonts w:ascii="Arial" w:cs="Arial" w:eastAsia="Arial" w:hAnsi="Arial"/>
          <w:sz w:val="17"/>
          <w:szCs w:val="17"/>
          <w:i w:val="1"/>
          <w:iCs w:val="1"/>
          <w:color w:val="auto"/>
        </w:rPr>
        <w:t>OMB Report to the Congress</w:t>
      </w:r>
      <w:r>
        <w:rPr>
          <w:rFonts w:ascii="Arial" w:cs="Arial" w:eastAsia="Arial" w:hAnsi="Arial"/>
          <w:sz w:val="17"/>
          <w:szCs w:val="17"/>
          <w:color w:val="auto"/>
        </w:rPr>
        <w:t xml:space="preserve"> </w:t>
      </w:r>
      <w:r>
        <w:rPr>
          <w:rFonts w:ascii="Arial" w:cs="Arial" w:eastAsia="Arial" w:hAnsi="Arial"/>
          <w:sz w:val="17"/>
          <w:szCs w:val="17"/>
          <w:i w:val="1"/>
          <w:iCs w:val="1"/>
          <w:color w:val="auto"/>
        </w:rPr>
        <w:t>on the Joint Committee Sequestration,</w:t>
      </w:r>
      <w:r>
        <w:rPr>
          <w:rFonts w:ascii="Arial" w:cs="Arial" w:eastAsia="Arial" w:hAnsi="Arial"/>
          <w:sz w:val="17"/>
          <w:szCs w:val="17"/>
          <w:color w:val="auto"/>
        </w:rPr>
        <w:t>” calculated that, over the course of the fiscal year, the order requires a 7.8 percent reduction in non-exempt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discretionary funding and a 5.0 percent reduction in non-exempt non-defense discretionary funding. The sequestration also requires reductions of 7.9 percent to non-exempt defense mandatory programs. The sequestration report provides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Balanced Budget and Emergency Deficit Control Act, as amended (“BBEDCA”), and to operate in a manner 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delay in the sequester has left the DoD less time to enact 2013 automatic spending cuts and adds to the uncertainty from such cuts. The nation's debt ceiling is currently expected to be reached in the summer of 2013. The U.S. Government continues to face substantial fiscal and economic challenges that affect funding for its discretionary and non-discretionary budget. On March 26, 2013, the President signed into law the Consolidated and Further Continuing Appropriations Act, 2013, which includes specific appropriations for our major federal customers, including the DoD. Although we are not yet able to determine all program specific impacts, we expect the reduced FY 2013 budget levels will result in lower 2013 awards on some of our programs and the related impacts to company revenues, earnings and cash flows will likely follow reduced awards.</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April 10, 2013, the President delivered his proposed FY 2014 budget to Congress. The President's $527 billion FY 2014 defense budget is slightly lower than final defense appropriations for FY 2013. While it largely reflects defense spending plans in the FY 2013 budget, it does not reflect the reductions mandated by Part II of the Budget Control Act. The Congressional appropriation and authorization of FY 2014 defense spending is likely to be marked by significant debate and an uncertain schedule. In addition, if Congress does not timely pass a FY 2014 defense appropriation or a continuing resolution, we may be required to continue to perform for some period of time on certain of our U.S. Government contracts even if the U.S. Government is unable to make timely payments.</w:t>
      </w:r>
    </w:p>
    <w:p>
      <w:pPr>
        <w:spacing w:after="0" w:line="19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Despite the sequestration order and the budget debate, we believe that spending on modernization and maintenance of foundational and strategic defense, national and homeland security assets will continue to be a national priority. The vast majority of our programs are funded in the DoD Base budget and not the Overseas Contingency Operations budget. We also believe that our business is aligned with mission critical national security priorities, particularly in the areas of unmanned aerial vehicles, cybersecurity, ballistic missile defense, satellite communications, space programs and science and technology efforts. Nevertheless, the actual impact of sequestration and the federal budget debates are uncertain at this time, and we cannot assure you that these events will not have a significant adverse effect on our business and results of operations. See the risk factor entitled “The U.S. Government provides a significant portion of our revenue, and our business could be adversely affected by changes in the fiscal policies of the U.S. Government and governmental entities” in Part II, Item 1A, "Risk Factors" of the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operate in two principal business segments: Kratos Government Solutions (“KGS”) and Public Safety &amp;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operating segments, see Note 12 of the notes to the condensed consolidated financial statements. From a customer and solutions perspective, we view our business as an integrated whole, leveraging skills and assets wherever possible.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have supplemented our organic growth by identifying, acquiring and integrating businesses that meet our primary objective of providing us with enhanced capabilities to pursue a broader cross section of the DoD, Department of Homeland Security (“DHS”) and other government markets, complement and broaden our existing client base and expand our primary service offerings. Our senior management team has significant acquisition experience.</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July 2, 2012, we completed the acquisition of CEI for approximately $164.0 million. The purchase price including an adjustment for working capital and cash to be paid to the shareholders for the 338(h)(10) election includes $135.0 million in cash and 4.0 million shares of our common stock, valued at $5.94 per share on July 2, 2012, or $23.8 million. $10.7 million of the cash paid was placed into an escrow account as security for CEI's indemnification obligations as set forth in the CEI purchase agreement and will be reduced by $1.0 million to pay the working capital adjustment owed to us in July 2013. In addition, $2.5 million was paid to retire certain pre-existing CEI debt and settle pre-existing accounts receivable from CEI at its carrying and fair value of $3.0 million. We made an election under Section 338(h)(10) of the Internal Revenue Code, which resulted in tax deductible goodwill related to this transaction and as a result will pay an estimated $1.6 million in additional tax liability incurred by the shareholders of CEI for this election. We estimate the tax deductible goodwill and intangibles, which are subject to change based upon the final fair value of assets acquired and liabilities assumed, will be approximately $140.6 million and can be deducted for federal and California state income taxes over a 15-year period.</w:t>
      </w:r>
    </w:p>
    <w:p>
      <w:pPr>
        <w:spacing w:after="0" w:line="18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connection with the completion of the CEI transaction, certain CEI personnel entered into long-term employment agreements with us. On July 2, 2012, we granted restricted stock units ("RSUs") for an aggregate 2.0 million shares of common stock as long-term retention inducement grants to certain employees of CEI who joined Kratos. The RSUs had an estimated value of $11.9 million on the grant date, vest on the fourth anniversary of the closing of the CEI acquisition, or earlier upon the occurrence of certain events, and are being accounted for as compensation expense over such four-year period.</w:t>
      </w:r>
    </w:p>
    <w:p>
      <w:pPr>
        <w:spacing w:after="0" w:line="15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To fund the acquisition of CEI, on May 14, 2012, the Company sold approximately 20.0 million shares of its common stock at a purchase price of $5.00 per share in an underwritten public offering. We received gross proceeds of approximately $100.0 million and net proceeds of approximately $97.0 million after deducting underwriting fees and other offering expenses. We used the net proceeds from this offering to fund a portion of the purchase price for the acquisition of CEI. In addition, we borrowed $40.0 million from our revolving line of credit to fund the purchase price of CEI.</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December 30, 2011, we acquired selected assets of a Critical Infrastructure Business for approximately $18.8 million, which includes a final agreement on the working capital adjustment.</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2013, we consider the following factors to be important in understanding our financial statements.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KGS' business with the U.S. Government and prime contractors is generally performed under cost reimbursable, fixed-price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segment customers under fixed price contracts, we utilize both cost-to-cost and units produced measures under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percentage-of-completion method of accounting under the provisions of Financial Accounting Standards Board (“FASB”) Accounting Standards Codification (“ASC”) </w:t>
      </w:r>
      <w:r>
        <w:rPr>
          <w:rFonts w:ascii="Arial" w:cs="Arial" w:eastAsia="Arial" w:hAnsi="Arial"/>
          <w:sz w:val="17"/>
          <w:szCs w:val="17"/>
          <w:i w:val="1"/>
          <w:iCs w:val="1"/>
          <w:color w:val="auto"/>
        </w:rPr>
        <w:t>Topic 605, Revenue Recognition</w:t>
      </w:r>
      <w:r>
        <w:rPr>
          <w:rFonts w:ascii="Arial" w:cs="Arial" w:eastAsia="Arial" w:hAnsi="Arial"/>
          <w:sz w:val="17"/>
          <w:szCs w:val="17"/>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March 25, 2012 to the Three Months Ended March 31, 2013</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$43.3 million from $209.5 million for the three months ended March 25, 2012 to $252.8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2013. KGS segment revenue increased by $33.3 million. This increase was primarily due to revenues of $25.9 million from our CEI acquisition as well as organic growth in our satellite communications business, specialized ground equipment, and cyber security businesses, partially offset by continued ongoing weakness and increased competition in our legacy government services businesses of $3.1 million and delay of service programs as a result of the continuing resolution and uncertainty related to sequestration. PSS segment revenue increased by $10.0 million due to organic growth primarily driven by revenue from large metropolitan transit authority programs. Revenues by operating segment for the three months ended March 25, 2012 and March 31, 2013 are as follows (dollars in millions):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25, 2012</w:t>
            </w:r>
          </w:p>
        </w:tc>
        <w:tc>
          <w:tcPr>
            <w:tcW w:w="2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340" w:type="dxa"/>
            <w:vAlign w:val="bottom"/>
          </w:tcPr>
          <w:p>
            <w:pPr>
              <w:spacing w:after="0"/>
              <w:rPr>
                <w:sz w:val="16"/>
                <w:szCs w:val="16"/>
                <w:color w:val="auto"/>
              </w:rPr>
            </w:pPr>
          </w:p>
        </w:tc>
        <w:tc>
          <w:tcPr>
            <w:tcW w:w="136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900" w:type="dxa"/>
            <w:vAlign w:val="bottom"/>
          </w:tcPr>
          <w:p>
            <w:pPr>
              <w:jc w:val="right"/>
              <w:ind w:right="5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4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4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7"/>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Product sales increased $29.9 million from $107.4 million for the three months ended March 25, 2012 to $137.3 million for the three months ended March 31, 2013. As a percentage of total revenue, product sales were 51.3% for the three months ended March 25, 2012 as compared to 54.3% for the three months ended March 31, 2013. The increase in product sales was primarily related to the acquisition of CEI. Service revenues increased by $13.4 million from $102.1 million for the three months ended March 25, 2012 to $115.5 million for the three months ended March 31, 2013. The increase was primarily related to the organic growth in the PSS segment, partially offset by the reductions in the legacy government service revenue in other business units in the KGS segment as discussed above.</w:t>
      </w:r>
    </w:p>
    <w:p>
      <w:pPr>
        <w:spacing w:after="0" w:line="19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$35.4 million from $151.7 million for the three months ended March 25, 2012 to $187.1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2013. The increase in cost of revenues was primarily a result of our acquisition of CEI and costs related to revenue from organic growth in our PSS segment as discussed above.</w:t>
      </w:r>
    </w:p>
    <w:p>
      <w:pPr>
        <w:spacing w:after="0" w:line="18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Gross margin decreased from 27.6% for the three months ended March 25, 2012 to 26.0% for the three months ended March 31, 2013. Margins on services increased for the three months ended March 25, 2012 as compared to March 31, 2013, from 21.8% to 23.6%, respectively, due primarily to increased margins in our KGS segment. Margins on products decreased for the three months ended March 25, 2012 as compared to March 31, 2013 from 33.1% to</w:t>
      </w:r>
    </w:p>
    <w:p>
      <w:pPr>
        <w:spacing w:after="0" w:line="254" w:lineRule="auto"/>
        <w:rPr>
          <w:sz w:val="20"/>
          <w:szCs w:val="20"/>
          <w:color w:val="auto"/>
        </w:rPr>
      </w:pPr>
      <w:r>
        <w:rPr>
          <w:rFonts w:ascii="Arial" w:cs="Arial" w:eastAsia="Arial" w:hAnsi="Arial"/>
          <w:sz w:val="18"/>
          <w:szCs w:val="18"/>
          <w:color w:val="auto"/>
        </w:rPr>
        <w:t>28.0%, respectively, as a result of an increase in the shipment of specialized ground equipment, which has lower margins than other products. Margins in the KGS segment decreased from 28.1% for the three months ended March 25, 2012 to 26.2% for the three months ended March 31, 2013, primarily as a result of the mix of products shipped. Margins in the PSS segment remained fairly flat at 25.6% for the three months ended March 25, 2012 and 25.3% for the three months ended March 31, 2013.</w:t>
      </w:r>
    </w:p>
    <w:p>
      <w:pPr>
        <w:spacing w:after="0" w:line="19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increased $5.0 million from $44.2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March 25, 2012 to $49.2 million for the three months ended March 31, 2013. The increase was primarily a result of the acquisition of CEI. As a percentage of revenues, SG&amp;A decreased from 21.1% to 19.5%. Excluding amortization of intangibles of $10.5 million for the three months ended March 25, 2012 and amortization of intangibles of $9.3 million for the three months ended March 31, 2013, SG&amp;A decreased slightly as a percentage of revenues from 16.1% to 15.8% for the three months ended March 25, 2012 and March 31, 2013, respectively.</w:t>
      </w:r>
    </w:p>
    <w:p>
      <w:pPr>
        <w:spacing w:after="0" w:line="17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for the three months ended March 25, 2012 and March 31, 2013 were $0.9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$0.1 million, respectively.</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$3.6 million for the three months ended March 25, 2012</w:t>
      </w:r>
      <w:r>
        <w:rPr>
          <w:rFonts w:ascii="Arial" w:cs="Arial" w:eastAsia="Arial" w:hAnsi="Arial"/>
          <w:sz w:val="18"/>
          <w:szCs w:val="18"/>
          <w:i w:val="1"/>
          <w:iCs w:val="1"/>
          <w:color w:val="auto"/>
        </w:rPr>
        <w:t xml:space="preserve"> </w:t>
      </w:r>
      <w:r>
        <w:rPr>
          <w:rFonts w:ascii="Arial" w:cs="Arial" w:eastAsia="Arial" w:hAnsi="Arial"/>
          <w:sz w:val="18"/>
          <w:szCs w:val="18"/>
          <w:color w:val="auto"/>
        </w:rPr>
        <w:t>to $4.9 million for the three months ended March 31, 2013 due to select investments we are making to enhance certain satellite and electronic warfare/electronic attack products and the acquisition of CEI.</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increased from $15.7 million to $16.9 million for the three months ended March 25, 2012 and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2013, respectively. The increase in expense of $1.2 million is primarily related to a $0.8 million year over year increase in foreign currency transaction losses.</w:t>
      </w:r>
    </w:p>
    <w:p>
      <w:pPr>
        <w:spacing w:after="0" w:line="12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Income tax benefit for the three months ended March 25, 2012 was $4.1 million and the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2013 was $2.8 million, on a loss before income taxes of $6.6 million and $5.4 million, respectively. The tax benefit of $4.1 million and expense of $2.8 million for the three months ended March 25, 2012 and March 31, 2013, respectively, were primarily a function of the estimated effective tax rate for the respective years. The estimated effective tax rate for any given year is driven by estimated foreign taxes, estimated state taxes,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permanent book/tax differences, tax amortization of intangible assets that have an indefinite life under GAAP and the projected income or loss for the year.</w:t>
      </w:r>
    </w:p>
    <w:p>
      <w:pPr>
        <w:spacing w:after="0" w:line="248" w:lineRule="exact"/>
        <w:rPr>
          <w:sz w:val="20"/>
          <w:szCs w:val="20"/>
          <w:color w:val="auto"/>
        </w:rPr>
      </w:pPr>
    </w:p>
    <w:p>
      <w:pPr>
        <w:ind w:right="40" w:firstLine="693"/>
        <w:spacing w:after="0" w:line="276" w:lineRule="auto"/>
        <w:rPr>
          <w:sz w:val="20"/>
          <w:szCs w:val="20"/>
          <w:color w:val="auto"/>
        </w:rPr>
      </w:pPr>
      <w:r>
        <w:rPr>
          <w:rFonts w:ascii="Arial" w:cs="Arial" w:eastAsia="Arial" w:hAnsi="Arial"/>
          <w:sz w:val="17"/>
          <w:szCs w:val="17"/>
          <w:i w:val="1"/>
          <w:iCs w:val="1"/>
          <w:color w:val="auto"/>
        </w:rPr>
        <w:t xml:space="preserve">Income from Discontinued Operations. </w:t>
      </w:r>
      <w:r>
        <w:rPr>
          <w:rFonts w:ascii="Arial" w:cs="Arial" w:eastAsia="Arial" w:hAnsi="Arial"/>
          <w:sz w:val="17"/>
          <w:szCs w:val="17"/>
          <w:color w:val="auto"/>
        </w:rPr>
        <w:t>Revenue from discontinued operations was $5.6 million and $3.6 million, tax expense was $0.1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$0.0 million, and loss from discontinued operations was $0.5 million and $2.1 million for the three months ended March 25, 2012 and March 31, 2013, respectively. The revenue and income for the three months ended March 25, 2012 and March 31, 2013 was primarily related to operations of the non-core businesses from the Integral acquisition that have been classified as held for sale. During the three months ended March 31, 2013, we also recorded a $1.2 million impairment charge related to our revised estimate of the fair value of these operations (See Note 8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of March 25, 2012 and March 31, 2013, our backlog was approximately $1.1 billion and $1.2 billion, respectively, of which $500.0 million was funded in 2012 and $604.0 million was funded in 2013.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March 31, 2013, we had cash and cash equivalents of $51.6 million compared with cash and cash equivalents of $49.0 million as of December 30, 2012, which includes $19.2 million and $15.2 million, respectively, of cash and cash equivalents held by our foreign subsidiaries. We are not presently aware of any restrictions on the repatriation of these funds, although a portion may be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total debt, including capital lease obligations, principal due on the Notes, other term debt, and the premium of $17.7 million received on Notes issued, decreased by $1.4 million from $650.3 million on December 30, 2012 to $648.9 million on March 31, 2013. The decrease in debt was primarily the result of the amortization of the premium on the Notes of approximately $1.0 million and a $0.3 million principal payment on a ten-year term loan with a bank in Israel.</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operating cash flow is used to finance trade accounts receivable, fund necessary increases in inventory, fund capital expenditures and our ongoing operations, service our debt and make strategic acquisitions. Financing trade accounts receivable is necessary because, on average, our customers do not pay us as quickly as we pay our vendors and employees for their goods and services.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accounts receivable balance of $281.8 million at March 31, 2013 includes $1.3 million of receivables due from a Greek customer under a subcontract arrangement Gichner Holdings, Inc. ("Gichner") entered into with the Greek Ministry of Defense (GMoD) in 2004 prior to our acquisition of Gichner in 2010. After numerous delays by our customer and the GMoD, activity has resumed on the project. We currently expect product shipments to continue through late 2013 when the final shipment is delivered. We do not have any significant direct exposure to European government receivables, and our customers do not rely heavily on European government subsidies or other European government support. We will continue to monitor our exposure to risks relating to European sovereign debt.</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392"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25, 2012</w:t>
            </w:r>
          </w:p>
        </w:tc>
        <w:tc>
          <w:tcPr>
            <w:tcW w:w="200" w:type="dxa"/>
            <w:vAlign w:val="bottom"/>
          </w:tcPr>
          <w:p>
            <w:pPr>
              <w:spacing w:after="0"/>
              <w:rPr>
                <w:sz w:val="22"/>
                <w:szCs w:val="22"/>
                <w:color w:val="auto"/>
              </w:rPr>
            </w:pPr>
          </w:p>
        </w:tc>
        <w:tc>
          <w:tcPr>
            <w:tcW w:w="1300" w:type="dxa"/>
            <w:vAlign w:val="bottom"/>
          </w:tcPr>
          <w:p>
            <w:pPr>
              <w:jc w:val="right"/>
              <w:ind w:right="199"/>
              <w:spacing w:after="0"/>
              <w:rPr>
                <w:sz w:val="20"/>
                <w:szCs w:val="20"/>
                <w:color w:val="auto"/>
              </w:rPr>
            </w:pPr>
            <w:r>
              <w:rPr>
                <w:rFonts w:ascii="Arial" w:cs="Arial" w:eastAsia="Arial" w:hAnsi="Arial"/>
                <w:sz w:val="14"/>
                <w:szCs w:val="14"/>
                <w:b w:val="1"/>
                <w:bCs w:val="1"/>
                <w:color w:val="auto"/>
              </w:rPr>
              <w:t>March 31, 2013</w:t>
            </w:r>
          </w:p>
        </w:tc>
      </w:tr>
      <w:tr>
        <w:trPr>
          <w:trHeight w:val="24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cash provided by operating activities from continuing operations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Cash provided by operating activities from continuing operations for the three months ended March 25, 2012 includes $2.3 million in transaction costs paid related to our acquisitions.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25, 2012</w:t>
            </w:r>
          </w:p>
        </w:tc>
        <w:tc>
          <w:tcPr>
            <w:tcW w:w="180" w:type="dxa"/>
            <w:vAlign w:val="bottom"/>
          </w:tcPr>
          <w:p>
            <w:pPr>
              <w:spacing w:after="0"/>
              <w:rPr>
                <w:sz w:val="22"/>
                <w:szCs w:val="22"/>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rPr>
              <w:t>March 31, 2013</w:t>
            </w:r>
          </w:p>
        </w:tc>
      </w:tr>
      <w:tr>
        <w:trPr>
          <w:trHeight w:val="236"/>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Cash paid for acquisitions, net of cash acquired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Cash paid for acquisitions was the most significant outlay for investing activities for the three months ended March 25, 2012, as a result of the implementation of our strategy to diversify our business through strategic acquisitions. On December 30, 2011, we acquired selected assets of the Critical Infrastructure Business for approximately $20.0 million. In March 2012, we paid $1.5 million related to the contingent acquisition consideration for SecureInfo for performance milestones achieved in 2011.</w:t>
      </w:r>
    </w:p>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Capital expenditures consist primarily of investment in machinery, computer hardware and software, and improvement of our physical properties in order to maintain suitable conditions in which to conduct our business. The increase in capital expenditures of $0.5 million from $2.7 million for the three months ended March 25, 2012 to $3.3 million for the three months ended March 31, 2013 was primarily a result of capital equipment expenditures made by CEI.</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financing activities from continuing operations is summarized as follows (in millions):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25, 2012</w:t>
            </w:r>
          </w:p>
        </w:tc>
        <w:tc>
          <w:tcPr>
            <w:tcW w:w="220" w:type="dxa"/>
            <w:vAlign w:val="bottom"/>
          </w:tcPr>
          <w:p>
            <w:pPr>
              <w:spacing w:after="0"/>
              <w:rPr>
                <w:sz w:val="22"/>
                <w:szCs w:val="22"/>
                <w:color w:val="auto"/>
              </w:rPr>
            </w:pPr>
          </w:p>
        </w:tc>
        <w:tc>
          <w:tcPr>
            <w:tcW w:w="1340" w:type="dxa"/>
            <w:vAlign w:val="bottom"/>
          </w:tcPr>
          <w:p>
            <w:pPr>
              <w:jc w:val="right"/>
              <w:ind w:right="214"/>
              <w:spacing w:after="0"/>
              <w:rPr>
                <w:sz w:val="20"/>
                <w:szCs w:val="20"/>
                <w:color w:val="auto"/>
              </w:rPr>
            </w:pPr>
            <w:r>
              <w:rPr>
                <w:rFonts w:ascii="Arial" w:cs="Arial" w:eastAsia="Arial" w:hAnsi="Arial"/>
                <w:sz w:val="14"/>
                <w:szCs w:val="14"/>
                <w:b w:val="1"/>
                <w:bCs w:val="1"/>
                <w:color w:val="auto"/>
              </w:rPr>
              <w:t>March 31, 2013</w:t>
            </w:r>
          </w:p>
        </w:tc>
      </w:tr>
      <w:tr>
        <w:trPr>
          <w:trHeight w:val="236"/>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5820" w:type="dxa"/>
            <w:vAlign w:val="bottom"/>
          </w:tcPr>
          <w:p>
            <w:pPr>
              <w:ind w:left="380"/>
              <w:spacing w:after="0"/>
              <w:rPr>
                <w:sz w:val="20"/>
                <w:szCs w:val="20"/>
                <w:color w:val="auto"/>
              </w:rPr>
            </w:pPr>
            <w:r>
              <w:rPr>
                <w:rFonts w:ascii="Arial" w:cs="Arial" w:eastAsia="Arial" w:hAnsi="Arial"/>
                <w:sz w:val="18"/>
                <w:szCs w:val="18"/>
                <w:color w:val="auto"/>
              </w:rPr>
              <w:t>Net cash used in financing activities from continuing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240" w:type="dxa"/>
            <w:vAlign w:val="bottom"/>
            <w:tcBorders>
              <w:bottom w:val="single" w:sz="8" w:color="auto"/>
            </w:tcBorders>
            <w:gridSpan w:val="5"/>
          </w:tcPr>
          <w:p>
            <w:pPr>
              <w:jc w:val="right"/>
              <w:ind w:right="87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8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25, 2012</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March 31, 2013</w:t>
            </w: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discontinued operations</w:t>
            </w:r>
          </w:p>
        </w:tc>
        <w:tc>
          <w:tcPr>
            <w:tcW w:w="1300" w:type="dxa"/>
            <w:vAlign w:val="bottom"/>
            <w:shd w:val="clear" w:color="auto" w:fill="CCEEFF"/>
          </w:tcPr>
          <w:p>
            <w:pPr>
              <w:jc w:val="right"/>
              <w:ind w:right="1122"/>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r>
      <w:tr>
        <w:trPr>
          <w:trHeight w:val="27"/>
        </w:trPr>
        <w:tc>
          <w:tcPr>
            <w:tcW w:w="48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 from discontinued operations is primarily related to non-core businesses we acquired in the Integral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fund our acquisitions in 2011 and 2012, we issued equity and increased our leverage through a series of financing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On May 19, 2010, we entered into an indenture with the guarantors set forth therein and Wilmington Trust FSB, as trustee and collateral agent (as amended or supplemented the “Indenture”), to issue the Notes. As of March 31, 2013, we have issued Notes in the aggregate principal amount of $625.0 million under the Indenture, of which $225.0 million were issued on May 19, 2010, $285.0 million were issued on March 25, 2011 at a $20.0 million premium and an effective interest rate of 8.5 % and $115.0 million were issued on July 27, 2011 at a $5.8 million premium and an effective interest rate of</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8.9%. These Notes have been used to fund acquisitions and for general corporate purposes. The holders of the Notes have a first priority lien on substantially all of our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9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pay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31, 2013, we were in compliance with the covenants contained in the Indenture governing the Notes.</w:t>
      </w:r>
    </w:p>
    <w:p>
      <w:pPr>
        <w:spacing w:after="0" w:line="15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Notes at 110% of the aggregate principal amount of the Notes, plus accrued and unpaid interest to the date of redemption, with the net cash proceeds of certain equity offerings. In addition, we may, at our option, redeem some or all of the Notes at any time prior to June 1, 2014, by paying a “make whole” premium, plus accrued and unpaid interest, if any, to the date of redemption. The Company may also at any time purchase outstanding Notes traded on the open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On July 27, 2011, we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establishes a five-year senior secured revolving credit facility in the amount of $65.0 million (as amended as described below, the “Amended Revolver”). The Amended Revolver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140" w:firstLine="612"/>
        <w:spacing w:after="0" w:line="279" w:lineRule="auto"/>
        <w:rPr>
          <w:sz w:val="20"/>
          <w:szCs w:val="20"/>
          <w:color w:val="auto"/>
        </w:rPr>
      </w:pPr>
      <w:r>
        <w:rPr>
          <w:rFonts w:ascii="Arial" w:cs="Arial" w:eastAsia="Arial" w:hAnsi="Arial"/>
          <w:sz w:val="17"/>
          <w:szCs w:val="17"/>
          <w:color w:val="auto"/>
        </w:rPr>
        <w:t>On May 4, 2012, we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revolving amount capacity of the 2011Credit Agreement to $135.0 million, and (v) updated certain schedules to the 2011 Credit Agreement.</w:t>
      </w:r>
    </w:p>
    <w:p>
      <w:pPr>
        <w:spacing w:after="0" w:line="171"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On May 8, 2012, we entered into a third amendment (the "Third Amendment") to the 2011 Credit Agreement. Under the terms of the Third Amendment, the definitions of certain terms of the 2011 Credit Agreement were modified and the acquisition of CEI was approved. We used the net proceeds from the sale of 20.0 million shares of our common stock, together with a $40.0 million borrowing under the Amended Revolver, to fund the purchase of the CEI and to pay related fees and expenses. As of September 30, 2012, we repaid the $40.0 million borrowing under our credit facility.</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February 27, 2013, we entered into a fourth amendment (the "Fourth Amendment") to the 2011 Credit Agreement. Under the terms of the Fourth Amendment, the definition of certain terms of the 2011 Credit Agreement and reporting requirements were modified.</w:t>
      </w:r>
    </w:p>
    <w:p>
      <w:pPr>
        <w:spacing w:after="0" w:line="170"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we are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We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March 31, 2013, there were no outstanding borrowings on the Amended Revolver and $14.1 million was outstanding on letters of credit resulting in net borrowing base availability of $91.7 million. We were in compliance with the financial covenants as of March 31, 2013.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We assumed a $10.0 million ten-year term loan with a bank in Israel that Herley entered into on September 16, 2008 in connection with the acquisition of one of its wholly owned subsidiaries. The balance as of March 31, 2013 was $5.5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March 31, 2013.</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and Liabilities in Connection with Acquisitions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Topic 805</w:t>
      </w:r>
      <w:r>
        <w:rPr>
          <w:rFonts w:ascii="Arial" w:cs="Arial" w:eastAsia="Arial" w:hAnsi="Arial"/>
          <w:sz w:val="18"/>
          <w:szCs w:val="18"/>
          <w:color w:val="auto"/>
        </w:rPr>
        <w:t>, such amounts are recorded at fair value on the acquisition date.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agreement and plan of merger entered into in connection with our acquisition of SecureInfo provided that upon achievement of certain cash receipts, revenue and EBITDA in 2011, we were obligated to pay the former stockholders of SecureInfo additional cash contingent consideration. In March 2012, we paid $1.5 million related to this contingent consideration.</w:t>
      </w:r>
    </w:p>
    <w:p>
      <w:pPr>
        <w:spacing w:after="0" w:line="181"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color w:val="auto"/>
        </w:rPr>
        <w:t>Pursuant to the terms of the agreement and plan of merger with DEI Services Corporation entered into on August 9, 2010 (“the DEI Agreement”), upon achievement of certain cash receipts, revenue, EBITDA and backlog amounts in 2010, 2011 and 2012, we will be obligated to pay certain additional contingent consideration (the “DEI Contingent Consideration”). We have paid $2.9 million related to the DEI Contingent Consideration, of which</w:t>
      </w:r>
    </w:p>
    <w:p>
      <w:pPr>
        <w:ind w:right="100"/>
        <w:spacing w:after="0" w:line="261" w:lineRule="auto"/>
        <w:rPr>
          <w:sz w:val="20"/>
          <w:szCs w:val="20"/>
          <w:color w:val="auto"/>
        </w:rPr>
      </w:pPr>
      <w:r>
        <w:rPr>
          <w:rFonts w:ascii="Arial" w:cs="Arial" w:eastAsia="Arial" w:hAnsi="Arial"/>
          <w:sz w:val="18"/>
          <w:szCs w:val="18"/>
          <w:color w:val="auto"/>
        </w:rPr>
        <w:t>$2.5 million was paid in April 2012. As of March 31, 2013, the undiscounted amount of future DEI Contingent Consideration that is payable by us under the DEI Agreement is $2.1 million, which was paid in April of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Amended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three months ended March 31, 2013, there have been no significant changes to our Critical Accounting Policies or Estimates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February 2013, the Financial Accounting Standards Board ("FASB") issued "Comprehensive Income: Reporting of Amounts Reclassified Out of Accumulated Other Comprehensive Income," which requires entities to provide information about the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standard is effective prospectively for reporting periods beginning after December 15, 2012. The Company adopted this standard in the quarter ended March 31, 2013, which did not have a material impact on its consolidated financial statements.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December 2011 and February 2013, the FASB issued an amendment to the Balance Sheet topic of the Accounting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Standards Codification ("ASC"), which requires entities to disclose both gross and net information about both derivatives and transactions eligible for offset in the statement of financial position and instruments and transactions subject to an agreement similar to a master netting agreement. The objective of the disclosure is to facilitate comparison between those entities that prepare their financial statements on the basis of GAAP and those entities that prepare their financial statements on the basis of International Financial Reporting Standards. This standard is effective for fiscal years, and interim periods within those years, beginning on or after January 1, 2013. Retrospective presentation for all comparative periods presented is required. Accordingly, the Company will adopt this amendment in the first quarter of fiscal year 2014. The Company does not believe that the adoption of this guidance will have a material impact on its consolidated financial statements.</w:t>
      </w:r>
    </w:p>
    <w:p>
      <w:pPr>
        <w:spacing w:after="0" w:line="81" w:lineRule="exact"/>
        <w:rPr>
          <w:sz w:val="20"/>
          <w:szCs w:val="20"/>
          <w:color w:val="auto"/>
        </w:rPr>
      </w:pPr>
    </w:p>
    <w:p>
      <w:pPr>
        <w:ind w:right="180" w:firstLine="567"/>
        <w:spacing w:after="0" w:line="277" w:lineRule="auto"/>
        <w:rPr>
          <w:sz w:val="20"/>
          <w:szCs w:val="20"/>
          <w:color w:val="auto"/>
        </w:rPr>
      </w:pPr>
      <w:r>
        <w:rPr>
          <w:rFonts w:ascii="Arial" w:cs="Arial" w:eastAsia="Arial" w:hAnsi="Arial"/>
          <w:sz w:val="18"/>
          <w:szCs w:val="18"/>
          <w:color w:val="auto"/>
        </w:rPr>
        <w:t>Other than as noted above, there have been no changes in the Company's significant accounting policies for the three months ended March 31, 2013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Amended Revolver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and cash equivalents as of March 31, 2013 were $51.6 million and are primarily invested in money market interest bearing accounts. A hypothetical 10% adverse change in the average interest rate on our money market cash investments and short-term investments would have had no material effect on our net loss for the three months ended March 31, 2013.</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March 31,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three months ended March 31, 2013 that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13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30, 2012, which we filed with the SEC on March 12, 2013. The risks and uncertainties described in “Item 1A - Risk Factors” of our Annual Report on Form 10-K have not materially changed. Any of the risks discussed in this Quarterly Report on Form 10-Q or any of the risks disclosed in Item 1A. to Part I of our Annual Report on Form 10-K for the fiscal year ended December 30, 2012, as well as additional risks and uncertainties not currently known to us or that we currently deem immaterial, could materially and adversely affect our results of operations or financial condition.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quarter ended March 31, 2013 that were not previously disclosed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February 27, 2013, the Company entered into a fourth amendment (the “Fourth Amendment”) to the 2011 Credit Agreement. Under the terms of the Fourth Amendment, the definition of certain terms of the 2011 Credit Agreement and reporting requirements were modified. The foregoing description of the Fourth Amendment does not purport to be complete and is subject to, and qualified in its entirety by, the full text of the Fourth Amendment, a copy of which is attached hereto as Exhibit 10.1 and the terms of which are incorporated herein by reference.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Stock Purchase Agreement, dated May 8, 2012,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Composite Engineering, Inc., and Amy Fournier,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stockholders representative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May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Integral Systems, Inc., IRIS Merger Sub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IRIS Acquisition Sub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Agreement and Plan of Merger, dated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Solutions, Inc., Lanza Acquisition, Co. and Herley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Industries, Inc. (incorporated by reference to Annex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to the Prospectus Supplement dated February 8,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pursuant to the Registration Statement on Form S-3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into Wireless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Facilities,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Certificate of Amendment to Amended and Restated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Incorporation of Kratos Defense &amp;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Series A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Series B Preferred Stock (included as Exhibit A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Preferred Stock Purchase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May 16, 2002 among the Company, Meritech Capital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II L.P., Meritech Capital Affiliates II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MCB Entrepreneur Partners II L.P., Oak Investment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X, Limited Partnership, Oak X Affiliates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Fund, Limited Partnership, Oak Investment Partners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IX, L.P, Oak Affiliates Fund, L.P, Oak IX Affiliates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Fund-A, L.P, and the KLS Trust dated July 14, 1999).</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Certificate of Designation of Series C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Second Amended and Restated Bylaws of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Rights Agreement, dated as of December 16, 2004,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Wells Fargo, N.A.</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Amendment No. 1 to Rights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May 14, 2012, between Kratos Defense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3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2/8/2011</w:t>
            </w: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09/14/2007</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09/27/2009</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09/30/2001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880" w:type="dxa"/>
            <w:vAlign w:val="bottom"/>
          </w:tcPr>
          <w:p>
            <w:pPr>
              <w:jc w:val="center"/>
              <w:ind w:right="330"/>
              <w:spacing w:after="0"/>
              <w:rPr>
                <w:sz w:val="20"/>
                <w:szCs w:val="20"/>
                <w:color w:val="auto"/>
              </w:rPr>
            </w:pPr>
            <w:r>
              <w:rPr>
                <w:rFonts w:ascii="Arial" w:cs="Arial" w:eastAsia="Arial" w:hAnsi="Arial"/>
                <w:sz w:val="18"/>
                <w:szCs w:val="18"/>
                <w:color w:val="auto"/>
              </w:rPr>
              <w:t>8-K/A</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6/5/2002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03/15/2011</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12/26/2010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702"/>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05/15/2012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5500" w:space="120"/>
            <w:col w:w="5800"/>
          </w:cols>
          <w:pgMar w:left="240" w:top="125"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Indenture, dated as of May 19, 2010,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10% Senior Secured Notes due 2017 as an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exhibit thereto).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as of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listed on Exhibit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thereto and Wilmington Trust FSB, to the Indenture,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as of May 19, 2010 (as amended 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supplemented),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party thereto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1,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to the Indenture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amended or supplemented), dated as of May 19,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guarantors party thereto and Wilmington Trust FSB,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Third Supplemental Indenture, dated April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Solutions, Inc., the guaranteeing subsidiaries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therein and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Sixth Supplemental Indenture, dated July 27,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Wilmington Trust, National Association (as successor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merger to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connection with the 2010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 connection with the August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in connection with the October 2011 exchange offer).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40" w:val="left"/>
          <w:tab w:leader="none" w:pos="3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02/07/2011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04/20/2011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06/28/10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06/07/2011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10/25/2011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416"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right"/>
              <w:ind w:right="43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Registration Rights Agreement,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set forth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Jefferies &amp; Company, Inc., B. Riley &amp; Co., LLC,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Imperial Capital, LLC, Keybanc Capital Markets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Noble International Investments, Inc.</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Indenture, dated March 25, 2011,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Acquisition Co. Lanza Parent, the Guarantors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a party thereto,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Form of 10% Senior Secured Notes).</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First Supplemental Indenture, date April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Herley Industries, Inc. and Wilmington Trust FSB,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Trustee and Collateral Agent, to the Indenture,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of March 25, 2011,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Security Solutions, Inc., the Guarantor party thereto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and Wilmington Trust FSB, as Trustee and Collateral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Registration Rights Agreement, dated March 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Solutions, Inc., Acquisition Co. Lanza Parent, Lanza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Co., the Guarantors named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Jefferies &amp; Company, Inc., KeyBanc Capital Markets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Oppenheimer &amp; Co. Inc.</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dated July 27,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the guarantors named therein, Jefferies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Company, Inc., KeyBanc Capital Markets Inc. and 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Riley &amp; Co., LLC.</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Fourth Amendment to Credit and Security Agreement,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dated as of February 27, 2013, among Kratos Defense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&amp; Security Solutions, the lenders named therein,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KeyBank National Association.</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Certification of Chief Executive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Certification pursuant to 18 U.S.C. Section 1350,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adopted pursuant to Section 906 of the Sarbanes-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Oxley Act of 2002 for Eric M. DeMarco.</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Certification pursuant to 18 U.S.C. Section 1350,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adopted pursuant to Section 906 of the Sarbanes-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Oxley Act of 2002 for Deanna Lund.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04/04/11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07/29/2011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ectPr>
          <w:pgSz w:w="11900" w:h="16838" w:orient="portrait"/>
          <w:cols w:equalWidth="0" w:num="2">
            <w:col w:w="5500" w:space="120"/>
            <w:col w:w="580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ind w:left="520"/>
              <w:spacing w:after="0"/>
              <w:rPr>
                <w:sz w:val="20"/>
                <w:szCs w:val="20"/>
                <w:color w:val="auto"/>
              </w:rPr>
            </w:pPr>
            <w:r>
              <w:rPr>
                <w:rFonts w:ascii="Arial" w:cs="Arial" w:eastAsia="Arial" w:hAnsi="Arial"/>
                <w:sz w:val="18"/>
                <w:szCs w:val="18"/>
                <w:color w:val="auto"/>
              </w:rPr>
              <w:t>101†</w:t>
            </w: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 10-Q of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6"/>
              </w:rPr>
              <w:t>Solutions, Inc. for the quarter ended March 31, 2013,</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formatted in XBRL: (i) the Condensed Consolidated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Balance Sheets, (ii) the Condensed Consolidated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2"/>
              </w:rPr>
              <w:t>Statements of Operations and Comprehensive Income,</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540" w:right="6080" w:hanging="6"/>
        <w:spacing w:after="0" w:line="255" w:lineRule="auto"/>
        <w:tabs>
          <w:tab w:leader="none" w:pos="18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(iv) the Notes to the Condensed Consolidated Financial Statements.</w:t>
      </w:r>
    </w:p>
    <w:p>
      <w:pPr>
        <w:spacing w:after="0" w:line="200" w:lineRule="exact"/>
        <w:rPr>
          <w:rFonts w:ascii="Arial" w:cs="Arial" w:eastAsia="Arial" w:hAnsi="Arial"/>
          <w:sz w:val="18"/>
          <w:szCs w:val="18"/>
          <w:color w:val="auto"/>
        </w:rPr>
      </w:pPr>
    </w:p>
    <w:p>
      <w:pPr>
        <w:spacing w:after="0" w:line="395" w:lineRule="exact"/>
        <w:rPr>
          <w:rFonts w:ascii="Arial" w:cs="Arial" w:eastAsia="Arial" w:hAnsi="Arial"/>
          <w:sz w:val="18"/>
          <w:szCs w:val="18"/>
          <w:color w:val="auto"/>
        </w:rPr>
      </w:pPr>
    </w:p>
    <w:p>
      <w:pPr>
        <w:ind w:right="540" w:firstLine="8"/>
        <w:spacing w:after="0" w:line="308" w:lineRule="auto"/>
        <w:tabs>
          <w:tab w:leader="none" w:pos="27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73" w:lineRule="exact"/>
        <w:rPr>
          <w:sz w:val="20"/>
          <w:szCs w:val="20"/>
          <w:color w:val="auto"/>
        </w:rPr>
      </w:pPr>
    </w:p>
    <w:p>
      <w:pPr>
        <w:ind w:right="280" w:firstLine="8"/>
        <w:spacing w:after="0" w:line="264"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LAURA L. SIEGAL,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Laura L. Siegal</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Chief Compliance Officer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89"/>
              </w:rPr>
              <w:t>Secretary/Registered In-House Counsel</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May 9, 2013</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45</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FOURTH AMENDMENT AGREEMENT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FOURTH AMENDMENT AGREEMENT (this “Amendment”) is made as of the 27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February, 2013 among:</w:t>
      </w:r>
    </w:p>
    <w:p>
      <w:pPr>
        <w:spacing w:after="0" w:line="184" w:lineRule="exact"/>
        <w:rPr>
          <w:sz w:val="20"/>
          <w:szCs w:val="20"/>
          <w:color w:val="auto"/>
        </w:rPr>
      </w:pPr>
    </w:p>
    <w:p>
      <w:pPr>
        <w:ind w:left="1120" w:hanging="464"/>
        <w:spacing w:after="0"/>
        <w:tabs>
          <w:tab w:leader="none" w:pos="11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KRATOS DEFENSE &amp; SECURITY SOLUTIONS, INC., a Delaware corporation (the “Borrower”);</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Lenders, as defined in the Credit Agreement, as hereinafter defined; and</w:t>
      </w:r>
    </w:p>
    <w:p>
      <w:pPr>
        <w:spacing w:after="0" w:line="260" w:lineRule="exact"/>
        <w:rPr>
          <w:rFonts w:ascii="Arial" w:cs="Arial" w:eastAsia="Arial" w:hAnsi="Arial"/>
          <w:sz w:val="22"/>
          <w:szCs w:val="22"/>
          <w:color w:val="auto"/>
        </w:rPr>
      </w:pPr>
    </w:p>
    <w:p>
      <w:pPr>
        <w:ind w:firstLine="656"/>
        <w:spacing w:after="0" w:line="263" w:lineRule="auto"/>
        <w:tabs>
          <w:tab w:leader="none" w:pos="1212" w:val="left"/>
        </w:tabs>
        <w:numPr>
          <w:ilvl w:val="0"/>
          <w:numId w:val="21"/>
        </w:numPr>
        <w:rPr>
          <w:rFonts w:ascii="Arial" w:cs="Arial" w:eastAsia="Arial" w:hAnsi="Arial"/>
          <w:sz w:val="22"/>
          <w:szCs w:val="22"/>
          <w:color w:val="auto"/>
        </w:rPr>
      </w:pPr>
      <w:r>
        <w:rPr>
          <w:rFonts w:ascii="Arial" w:cs="Arial" w:eastAsia="Arial" w:hAnsi="Arial"/>
          <w:sz w:val="22"/>
          <w:szCs w:val="22"/>
          <w:color w:val="auto"/>
        </w:rPr>
        <w:t>KEYBANK NATIONAL ASSOCIATION, as the lead arranger, sole book runner and administrative agent for the Lenders under the Credit Agreement (the “Administrative Agent”).</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the Borrower, the Administrative Agent and the Lenders are parties to that certain Credit and Security Agreement, dated as of May 19, 2010, as amended and restated as of July 27, 2011, that provides, among other things, for loans and letters of credit aggregating One Hundred Ten Million Dollars ($110,000,000), all upon certain terms and conditions (as amended and as the same may from time to time be further amended, restated or otherwise modified, the “Credit Agreement”);</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Borrower, the Administrative Agent and the Lenders desire to amend the Credit Agreement to modify certain provisions thereof and add certain provisions thereto;</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each capitalized term used herein and defined in the Credit Agreement, but not otherwise defined herein, shall have the meaning given such term in the Credit Agreement; and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unless otherwise specifically provided herein, the provisions of the Credit Agreement revised herein are amended effective as of the date of this Amendment;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and of the mutual covenants herein and for other valuable consideration, the receipt and sufficiency of which is hereby acknowledged, the Borrower, the Administrative Agent and the Lenders agree as follows:</w:t>
      </w:r>
    </w:p>
    <w:p>
      <w:pPr>
        <w:spacing w:after="0" w:line="226" w:lineRule="exact"/>
        <w:rPr>
          <w:sz w:val="20"/>
          <w:szCs w:val="20"/>
          <w:color w:val="auto"/>
        </w:rPr>
      </w:pPr>
    </w:p>
    <w:p>
      <w:pPr>
        <w:ind w:right="20" w:firstLine="656"/>
        <w:spacing w:after="0" w:line="287" w:lineRule="auto"/>
        <w:tabs>
          <w:tab w:leader="none" w:pos="1067"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Amendment to Definitions in the Credit Agreement</w:t>
      </w:r>
      <w:r>
        <w:rPr>
          <w:rFonts w:ascii="Arial" w:cs="Arial" w:eastAsia="Arial" w:hAnsi="Arial"/>
          <w:sz w:val="21"/>
          <w:szCs w:val="21"/>
          <w:color w:val="auto"/>
        </w:rPr>
        <w:t>. Section 1.1 of the Credit Agreement is hereby amended to delete the definition of “Eligible Unbilled Receivable” therefrom and to insert in place thereof the following:</w:t>
      </w:r>
    </w:p>
    <w:p>
      <w:pPr>
        <w:spacing w:after="0" w:line="192"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“Eligible Unbilled Receivable” means, for any date, an Account of a Borrowing Base Company that was not billed prior to the end of the immediately preceding month.</w:t>
      </w:r>
    </w:p>
    <w:p>
      <w:pPr>
        <w:spacing w:after="0" w:line="215" w:lineRule="exact"/>
        <w:rPr>
          <w:sz w:val="20"/>
          <w:szCs w:val="20"/>
          <w:color w:val="auto"/>
        </w:rPr>
      </w:pPr>
    </w:p>
    <w:p>
      <w:pPr>
        <w:ind w:firstLine="656"/>
        <w:spacing w:after="0" w:line="287" w:lineRule="auto"/>
        <w:tabs>
          <w:tab w:leader="none" w:pos="1121"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Amendment to Financial Statements, Collateral Reporting and Information Covenant Provisions</w:t>
      </w:r>
      <w:r>
        <w:rPr>
          <w:rFonts w:ascii="Arial" w:cs="Arial" w:eastAsia="Arial" w:hAnsi="Arial"/>
          <w:sz w:val="21"/>
          <w:szCs w:val="21"/>
          <w:color w:val="auto"/>
        </w:rPr>
        <w:t>. Section 5.3 of the Credit Agreement is hereby amended to delete subsection (f) therefrom and to insert in place thereof the following:</w:t>
      </w:r>
    </w:p>
    <w:p>
      <w:pPr>
        <w:spacing w:after="0" w:line="192" w:lineRule="exact"/>
        <w:rPr>
          <w:rFonts w:ascii="Arial" w:cs="Arial" w:eastAsia="Arial" w:hAnsi="Arial"/>
          <w:sz w:val="21"/>
          <w:szCs w:val="21"/>
          <w:color w:val="auto"/>
        </w:rPr>
      </w:pPr>
    </w:p>
    <w:p>
      <w:pPr>
        <w:jc w:val="both"/>
        <w:ind w:left="660" w:firstLine="645"/>
        <w:spacing w:after="0" w:line="286" w:lineRule="auto"/>
        <w:tabs>
          <w:tab w:leader="none" w:pos="1740"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Inventory Report</w:t>
      </w:r>
      <w:r>
        <w:rPr>
          <w:rFonts w:ascii="Arial" w:cs="Arial" w:eastAsia="Arial" w:hAnsi="Arial"/>
          <w:sz w:val="19"/>
          <w:szCs w:val="19"/>
          <w:color w:val="auto"/>
        </w:rPr>
        <w:t>. The Borrower shall deliver to the Administrative Agent a summary of Inventory, in form and substance satisfactory to the Administrative Agent and signed by a Financial Officer, concurrently with the delivery of the Borrowing Base Certificate referenced in subsection (a) above, based upon period-end balances reconciled to the period-end balance sheet and the period-end Borrowing Base Certificate, and accompanied by an Inventory certification, in form and substance reasonably acceptable to the Administrative Agent and including a calculation of the Eligible Inventory of the Borrowing Base Companies (the calculation of Eligible Inventory reflecting the then most recent period-end balance). The Borrower shall deliver, after the end of each Quarterly Reporting Period, to the Administrative Agent, Inventory records, in such detail as the Administrative Agent and the Lenders shall deem reasonably necessary to determine the level of Eligible Inventory. The values shown on the Inventory reports shall be at the lower of cost or market value, determined in accordance with the usual cost accounting system of the Borrowing Base Companies. The Borrower shall provide such other reports with respect to the Inventory of the Borrowing Base Companies as the Administrative Agent may reasonably request from time to time. Notwithstanding anything above in this Section 5.3(f) to the contrary, unless otherwise required by the Administrative Agent in writing, the Borrower shall only be required to deliver Inventory reports with respect to Borrowing Base Companies whose Inventory is a component of the Borrowing Base.</w:t>
      </w:r>
    </w:p>
    <w:p>
      <w:pPr>
        <w:spacing w:after="0" w:line="203" w:lineRule="exact"/>
        <w:rPr>
          <w:rFonts w:ascii="Arial" w:cs="Arial" w:eastAsia="Arial" w:hAnsi="Arial"/>
          <w:sz w:val="19"/>
          <w:szCs w:val="19"/>
          <w:color w:val="auto"/>
        </w:rPr>
      </w:pPr>
    </w:p>
    <w:p>
      <w:pPr>
        <w:ind w:left="1040" w:hanging="384"/>
        <w:spacing w:after="0"/>
        <w:tabs>
          <w:tab w:leader="none" w:pos="104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Closing Deliveries</w:t>
      </w:r>
      <w:r>
        <w:rPr>
          <w:rFonts w:ascii="Arial" w:cs="Arial" w:eastAsia="Arial" w:hAnsi="Arial"/>
          <w:sz w:val="22"/>
          <w:szCs w:val="22"/>
          <w:color w:val="auto"/>
        </w:rPr>
        <w:t>. Concurrently with the execution of this Amendment, the Borrower shall:</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cause each Guarantor of Payment to execute the attached Guarantor Acknowledgment and Agreement; and</w:t>
      </w:r>
    </w:p>
    <w:p>
      <w:pPr>
        <w:sectPr>
          <w:pgSz w:w="11900" w:h="16838" w:orient="portrait"/>
          <w:cols w:equalWidth="0" w:num="1">
            <w:col w:w="11420"/>
          </w:cols>
          <w:pgMar w:left="240" w:top="882" w:right="239" w:bottom="257" w:gutter="0" w:footer="0" w:header="0"/>
        </w:sectPr>
      </w:pPr>
    </w:p>
    <w:bookmarkStart w:id="46" w:name="page47"/>
    <w:bookmarkEnd w:id="46"/>
    <w:p>
      <w:pPr>
        <w:spacing w:after="0" w:line="11" w:lineRule="exact"/>
        <w:rPr>
          <w:sz w:val="20"/>
          <w:szCs w:val="20"/>
          <w:color w:val="auto"/>
        </w:rPr>
      </w:pPr>
    </w:p>
    <w:p>
      <w:pPr>
        <w:ind w:left="660" w:firstLine="645"/>
        <w:spacing w:after="0" w:line="263" w:lineRule="auto"/>
        <w:tabs>
          <w:tab w:leader="none" w:pos="18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pay all legal fees and expenses of the Administrative Agent in connection with this Amendment and any other Loan Documents.</w:t>
      </w:r>
    </w:p>
    <w:p>
      <w:pPr>
        <w:spacing w:after="0" w:line="215" w:lineRule="exact"/>
        <w:rPr>
          <w:rFonts w:ascii="Arial" w:cs="Arial" w:eastAsia="Arial" w:hAnsi="Arial"/>
          <w:sz w:val="22"/>
          <w:szCs w:val="22"/>
          <w:color w:val="auto"/>
        </w:rPr>
      </w:pPr>
    </w:p>
    <w:p>
      <w:pPr>
        <w:jc w:val="both"/>
        <w:ind w:firstLine="656"/>
        <w:spacing w:after="0" w:line="286" w:lineRule="auto"/>
        <w:tabs>
          <w:tab w:leader="none" w:pos="1121"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Borrower hereby represents and warrants to the Administrative Agent and the Lenders that (a) the Borrower has the legal power and authority to execute and deliver this Amendment; (b) the officers executing this Amendment have been duly authorized to execute and deliver the same and bind the Borrower with respect to the provisions hereof; (c) the execution and delivery hereof by the Borrower and the performance and observance by the Borrower of the provisions hereof do not violate or conflict with the Organizational Documents of the Borrower or any law applicable to the Borrower or result in a breach of any provision of or constitute a default under any other agreement, instrument or document binding upon or enforceable against the Borrower; (d) no Default or Event of Default exists, nor will any occur immediately after the execution and delivery of this Amendment or by the performance or observance of any provision hereof; (e) each of the representations and warranties contained in the Loan Documents is true and correct in all material respects as of the date hereof as if made on the date hereof, except to the extent that any such representation or warranty expressly states that it relates to an earlier date (in which case such representation or warranty is true and correct in all material respects as of such earlier date); (f) the Borrower is not aware of any claim or offset against, or defense or counterclaim to, the Borrower’s obligations or liabilities under the Credit Agreement or any other Related Writing; and (g) this Amendment constitutes a valid and binding obligation of the Borrower in every respect, enforceable in accordance with its terms.</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firstLine="656"/>
        <w:spacing w:after="0" w:line="302" w:lineRule="auto"/>
        <w:tabs>
          <w:tab w:leader="none" w:pos="1053"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Waiver and Release</w:t>
      </w:r>
      <w:r>
        <w:rPr>
          <w:rFonts w:ascii="Arial" w:cs="Arial" w:eastAsia="Arial" w:hAnsi="Arial"/>
          <w:sz w:val="19"/>
          <w:szCs w:val="19"/>
          <w:color w:val="auto"/>
        </w:rPr>
        <w:t>. The Borrower, by signing below, hereby waives and releases the Administrative Agent, and each of the Lenders, and their respective directors, officers, employees, attorneys, affiliates and subsidiaries, from any and all claims, offsets, defenses and counterclaims of which the Borrower is aware, such waiver and release being with full knowledge and understanding of the circumstances and effect thereof and after having consulted legal counsel with respect thereto.</w:t>
      </w:r>
    </w:p>
    <w:p>
      <w:pPr>
        <w:spacing w:after="0" w:line="183" w:lineRule="exact"/>
        <w:rPr>
          <w:rFonts w:ascii="Arial" w:cs="Arial" w:eastAsia="Arial" w:hAnsi="Arial"/>
          <w:sz w:val="19"/>
          <w:szCs w:val="19"/>
          <w:color w:val="auto"/>
        </w:rPr>
      </w:pPr>
    </w:p>
    <w:p>
      <w:pPr>
        <w:jc w:val="both"/>
        <w:ind w:firstLine="656"/>
        <w:spacing w:after="0" w:line="302" w:lineRule="auto"/>
        <w:tabs>
          <w:tab w:leader="none" w:pos="1148"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References to Credit Agreement and Ratification</w:t>
      </w:r>
      <w:r>
        <w:rPr>
          <w:rFonts w:ascii="Arial" w:cs="Arial" w:eastAsia="Arial" w:hAnsi="Arial"/>
          <w:sz w:val="19"/>
          <w:szCs w:val="19"/>
          <w:color w:val="auto"/>
        </w:rPr>
        <w:t>. Each reference to the Credit Agreement that is made in the Credit Agreement or any other Related Writing shall hereafter be construed as a reference to the Credit Agreement as amended hereby. Except as otherwise specifically provided herein, all terms and provisions of the Credit Agreement are confirmed and ratified and shall remain in full force and effect and be unaffected hereby. This Amendment is a Loan Document.</w:t>
      </w:r>
    </w:p>
    <w:p>
      <w:pPr>
        <w:spacing w:after="0" w:line="183" w:lineRule="exact"/>
        <w:rPr>
          <w:rFonts w:ascii="Arial" w:cs="Arial" w:eastAsia="Arial" w:hAnsi="Arial"/>
          <w:sz w:val="19"/>
          <w:szCs w:val="19"/>
          <w:color w:val="auto"/>
        </w:rPr>
      </w:pPr>
    </w:p>
    <w:p>
      <w:pPr>
        <w:jc w:val="both"/>
        <w:ind w:firstLine="656"/>
        <w:spacing w:after="0" w:line="271" w:lineRule="auto"/>
        <w:tabs>
          <w:tab w:leader="none" w:pos="1053"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any number of counterparts, by different parties hereto in separate counterparts and by facsimile or other electronic signature, each of which, when so executed and delivered, shall be deemed to be an original and all of which taken together shall constitute but one and the same agreement.</w:t>
      </w:r>
    </w:p>
    <w:p>
      <w:pPr>
        <w:spacing w:after="0" w:line="208" w:lineRule="exact"/>
        <w:rPr>
          <w:rFonts w:ascii="Arial" w:cs="Arial" w:eastAsia="Arial" w:hAnsi="Arial"/>
          <w:sz w:val="21"/>
          <w:szCs w:val="21"/>
          <w:color w:val="auto"/>
        </w:rPr>
      </w:pPr>
    </w:p>
    <w:p>
      <w:pPr>
        <w:ind w:right="20" w:firstLine="656"/>
        <w:spacing w:after="0" w:line="263" w:lineRule="auto"/>
        <w:tabs>
          <w:tab w:leader="none" w:pos="1094"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captions and arrangements used in this Amendment are for convenience only and shall not affect the interpretation of this Amendment.</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04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Amendment that shall be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226" w:lineRule="exact"/>
        <w:rPr>
          <w:rFonts w:ascii="Arial" w:cs="Arial" w:eastAsia="Arial" w:hAnsi="Arial"/>
          <w:sz w:val="22"/>
          <w:szCs w:val="22"/>
          <w:color w:val="auto"/>
        </w:rPr>
      </w:pPr>
    </w:p>
    <w:p>
      <w:pPr>
        <w:ind w:firstLine="656"/>
        <w:spacing w:after="0" w:line="263" w:lineRule="auto"/>
        <w:tabs>
          <w:tab w:leader="none" w:pos="1202"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rights and obligations of all parties hereto shall be governed by the laws of the State of New York, without regard to principles of conflicts of laws.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11696178.8</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u w:val="single" w:color="auto"/>
          <w:color w:val="auto"/>
        </w:rPr>
        <w:t>JURY TRIAL WAIVER</w:t>
      </w:r>
      <w:r>
        <w:rPr>
          <w:rFonts w:ascii="Arial" w:cs="Arial" w:eastAsia="Arial" w:hAnsi="Arial"/>
          <w:sz w:val="21"/>
          <w:szCs w:val="21"/>
          <w:color w:val="auto"/>
        </w:rPr>
        <w:t>. THE BORROWER, THE ADMINISTRATIVE AGENT AND THE LENDERS, TO THE EXTENT PERMITTED BY LAW, EACH HEREBY WAIVES ANY RIGHT TO HAVE A JURY PARTICIPATE IN RESOLVING ANY DISPUTE, WHETHER SOUNDING IN CONTRACT, TORT OR OTHERWISE, AMONG THE BORROWER, THE ADMINISTRATIVE AGENT AND THE LENDERS, OR ANY THEREOF, ARISING OUT OF, IN CONNECTION WITH, RELATED TO, OR INCIDENTAL TO THE RELATIONSHIP ESTABLISHED AMONG THEM IN CONNECTION WITH THIS AMENDMENT OR ANY NOTE OR OTHER INSTRUMENT, DOCUMENT OR AGREEMENT EXECUTED OR DELIVERED IN CONNECTION HEREWITH OR THE TRANSACTIONS RELATED THERETO.</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and delivered this Amendment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KRATOS DEFENSE &amp; SECURITY SOLUTIONS, INC.</w:t>
      </w:r>
    </w:p>
    <w:p>
      <w:pPr>
        <w:spacing w:after="0" w:line="23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-17780</wp:posOffset>
            </wp:positionV>
            <wp:extent cx="102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57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-22860</wp:posOffset>
            </wp:positionV>
            <wp:extent cx="102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-29210</wp:posOffset>
            </wp:positionV>
            <wp:extent cx="102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49"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KEYBANK NATIONAL ASSOCIATION</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as the Administrative Agent and as a Lender</w:t>
      </w:r>
    </w:p>
    <w:p>
      <w:pPr>
        <w:sectPr>
          <w:pgSz w:w="11900" w:h="16850" w:orient="portrait"/>
          <w:cols w:equalWidth="0" w:num="1">
            <w:col w:w="11420"/>
          </w:cols>
          <w:pgMar w:left="240" w:top="132" w:right="239" w:bottom="0" w:gutter="0" w:footer="0" w:header="0"/>
        </w:sectPr>
      </w:pPr>
    </w:p>
    <w:bookmarkStart w:id="47" w:name="page48"/>
    <w:bookmarkEnd w:id="47"/>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-17780</wp:posOffset>
            </wp:positionV>
            <wp:extent cx="102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57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-22860</wp:posOffset>
            </wp:positionV>
            <wp:extent cx="102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-29210</wp:posOffset>
            </wp:positionV>
            <wp:extent cx="102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PNC BANK, NATIONAL ASSOCIATION</w:t>
      </w:r>
    </w:p>
    <w:p>
      <w:pPr>
        <w:spacing w:after="0" w:line="23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-17780</wp:posOffset>
            </wp:positionV>
            <wp:extent cx="102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57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-22860</wp:posOffset>
            </wp:positionV>
            <wp:extent cx="102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-29210</wp:posOffset>
            </wp:positionV>
            <wp:extent cx="102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EAST WEST BANK</w:t>
      </w:r>
    </w:p>
    <w:p>
      <w:pPr>
        <w:spacing w:after="0" w:line="23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-17780</wp:posOffset>
            </wp:positionV>
            <wp:extent cx="102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57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-22860</wp:posOffset>
            </wp:positionV>
            <wp:extent cx="102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-29210</wp:posOffset>
            </wp:positionV>
            <wp:extent cx="102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CATHAY BANK</w:t>
      </w:r>
    </w:p>
    <w:p>
      <w:pPr>
        <w:spacing w:after="0" w:line="23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-17780</wp:posOffset>
            </wp:positionV>
            <wp:extent cx="102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57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-22860</wp:posOffset>
            </wp:positionV>
            <wp:extent cx="102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-29210</wp:posOffset>
            </wp:positionV>
            <wp:extent cx="102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9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BANK OF THE WEST</w:t>
      </w:r>
    </w:p>
    <w:p>
      <w:pPr>
        <w:spacing w:after="0" w:line="23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-17780</wp:posOffset>
            </wp:positionV>
            <wp:extent cx="102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ind w:left="57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-22860</wp:posOffset>
            </wp:positionV>
            <wp:extent cx="102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jc w:val="center"/>
        <w:ind w:left="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-29210</wp:posOffset>
            </wp:positionV>
            <wp:extent cx="102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GUARANTOR ACKNOWLEDGMENT AND AGREEMENT</w:t>
      </w:r>
    </w:p>
    <w:p>
      <w:pPr>
        <w:spacing w:after="0" w:line="2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The undersigned consent and agree to and acknowledge the terms of the foregoing Fourth Amendment Agreement dated as of February 27, 2013. The undersigned further agree that the obligations of the undersigned pursuant to the Guaranty of Payment executed by the undersigned are hereby ratified and shall remain in full force and effect and be unaffected hereby.</w:t>
      </w:r>
    </w:p>
    <w:p>
      <w:pPr>
        <w:spacing w:after="0" w:line="19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The undersigned hereby waive and release the Administrative Agent and the Lenders and their respective directors, officers, employees, attorneys, affiliates and subsidiaries from any and all claims, offsets, defenses and counterclaims of any kind or nature, absolute and contingent, of which the undersigned are aware or should be aware, such waiver and release being with full knowledge and understanding of the circumstances and effect thereof and after having consulted legal counsel with respect thereto.</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u w:val="single" w:color="auto"/>
          <w:color w:val="auto"/>
        </w:rPr>
        <w:t>JURY TRIAL WAIVER</w:t>
      </w:r>
      <w:r>
        <w:rPr>
          <w:rFonts w:ascii="Arial" w:cs="Arial" w:eastAsia="Arial" w:hAnsi="Arial"/>
          <w:sz w:val="22"/>
          <w:szCs w:val="22"/>
          <w:color w:val="auto"/>
        </w:rPr>
        <w:t>. THE UNDERSIGNED, TO THE EXTENT PERMITTED BY LAW, HEREBY WAIVE ANY RIGHT TO HAVE A JURY PARTICIPATE IN RESOLVING ANY DISPUTE, WHETHER SOUNDING IN CONTRACT, TORT OR OTHERWISE, AMONG THE BORROWER, THE ADMINISTRATIVE AGENT, THE LENDERS AND THE UNDERSIGNED, OR ANY THEREOF, ARISING OUT OF, IN CONNECTION WITH, RELATED TO, OR INCIDENTAL TO THE RELATIONSHIP ESTABLISHED AMONG THEM IN CONNECTION WITH THIS AMENDMENT OR ANY NOTE OR OTHER INSTRUMENT, DOCUMENT OR AGREEMENT EXECUTED OR DELIVERED IN CONNECTION HEREWITH OR THE TRANSACTIONS RELATED THERETO.</w:t>
      </w:r>
    </w:p>
    <w:p>
      <w:pPr>
        <w:sectPr>
          <w:pgSz w:w="11900" w:h="16838" w:orient="portrait"/>
          <w:cols w:equalWidth="0" w:num="1">
            <w:col w:w="11420"/>
          </w:cols>
          <w:pgMar w:left="240" w:top="361" w:right="239" w:bottom="0" w:gutter="0" w:footer="0" w:header="0"/>
        </w:sect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20"/>
          <w:szCs w:val="20"/>
          <w:color w:val="auto"/>
        </w:rPr>
        <w:t>KRATOS PUBLIC SAFETY &amp; SECURITY SOLUTIONS,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9"/>
          <w:szCs w:val="19"/>
          <w:color w:val="auto"/>
        </w:rPr>
        <w:t>KPSS GOVERNMENT SOLUTIONS, INC. (F/K/A KRATOS MID-</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ATLANTIC, INC.)</w:t>
      </w:r>
    </w:p>
    <w:p>
      <w:pPr>
        <w:ind w:left="20"/>
        <w:spacing w:after="0"/>
        <w:rPr>
          <w:sz w:val="20"/>
          <w:szCs w:val="20"/>
          <w:color w:val="auto"/>
        </w:rPr>
      </w:pPr>
      <w:r>
        <w:rPr>
          <w:rFonts w:ascii="Arial" w:cs="Arial" w:eastAsia="Arial" w:hAnsi="Arial"/>
          <w:sz w:val="20"/>
          <w:szCs w:val="20"/>
          <w:color w:val="auto"/>
        </w:rPr>
        <w:t>KRATOS SOUTHEAST, INC.</w:t>
      </w:r>
    </w:p>
    <w:p>
      <w:pPr>
        <w:ind w:left="20"/>
        <w:spacing w:after="0"/>
        <w:rPr>
          <w:sz w:val="20"/>
          <w:szCs w:val="20"/>
          <w:color w:val="auto"/>
        </w:rPr>
      </w:pPr>
      <w:r>
        <w:rPr>
          <w:rFonts w:ascii="Arial" w:cs="Arial" w:eastAsia="Arial" w:hAnsi="Arial"/>
          <w:sz w:val="20"/>
          <w:szCs w:val="20"/>
          <w:color w:val="auto"/>
        </w:rPr>
        <w:t>KRATOS TEXAS, INC.</w:t>
      </w:r>
    </w:p>
    <w:p>
      <w:pPr>
        <w:ind w:left="20"/>
        <w:spacing w:after="0"/>
        <w:rPr>
          <w:sz w:val="20"/>
          <w:szCs w:val="20"/>
          <w:color w:val="auto"/>
        </w:rPr>
      </w:pPr>
      <w:r>
        <w:rPr>
          <w:rFonts w:ascii="Arial" w:cs="Arial" w:eastAsia="Arial" w:hAnsi="Arial"/>
          <w:sz w:val="20"/>
          <w:szCs w:val="20"/>
          <w:color w:val="auto"/>
        </w:rPr>
        <w:t>WFI NMC CORP.</w:t>
      </w:r>
    </w:p>
    <w:p>
      <w:pPr>
        <w:ind w:left="20"/>
        <w:spacing w:after="0"/>
        <w:rPr>
          <w:sz w:val="20"/>
          <w:szCs w:val="20"/>
          <w:color w:val="auto"/>
        </w:rPr>
      </w:pPr>
      <w:r>
        <w:rPr>
          <w:rFonts w:ascii="Arial" w:cs="Arial" w:eastAsia="Arial" w:hAnsi="Arial"/>
          <w:sz w:val="20"/>
          <w:szCs w:val="20"/>
          <w:color w:val="auto"/>
        </w:rPr>
        <w:t>KRATOS TECHNOLOGY &amp; TRAINING SOLUTIONS, INC.</w:t>
      </w:r>
    </w:p>
    <w:p>
      <w:pPr>
        <w:ind w:left="20"/>
        <w:spacing w:after="0"/>
        <w:rPr>
          <w:sz w:val="20"/>
          <w:szCs w:val="20"/>
          <w:color w:val="auto"/>
        </w:rPr>
      </w:pPr>
      <w:r>
        <w:rPr>
          <w:rFonts w:ascii="Arial" w:cs="Arial" w:eastAsia="Arial" w:hAnsi="Arial"/>
          <w:sz w:val="20"/>
          <w:szCs w:val="20"/>
          <w:color w:val="auto"/>
        </w:rPr>
        <w:t>AI METRIX, INC.</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DEFENSE SYSTEMS,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HAVERSTICK CONSULTING, INC.</w:t>
      </w:r>
    </w:p>
    <w:p>
      <w:pPr>
        <w:spacing w:after="0"/>
        <w:rPr>
          <w:sz w:val="20"/>
          <w:szCs w:val="20"/>
          <w:color w:val="auto"/>
        </w:rPr>
      </w:pPr>
      <w:r>
        <w:rPr>
          <w:rFonts w:ascii="Arial" w:cs="Arial" w:eastAsia="Arial" w:hAnsi="Arial"/>
          <w:sz w:val="20"/>
          <w:szCs w:val="20"/>
          <w:color w:val="auto"/>
        </w:rPr>
        <w:t>HGS HOLDINGS, INC.</w:t>
      </w:r>
    </w:p>
    <w:p>
      <w:pPr>
        <w:spacing w:after="0"/>
        <w:rPr>
          <w:sz w:val="20"/>
          <w:szCs w:val="20"/>
          <w:color w:val="auto"/>
        </w:rPr>
      </w:pPr>
      <w:r>
        <w:rPr>
          <w:rFonts w:ascii="Arial" w:cs="Arial" w:eastAsia="Arial" w:hAnsi="Arial"/>
          <w:sz w:val="20"/>
          <w:szCs w:val="20"/>
          <w:color w:val="auto"/>
        </w:rPr>
        <w:t>DTI ASSOCIATES, INC.</w:t>
      </w:r>
    </w:p>
    <w:p>
      <w:pPr>
        <w:spacing w:after="0"/>
        <w:rPr>
          <w:sz w:val="20"/>
          <w:szCs w:val="20"/>
          <w:color w:val="auto"/>
        </w:rPr>
      </w:pPr>
      <w:r>
        <w:rPr>
          <w:rFonts w:ascii="Arial" w:cs="Arial" w:eastAsia="Arial" w:hAnsi="Arial"/>
          <w:sz w:val="19"/>
          <w:szCs w:val="19"/>
          <w:color w:val="auto"/>
        </w:rPr>
        <w:t>HAVERSTICK GOVERNMENT SOLUTIONS, INC.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ROCKET SUPPORT SERVICES, LLC</w:t>
      </w:r>
    </w:p>
    <w:p>
      <w:pPr>
        <w:spacing w:after="0"/>
        <w:rPr>
          <w:sz w:val="20"/>
          <w:szCs w:val="20"/>
          <w:color w:val="auto"/>
        </w:rPr>
      </w:pPr>
      <w:r>
        <w:rPr>
          <w:rFonts w:ascii="Arial" w:cs="Arial" w:eastAsia="Arial" w:hAnsi="Arial"/>
          <w:sz w:val="19"/>
          <w:szCs w:val="19"/>
          <w:color w:val="auto"/>
        </w:rPr>
        <w:t>JMA ASSOCIATES, INC. (D/B/A TLA ASSOCIATES)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MADISON RESEARCH CORPORATION</w:t>
      </w:r>
    </w:p>
    <w:p>
      <w:pPr>
        <w:sectPr>
          <w:pgSz w:w="11900" w:h="16838" w:orient="portrait"/>
          <w:cols w:equalWidth="0" w:num="2">
            <w:col w:w="5500" w:space="120"/>
            <w:col w:w="5800"/>
          </w:cols>
          <w:pgMar w:left="240" w:top="361" w:right="239" w:bottom="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color w:val="auto"/>
        </w:rPr>
        <w:t>POLEXIS,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REALITY BASED IT SERVICES, LTD.</w:t>
      </w:r>
    </w:p>
    <w:p>
      <w:pPr>
        <w:spacing w:after="0"/>
        <w:rPr>
          <w:sz w:val="20"/>
          <w:szCs w:val="20"/>
          <w:color w:val="auto"/>
        </w:rPr>
      </w:pPr>
      <w:r>
        <w:rPr>
          <w:rFonts w:ascii="Arial" w:cs="Arial" w:eastAsia="Arial" w:hAnsi="Arial"/>
          <w:sz w:val="20"/>
          <w:szCs w:val="20"/>
          <w:color w:val="auto"/>
        </w:rPr>
        <w:t>SHADOW I, INC.</w:t>
      </w:r>
    </w:p>
    <w:p>
      <w:pPr>
        <w:spacing w:after="0"/>
        <w:rPr>
          <w:sz w:val="20"/>
          <w:szCs w:val="20"/>
          <w:color w:val="auto"/>
        </w:rPr>
      </w:pPr>
      <w:r>
        <w:rPr>
          <w:rFonts w:ascii="Arial" w:cs="Arial" w:eastAsia="Arial" w:hAnsi="Arial"/>
          <w:sz w:val="20"/>
          <w:szCs w:val="20"/>
          <w:color w:val="auto"/>
        </w:rPr>
        <w:t>SHADOW II, INC.</w:t>
      </w:r>
    </w:p>
    <w:p>
      <w:pPr>
        <w:ind w:left="240" w:hanging="242"/>
        <w:spacing w:after="0" w:line="239" w:lineRule="auto"/>
        <w:rPr>
          <w:sz w:val="20"/>
          <w:szCs w:val="20"/>
          <w:color w:val="auto"/>
        </w:rPr>
      </w:pPr>
      <w:r>
        <w:rPr>
          <w:rFonts w:ascii="Arial" w:cs="Arial" w:eastAsia="Arial" w:hAnsi="Arial"/>
          <w:sz w:val="20"/>
          <w:szCs w:val="20"/>
          <w:color w:val="auto"/>
        </w:rPr>
        <w:t>KRATOS INTEGRAL SYSTEMS INTERNATIONAL, INC. (F/K/A SHADOW III,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DIGITAL FUSION, INC.</w:t>
      </w:r>
    </w:p>
    <w:p>
      <w:pPr>
        <w:spacing w:after="0"/>
        <w:rPr>
          <w:sz w:val="20"/>
          <w:szCs w:val="20"/>
          <w:color w:val="auto"/>
        </w:rPr>
      </w:pPr>
      <w:r>
        <w:rPr>
          <w:rFonts w:ascii="Arial" w:cs="Arial" w:eastAsia="Arial" w:hAnsi="Arial"/>
          <w:sz w:val="20"/>
          <w:szCs w:val="20"/>
          <w:color w:val="auto"/>
        </w:rPr>
        <w:t>DIGITAL FUSION SOLUTIONS, INC.</w:t>
      </w:r>
    </w:p>
    <w:p>
      <w:pPr>
        <w:spacing w:after="0"/>
        <w:rPr>
          <w:sz w:val="20"/>
          <w:szCs w:val="20"/>
          <w:color w:val="auto"/>
        </w:rPr>
      </w:pPr>
      <w:r>
        <w:rPr>
          <w:rFonts w:ascii="Arial" w:cs="Arial" w:eastAsia="Arial" w:hAnsi="Arial"/>
          <w:sz w:val="20"/>
          <w:szCs w:val="20"/>
          <w:color w:val="auto"/>
        </w:rPr>
        <w:t>SUMMIT RESEARCH CORPORATION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-14605</wp:posOffset>
            </wp:positionV>
            <wp:extent cx="93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0"/>
          <w:szCs w:val="20"/>
          <w:color w:val="auto"/>
        </w:rPr>
        <w:t>Deanna H. Lund</w:t>
      </w:r>
    </w:p>
    <w:p>
      <w:pPr>
        <w:ind w:left="300"/>
        <w:spacing w:after="0"/>
        <w:rPr>
          <w:sz w:val="20"/>
          <w:szCs w:val="20"/>
          <w:color w:val="auto"/>
        </w:rPr>
      </w:pPr>
      <w:r>
        <w:rPr>
          <w:rFonts w:ascii="Arial" w:cs="Arial" w:eastAsia="Arial" w:hAnsi="Arial"/>
          <w:sz w:val="20"/>
          <w:szCs w:val="20"/>
          <w:color w:val="auto"/>
        </w:rPr>
        <w:t>Executive Vice President &amp; Chief Financial Officer</w:t>
      </w:r>
    </w:p>
    <w:p>
      <w:pPr>
        <w:spacing w:after="0" w:line="267" w:lineRule="exact"/>
        <w:rPr>
          <w:sz w:val="20"/>
          <w:szCs w:val="20"/>
          <w:color w:val="auto"/>
        </w:rPr>
      </w:pPr>
    </w:p>
    <w:p>
      <w:pPr>
        <w:jc w:val="both"/>
        <w:ind w:left="260" w:right="340" w:hanging="256"/>
        <w:spacing w:after="0" w:line="245" w:lineRule="auto"/>
        <w:rPr>
          <w:sz w:val="20"/>
          <w:szCs w:val="20"/>
          <w:color w:val="auto"/>
        </w:rPr>
      </w:pPr>
      <w:r>
        <w:rPr>
          <w:rFonts w:ascii="Arial" w:cs="Arial" w:eastAsia="Arial" w:hAnsi="Arial"/>
          <w:sz w:val="20"/>
          <w:szCs w:val="20"/>
          <w:color w:val="auto"/>
        </w:rPr>
        <w:t>KRATOS DEFENSE &amp; ROCKET SUPPORT SERVICES, INC. (F/K/A KRATOS DEFENSE ENGINEERING SOLUTIONS, INC.)</w:t>
      </w:r>
    </w:p>
    <w:p>
      <w:pPr>
        <w:ind w:left="20"/>
        <w:spacing w:after="0"/>
        <w:rPr>
          <w:sz w:val="20"/>
          <w:szCs w:val="20"/>
          <w:color w:val="auto"/>
        </w:rPr>
      </w:pPr>
      <w:r>
        <w:rPr>
          <w:rFonts w:ascii="Arial" w:cs="Arial" w:eastAsia="Arial" w:hAnsi="Arial"/>
          <w:sz w:val="20"/>
          <w:szCs w:val="20"/>
          <w:color w:val="auto"/>
        </w:rPr>
        <w:t>KRATOS SOUTHWEST L.P.,</w:t>
      </w:r>
    </w:p>
    <w:p>
      <w:pPr>
        <w:ind w:left="260"/>
        <w:spacing w:after="0"/>
        <w:rPr>
          <w:sz w:val="20"/>
          <w:szCs w:val="20"/>
          <w:color w:val="auto"/>
        </w:rPr>
      </w:pPr>
      <w:r>
        <w:rPr>
          <w:rFonts w:ascii="Arial" w:cs="Arial" w:eastAsia="Arial" w:hAnsi="Arial"/>
          <w:sz w:val="20"/>
          <w:szCs w:val="20"/>
          <w:color w:val="auto"/>
        </w:rPr>
        <w:t>by Kratos Texas, Inc., its general partner</w:t>
      </w:r>
    </w:p>
    <w:p>
      <w:pPr>
        <w:ind w:left="260" w:right="1880" w:hanging="246"/>
        <w:spacing w:after="0" w:line="266" w:lineRule="auto"/>
        <w:rPr>
          <w:sz w:val="20"/>
          <w:szCs w:val="20"/>
          <w:color w:val="auto"/>
        </w:rPr>
      </w:pPr>
      <w:r>
        <w:rPr>
          <w:rFonts w:ascii="Arial" w:cs="Arial" w:eastAsia="Arial" w:hAnsi="Arial"/>
          <w:sz w:val="18"/>
          <w:szCs w:val="18"/>
          <w:color w:val="auto"/>
        </w:rPr>
        <w:t>GENERAL MICROWAVE CORPORATION (D/B/A HERLEY NEW YORK)</w:t>
      </w:r>
    </w:p>
    <w:p>
      <w:pPr>
        <w:ind w:left="20" w:right="1160" w:hanging="12"/>
        <w:spacing w:after="0" w:line="239" w:lineRule="auto"/>
        <w:rPr>
          <w:sz w:val="20"/>
          <w:szCs w:val="20"/>
          <w:color w:val="auto"/>
        </w:rPr>
      </w:pPr>
      <w:r>
        <w:rPr>
          <w:rFonts w:ascii="Arial" w:cs="Arial" w:eastAsia="Arial" w:hAnsi="Arial"/>
          <w:sz w:val="20"/>
          <w:szCs w:val="20"/>
          <w:color w:val="auto"/>
        </w:rPr>
        <w:t>GENERAL MICROWAVE ISRAEL CORPORATION HERLEY INDUSTRIES, INC. HERLEY-CTI,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HERLEY - RSS, INC.</w:t>
      </w:r>
    </w:p>
    <w:p>
      <w:pPr>
        <w:ind w:left="20"/>
        <w:spacing w:after="0"/>
        <w:rPr>
          <w:sz w:val="20"/>
          <w:szCs w:val="20"/>
          <w:color w:val="auto"/>
        </w:rPr>
      </w:pPr>
      <w:r>
        <w:rPr>
          <w:rFonts w:ascii="Arial" w:cs="Arial" w:eastAsia="Arial" w:hAnsi="Arial"/>
          <w:sz w:val="20"/>
          <w:szCs w:val="20"/>
          <w:color w:val="auto"/>
        </w:rPr>
        <w:t>MICRO SYSTEMS, INC.</w:t>
      </w:r>
    </w:p>
    <w:p>
      <w:pPr>
        <w:ind w:left="20"/>
        <w:spacing w:after="0"/>
        <w:rPr>
          <w:sz w:val="20"/>
          <w:szCs w:val="20"/>
          <w:color w:val="auto"/>
        </w:rPr>
      </w:pPr>
      <w:r>
        <w:rPr>
          <w:rFonts w:ascii="Arial" w:cs="Arial" w:eastAsia="Arial" w:hAnsi="Arial"/>
          <w:sz w:val="20"/>
          <w:szCs w:val="20"/>
          <w:color w:val="auto"/>
        </w:rPr>
        <w:t>MSI ACQUISITION CORP.</w:t>
      </w:r>
    </w:p>
    <w:p>
      <w:pPr>
        <w:ind w:left="20"/>
        <w:spacing w:after="0"/>
        <w:rPr>
          <w:sz w:val="20"/>
          <w:szCs w:val="20"/>
          <w:color w:val="auto"/>
        </w:rPr>
      </w:pPr>
      <w:r>
        <w:rPr>
          <w:rFonts w:ascii="Arial" w:cs="Arial" w:eastAsia="Arial" w:hAnsi="Arial"/>
          <w:sz w:val="20"/>
          <w:szCs w:val="20"/>
          <w:color w:val="auto"/>
        </w:rPr>
        <w:t>STAPOR RESEARCH, INC.</w:t>
      </w:r>
    </w:p>
    <w:p>
      <w:pPr>
        <w:ind w:left="260" w:right="2000" w:hanging="256"/>
        <w:spacing w:after="0" w:line="252" w:lineRule="auto"/>
        <w:rPr>
          <w:sz w:val="20"/>
          <w:szCs w:val="20"/>
          <w:color w:val="auto"/>
        </w:rPr>
      </w:pPr>
      <w:r>
        <w:rPr>
          <w:rFonts w:ascii="Arial" w:cs="Arial" w:eastAsia="Arial" w:hAnsi="Arial"/>
          <w:sz w:val="19"/>
          <w:szCs w:val="19"/>
          <w:color w:val="auto"/>
        </w:rPr>
        <w:t>KRATOS INTEGRAL HOLDINGS, LLC (F/K/A IRIS ACQUISITION SUB LLC)</w:t>
      </w:r>
    </w:p>
    <w:p>
      <w:pPr>
        <w:ind w:left="20"/>
        <w:spacing w:after="0"/>
        <w:rPr>
          <w:sz w:val="20"/>
          <w:szCs w:val="20"/>
          <w:color w:val="auto"/>
        </w:rPr>
      </w:pPr>
      <w:r>
        <w:rPr>
          <w:rFonts w:ascii="Arial" w:cs="Arial" w:eastAsia="Arial" w:hAnsi="Arial"/>
          <w:sz w:val="20"/>
          <w:szCs w:val="20"/>
          <w:color w:val="auto"/>
        </w:rPr>
        <w:t>AVTEC SYSTEMS, INC.</w:t>
      </w:r>
    </w:p>
    <w:p>
      <w:pPr>
        <w:ind w:left="20"/>
        <w:spacing w:after="0"/>
        <w:rPr>
          <w:sz w:val="20"/>
          <w:szCs w:val="20"/>
          <w:color w:val="auto"/>
        </w:rPr>
      </w:pPr>
      <w:r>
        <w:rPr>
          <w:rFonts w:ascii="Arial" w:cs="Arial" w:eastAsia="Arial" w:hAnsi="Arial"/>
          <w:sz w:val="20"/>
          <w:szCs w:val="20"/>
          <w:color w:val="auto"/>
        </w:rPr>
        <w:t>CVG, INCORPORATED</w:t>
      </w:r>
    </w:p>
    <w:p>
      <w:pPr>
        <w:ind w:left="20"/>
        <w:spacing w:after="0"/>
        <w:rPr>
          <w:sz w:val="20"/>
          <w:szCs w:val="20"/>
          <w:color w:val="auto"/>
        </w:rPr>
      </w:pPr>
      <w:r>
        <w:rPr>
          <w:rFonts w:ascii="Arial" w:cs="Arial" w:eastAsia="Arial" w:hAnsi="Arial"/>
          <w:sz w:val="20"/>
          <w:szCs w:val="20"/>
          <w:color w:val="auto"/>
        </w:rPr>
        <w:t>LVDM, INC.</w:t>
      </w:r>
    </w:p>
    <w:p>
      <w:pPr>
        <w:ind w:left="20"/>
        <w:spacing w:after="0"/>
        <w:rPr>
          <w:sz w:val="20"/>
          <w:szCs w:val="20"/>
          <w:color w:val="auto"/>
        </w:rPr>
      </w:pPr>
      <w:r>
        <w:rPr>
          <w:rFonts w:ascii="Arial" w:cs="Arial" w:eastAsia="Arial" w:hAnsi="Arial"/>
          <w:sz w:val="20"/>
          <w:szCs w:val="20"/>
          <w:color w:val="auto"/>
        </w:rPr>
        <w:t>LUMISTAR, INC.</w:t>
      </w:r>
    </w:p>
    <w:p>
      <w:pPr>
        <w:ind w:left="260" w:right="1380" w:hanging="256"/>
        <w:spacing w:after="0" w:line="239" w:lineRule="auto"/>
        <w:rPr>
          <w:sz w:val="20"/>
          <w:szCs w:val="20"/>
          <w:color w:val="auto"/>
        </w:rPr>
      </w:pPr>
      <w:r>
        <w:rPr>
          <w:rFonts w:ascii="Arial" w:cs="Arial" w:eastAsia="Arial" w:hAnsi="Arial"/>
          <w:sz w:val="20"/>
          <w:szCs w:val="20"/>
          <w:color w:val="auto"/>
        </w:rPr>
        <w:t>KRATOS NETWORKS, INC. (F/K/A NEWPOINT TECHNOLOGIES, INC.)</w:t>
      </w:r>
    </w:p>
    <w:p>
      <w:pPr>
        <w:spacing w:after="0" w:line="1" w:lineRule="exact"/>
        <w:rPr>
          <w:sz w:val="20"/>
          <w:szCs w:val="20"/>
          <w:color w:val="auto"/>
        </w:rPr>
      </w:pPr>
    </w:p>
    <w:p>
      <w:pPr>
        <w:ind w:left="20" w:right="2480"/>
        <w:spacing w:after="0" w:line="241" w:lineRule="auto"/>
        <w:rPr>
          <w:sz w:val="20"/>
          <w:szCs w:val="20"/>
          <w:color w:val="auto"/>
        </w:rPr>
      </w:pPr>
      <w:r>
        <w:rPr>
          <w:rFonts w:ascii="Arial" w:cs="Arial" w:eastAsia="Arial" w:hAnsi="Arial"/>
          <w:sz w:val="20"/>
          <w:szCs w:val="20"/>
          <w:color w:val="auto"/>
        </w:rPr>
        <w:t>REAL TIME LOGIC, INC. SAT CORPORATION SECUREINFO CORPORATION COMPOSITE ENGINEERING, INC.</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-14605</wp:posOffset>
            </wp:positionV>
            <wp:extent cx="93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20"/>
          <w:szCs w:val="20"/>
          <w:color w:val="auto"/>
        </w:rPr>
        <w:t>Deanna H. Lund</w:t>
      </w:r>
    </w:p>
    <w:p>
      <w:pPr>
        <w:ind w:left="320"/>
        <w:spacing w:after="0"/>
        <w:rPr>
          <w:sz w:val="20"/>
          <w:szCs w:val="20"/>
          <w:color w:val="auto"/>
        </w:rPr>
      </w:pPr>
      <w:r>
        <w:rPr>
          <w:rFonts w:ascii="Arial" w:cs="Arial" w:eastAsia="Arial" w:hAnsi="Arial"/>
          <w:sz w:val="20"/>
          <w:szCs w:val="20"/>
          <w:color w:val="auto"/>
        </w:rPr>
        <w:t>Executive Vice President &amp; 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GICHNER SYSTEMS GROUP, INC.</w:t>
      </w:r>
    </w:p>
    <w:p>
      <w:pPr>
        <w:spacing w:after="0" w:line="17" w:lineRule="exact"/>
        <w:rPr>
          <w:sz w:val="20"/>
          <w:szCs w:val="20"/>
          <w:color w:val="auto"/>
        </w:rPr>
      </w:pPr>
    </w:p>
    <w:p>
      <w:pPr>
        <w:ind w:left="240" w:hanging="256"/>
        <w:spacing w:after="0" w:line="239" w:lineRule="auto"/>
        <w:rPr>
          <w:sz w:val="20"/>
          <w:szCs w:val="20"/>
          <w:color w:val="auto"/>
        </w:rPr>
      </w:pPr>
      <w:r>
        <w:rPr>
          <w:rFonts w:ascii="Arial" w:cs="Arial" w:eastAsia="Arial" w:hAnsi="Arial"/>
          <w:sz w:val="20"/>
          <w:szCs w:val="20"/>
          <w:color w:val="auto"/>
        </w:rPr>
        <w:t>KRATOS UNMANNED SYSTEMS SOLUTIONS, INC. ( F/K/A GICHNER HOLDINGS, INC.)</w:t>
      </w:r>
    </w:p>
    <w:p>
      <w:pPr>
        <w:spacing w:after="0" w:line="1" w:lineRule="exact"/>
        <w:rPr>
          <w:sz w:val="20"/>
          <w:szCs w:val="20"/>
          <w:color w:val="auto"/>
        </w:rPr>
      </w:pPr>
    </w:p>
    <w:p>
      <w:pPr>
        <w:ind w:right="1260"/>
        <w:spacing w:after="0" w:line="252" w:lineRule="auto"/>
        <w:rPr>
          <w:sz w:val="20"/>
          <w:szCs w:val="20"/>
          <w:color w:val="auto"/>
        </w:rPr>
      </w:pPr>
      <w:r>
        <w:rPr>
          <w:rFonts w:ascii="Arial" w:cs="Arial" w:eastAsia="Arial" w:hAnsi="Arial"/>
          <w:sz w:val="19"/>
          <w:szCs w:val="19"/>
          <w:color w:val="auto"/>
        </w:rPr>
        <w:t>GICHNER SYSTEMS INTERNATIONAL, INC. CHARLESTON MARINE CONTAINERS INC. DALLASTOWN REALTY I, LLC DALLASTOWN REALTY II, LLC</w:t>
      </w:r>
    </w:p>
    <w:p>
      <w:pPr>
        <w:spacing w:after="0" w:line="1" w:lineRule="exact"/>
        <w:rPr>
          <w:sz w:val="20"/>
          <w:szCs w:val="20"/>
          <w:color w:val="auto"/>
        </w:rPr>
      </w:pPr>
    </w:p>
    <w:p>
      <w:pPr>
        <w:ind w:right="2460"/>
        <w:spacing w:after="0" w:line="282" w:lineRule="auto"/>
        <w:rPr>
          <w:sz w:val="20"/>
          <w:szCs w:val="20"/>
          <w:color w:val="auto"/>
        </w:rPr>
      </w:pPr>
      <w:r>
        <w:rPr>
          <w:rFonts w:ascii="Arial" w:cs="Arial" w:eastAsia="Arial" w:hAnsi="Arial"/>
          <w:sz w:val="18"/>
          <w:szCs w:val="18"/>
          <w:color w:val="auto"/>
        </w:rPr>
        <w:t>DEI SERVICES CORPORATION SCT ACQUISITION, LLC SCT REAL ESTATE, LLC</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-14605</wp:posOffset>
            </wp:positionV>
            <wp:extent cx="93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20"/>
          <w:szCs w:val="20"/>
          <w:color w:val="auto"/>
        </w:rPr>
        <w:t>Deanna H. Lund</w:t>
      </w:r>
    </w:p>
    <w:p>
      <w:pPr>
        <w:ind w:left="280"/>
        <w:spacing w:after="0"/>
        <w:rPr>
          <w:sz w:val="20"/>
          <w:szCs w:val="20"/>
          <w:color w:val="auto"/>
        </w:rPr>
      </w:pPr>
      <w:r>
        <w:rPr>
          <w:rFonts w:ascii="Arial" w:cs="Arial" w:eastAsia="Arial" w:hAnsi="Arial"/>
          <w:sz w:val="20"/>
          <w:szCs w:val="20"/>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0" w:right="1980" w:hanging="147"/>
        <w:spacing w:after="0" w:line="247" w:lineRule="auto"/>
        <w:rPr>
          <w:sz w:val="20"/>
          <w:szCs w:val="20"/>
          <w:color w:val="auto"/>
        </w:rPr>
      </w:pPr>
      <w:r>
        <w:rPr>
          <w:rFonts w:ascii="Arial" w:cs="Arial" w:eastAsia="Arial" w:hAnsi="Arial"/>
          <w:sz w:val="20"/>
          <w:szCs w:val="20"/>
          <w:color w:val="auto"/>
        </w:rPr>
        <w:t>HENRY BROS. ELECTRONICS, INC., a Delaware corporation</w:t>
      </w:r>
    </w:p>
    <w:p>
      <w:pPr>
        <w:spacing w:after="0" w:line="2" w:lineRule="exact"/>
        <w:rPr>
          <w:sz w:val="20"/>
          <w:szCs w:val="20"/>
          <w:color w:val="auto"/>
        </w:rPr>
      </w:pPr>
    </w:p>
    <w:p>
      <w:pPr>
        <w:ind w:left="140" w:right="1980" w:hanging="147"/>
        <w:spacing w:after="0" w:line="239" w:lineRule="auto"/>
        <w:rPr>
          <w:sz w:val="20"/>
          <w:szCs w:val="20"/>
          <w:color w:val="auto"/>
        </w:rPr>
      </w:pPr>
      <w:r>
        <w:rPr>
          <w:rFonts w:ascii="Arial" w:cs="Arial" w:eastAsia="Arial" w:hAnsi="Arial"/>
          <w:sz w:val="20"/>
          <w:szCs w:val="20"/>
          <w:color w:val="auto"/>
        </w:rPr>
        <w:t>HENRY BROS. ELECTRONICS, INC., a Colorado corporation</w:t>
      </w:r>
    </w:p>
    <w:p>
      <w:pPr>
        <w:spacing w:after="0" w:line="1" w:lineRule="exact"/>
        <w:rPr>
          <w:sz w:val="20"/>
          <w:szCs w:val="20"/>
          <w:color w:val="auto"/>
        </w:rPr>
      </w:pPr>
    </w:p>
    <w:p>
      <w:pPr>
        <w:ind w:left="140" w:right="1980" w:hanging="147"/>
        <w:spacing w:after="0" w:line="239" w:lineRule="auto"/>
        <w:rPr>
          <w:sz w:val="20"/>
          <w:szCs w:val="20"/>
          <w:color w:val="auto"/>
        </w:rPr>
      </w:pPr>
      <w:r>
        <w:rPr>
          <w:rFonts w:ascii="Arial" w:cs="Arial" w:eastAsia="Arial" w:hAnsi="Arial"/>
          <w:sz w:val="20"/>
          <w:szCs w:val="20"/>
          <w:color w:val="auto"/>
        </w:rPr>
        <w:t>HENRY BROS. ELECTRONICS, INC., a Virginia corporation</w:t>
      </w:r>
    </w:p>
    <w:p>
      <w:pPr>
        <w:spacing w:after="0" w:line="1" w:lineRule="exact"/>
        <w:rPr>
          <w:sz w:val="20"/>
          <w:szCs w:val="20"/>
          <w:color w:val="auto"/>
        </w:rPr>
      </w:pPr>
    </w:p>
    <w:p>
      <w:pPr>
        <w:ind w:left="140" w:right="1980" w:hanging="147"/>
        <w:spacing w:after="0" w:line="239" w:lineRule="auto"/>
        <w:rPr>
          <w:sz w:val="20"/>
          <w:szCs w:val="20"/>
          <w:color w:val="auto"/>
        </w:rPr>
      </w:pPr>
      <w:r>
        <w:rPr>
          <w:rFonts w:ascii="Arial" w:cs="Arial" w:eastAsia="Arial" w:hAnsi="Arial"/>
          <w:sz w:val="20"/>
          <w:szCs w:val="20"/>
          <w:color w:val="auto"/>
        </w:rPr>
        <w:t>HENRY BROS. ELECTRONICS, INC., a New Jersey corporation</w:t>
      </w:r>
    </w:p>
    <w:p>
      <w:pPr>
        <w:spacing w:after="0" w:line="1" w:lineRule="exact"/>
        <w:rPr>
          <w:sz w:val="20"/>
          <w:szCs w:val="20"/>
          <w:color w:val="auto"/>
        </w:rPr>
      </w:pPr>
    </w:p>
    <w:p>
      <w:pPr>
        <w:ind w:left="140" w:right="1980" w:hanging="147"/>
        <w:spacing w:after="0" w:line="239" w:lineRule="auto"/>
        <w:rPr>
          <w:sz w:val="20"/>
          <w:szCs w:val="20"/>
          <w:color w:val="auto"/>
        </w:rPr>
      </w:pPr>
      <w:r>
        <w:rPr>
          <w:rFonts w:ascii="Arial" w:cs="Arial" w:eastAsia="Arial" w:hAnsi="Arial"/>
          <w:sz w:val="20"/>
          <w:szCs w:val="20"/>
          <w:color w:val="auto"/>
        </w:rPr>
        <w:t>HENRY BROS. ELECTRONICS, INC., a California corporation</w:t>
      </w:r>
    </w:p>
    <w:p>
      <w:pPr>
        <w:spacing w:after="0" w:line="1" w:lineRule="exact"/>
        <w:rPr>
          <w:sz w:val="20"/>
          <w:szCs w:val="20"/>
          <w:color w:val="auto"/>
        </w:rPr>
      </w:pPr>
    </w:p>
    <w:p>
      <w:pPr>
        <w:ind w:right="1320"/>
        <w:spacing w:after="0" w:line="241" w:lineRule="auto"/>
        <w:rPr>
          <w:sz w:val="20"/>
          <w:szCs w:val="20"/>
          <w:color w:val="auto"/>
        </w:rPr>
      </w:pPr>
      <w:r>
        <w:rPr>
          <w:rFonts w:ascii="Arial" w:cs="Arial" w:eastAsia="Arial" w:hAnsi="Arial"/>
          <w:sz w:val="20"/>
          <w:szCs w:val="20"/>
          <w:color w:val="auto"/>
        </w:rPr>
        <w:t>DIVERSIFIED SECURITY SOLUTIONS, INC. HENRY BROS. ELECTRONICS, LLC NATIONAL SAFE OF CALIFORNIA, INC. AIRORLITE COMMUNICATIONS,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-14605</wp:posOffset>
            </wp:positionV>
            <wp:extent cx="93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20"/>
          <w:szCs w:val="20"/>
          <w:color w:val="auto"/>
        </w:rPr>
        <w:t>Deanna H. Lund</w:t>
      </w:r>
    </w:p>
    <w:p>
      <w:pPr>
        <w:ind w:left="280"/>
        <w:spacing w:after="0"/>
        <w:rPr>
          <w:sz w:val="20"/>
          <w:szCs w:val="20"/>
          <w:color w:val="auto"/>
        </w:rPr>
      </w:pPr>
      <w:r>
        <w:rPr>
          <w:rFonts w:ascii="Arial" w:cs="Arial" w:eastAsia="Arial" w:hAnsi="Arial"/>
          <w:sz w:val="20"/>
          <w:szCs w:val="20"/>
          <w:color w:val="auto"/>
        </w:rPr>
        <w:t>Executive Vice President &amp; Chief Financial</w:t>
      </w:r>
    </w:p>
    <w:p>
      <w:pPr>
        <w:ind w:left="280"/>
        <w:spacing w:after="0"/>
        <w:rPr>
          <w:sz w:val="20"/>
          <w:szCs w:val="20"/>
          <w:color w:val="auto"/>
        </w:rPr>
      </w:pPr>
      <w:r>
        <w:rPr>
          <w:rFonts w:ascii="Arial" w:cs="Arial" w:eastAsia="Arial" w:hAnsi="Arial"/>
          <w:sz w:val="20"/>
          <w:szCs w:val="20"/>
          <w:color w:val="auto"/>
        </w:rPr>
        <w:t>Officer</w:t>
      </w:r>
    </w:p>
    <w:p>
      <w:pPr>
        <w:sectPr>
          <w:pgSz w:w="11900" w:h="16838" w:orient="portrait"/>
          <w:cols w:equalWidth="0" w:num="2">
            <w:col w:w="5500" w:space="120"/>
            <w:col w:w="5200"/>
          </w:cols>
          <w:pgMar w:left="260" w:top="122" w:right="81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May 9, 2013</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28"/>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May 9, 2013</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8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31, 2013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9,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31, 2013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May 9,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2"/>
    </w:lvl>
  </w:abstractNum>
  <w:abstractNum w:abstractNumId="4">
    <w:nsid w:val="519B500D"/>
    <w:multiLevelType w:val="hybridMultilevel"/>
    <w:lvl w:ilvl="0">
      <w:lvlJc w:val="left"/>
      <w:lvlText w:val="(%1)"/>
      <w:numFmt w:val="lowerLetter"/>
      <w:start w:val="3"/>
    </w:lvl>
  </w:abstractNum>
  <w:abstractNum w:abstractNumId="5">
    <w:nsid w:val="431BD7B7"/>
    <w:multiLevelType w:val="hybridMultilevel"/>
    <w:lvl w:ilvl="0">
      <w:lvlJc w:val="left"/>
      <w:lvlText w:val="(%1)"/>
      <w:numFmt w:val="lowerLetter"/>
      <w:start w:val="4"/>
    </w:lvl>
  </w:abstractNum>
  <w:abstractNum w:abstractNumId="6">
    <w:nsid w:val="3F2DBA31"/>
    <w:multiLevelType w:val="hybridMultilevel"/>
    <w:lvl w:ilvl="0">
      <w:lvlJc w:val="left"/>
      <w:lvlText w:val="(%1)"/>
      <w:numFmt w:val="lowerLetter"/>
      <w:start w:val="5"/>
    </w:lvl>
  </w:abstractNum>
  <w:abstractNum w:abstractNumId="7">
    <w:nsid w:val="7C83E458"/>
    <w:multiLevelType w:val="hybridMultilevel"/>
    <w:lvl w:ilvl="0">
      <w:lvlJc w:val="left"/>
      <w:lvlText w:val="(%1)"/>
      <w:numFmt w:val="lowerLetter"/>
      <w:start w:val="6"/>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2"/>
    </w:lvl>
  </w:abstractNum>
  <w:abstractNum w:abstractNumId="13">
    <w:nsid w:val="721DA317"/>
    <w:multiLevelType w:val="hybridMultilevel"/>
    <w:lvl w:ilvl="0">
      <w:lvlJc w:val="left"/>
      <w:lvlText w:val="(%1)"/>
      <w:numFmt w:val="lowerLetter"/>
      <w:start w:val="1"/>
    </w:lvl>
  </w:abstractNum>
  <w:abstractNum w:abstractNumId="14">
    <w:nsid w:val="2443A858"/>
    <w:multiLevelType w:val="hybridMultilevel"/>
    <w:lvl w:ilvl="0">
      <w:lvlJc w:val="left"/>
      <w:lvlText w:val="(%1)"/>
      <w:numFmt w:val="lowerLetter"/>
      <w:start w:val="2"/>
    </w:lvl>
  </w:abstractNum>
  <w:abstractNum w:abstractNumId="15">
    <w:nsid w:val="2D1D5AE9"/>
    <w:multiLevelType w:val="hybridMultilevel"/>
    <w:lvl w:ilvl="0">
      <w:lvlJc w:val="left"/>
      <w:lvlText w:val="(%1)"/>
      <w:numFmt w:val="lowerRoman"/>
      <w:start w:val="2"/>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2"/>
    </w:lvl>
  </w:abstractNum>
  <w:abstractNum w:abstractNumId="18">
    <w:nsid w:val="8EDBDAB"/>
    <w:multiLevelType w:val="hybridMultilevel"/>
    <w:lvl w:ilvl="0">
      <w:lvlJc w:val="left"/>
      <w:lvlText w:val="#"/>
      <w:numFmt w:val="bullet"/>
      <w:start w:val="1"/>
    </w:lvl>
    <w:lvl w:ilvl="1">
      <w:lvlJc w:val="left"/>
      <w:lvlText w:val="(%2)"/>
      <w:numFmt w:val="lowerRoman"/>
      <w:start w:val="3"/>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2"/>
    </w:lvl>
    <w:lvl w:ilvl="1">
      <w:lvlJc w:val="left"/>
      <w:lvlText w:val="(%2)"/>
      <w:numFmt w:val="lowerLetter"/>
      <w:start w:val="6"/>
    </w:lvl>
  </w:abstractNum>
  <w:abstractNum w:abstractNumId="23">
    <w:nsid w:val="54E49EB4"/>
    <w:multiLevelType w:val="hybridMultilevel"/>
    <w:lvl w:ilvl="0">
      <w:lvlJc w:val="left"/>
      <w:lvlText w:val="%1"/>
      <w:numFmt w:val="decimal"/>
      <w:start w:val="1"/>
    </w:lvl>
    <w:lvl w:ilvl="1">
      <w:lvlJc w:val="left"/>
      <w:lvlText w:val="(%2)"/>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2"/>
    </w:lvl>
  </w:abstractNum>
  <w:abstractNum w:abstractNumId="25">
    <w:nsid w:val="2CA88611"/>
    <w:multiLevelType w:val="hybridMultilevel"/>
    <w:lvl w:ilvl="0">
      <w:lvlJc w:val="left"/>
      <w:lvlText w:val="%1."/>
      <w:numFmt w:val="decimal"/>
      <w:start w:val="4"/>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2019-12-06T20:43:22Z</dcterms:created>
  <dcterms:modified xsi:type="dcterms:W3CDTF">2019-12-06T20:43:22Z</dcterms:modified>
</cp:coreProperties>
</file>