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2220" w:right="1260" w:hanging="699"/>
        <w:spacing w:after="0" w:line="275" w:lineRule="auto"/>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27, 2009</w:t>
      </w:r>
    </w:p>
    <w:p>
      <w:pPr>
        <w:spacing w:after="0" w:line="201" w:lineRule="exact"/>
        <w:rPr>
          <w:sz w:val="24"/>
          <w:szCs w:val="24"/>
          <w:color w:val="auto"/>
        </w:rPr>
      </w:pPr>
    </w:p>
    <w:p>
      <w:pPr>
        <w:ind w:left="2220" w:right="1940" w:hanging="662"/>
        <w:spacing w:after="0" w:line="275" w:lineRule="auto"/>
        <w:tabs>
          <w:tab w:leader="none" w:pos="2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AND EXCHANGE ACT OF 1934</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KRATOS DEFENSE &amp; SECURITY SOLUTIONS, INC.</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80" w:type="dxa"/>
            <w:vAlign w:val="bottom"/>
          </w:tcPr>
          <w:p>
            <w:pPr>
              <w:jc w:val="center"/>
              <w:ind w:right="252"/>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13-3818604</w:t>
            </w:r>
          </w:p>
        </w:tc>
      </w:tr>
      <w:tr>
        <w:trPr>
          <w:trHeight w:val="216"/>
        </w:trPr>
        <w:tc>
          <w:tcPr>
            <w:tcW w:w="2380" w:type="dxa"/>
            <w:vAlign w:val="bottom"/>
          </w:tcPr>
          <w:p>
            <w:pPr>
              <w:jc w:val="center"/>
              <w:ind w:right="252"/>
              <w:spacing w:after="0"/>
              <w:rPr>
                <w:sz w:val="20"/>
                <w:szCs w:val="20"/>
                <w:color w:val="auto"/>
              </w:rPr>
            </w:pPr>
            <w:r>
              <w:rPr>
                <w:rFonts w:ascii="Arial" w:cs="Arial" w:eastAsia="Arial" w:hAnsi="Arial"/>
                <w:sz w:val="18"/>
                <w:szCs w:val="18"/>
                <w:color w:val="auto"/>
                <w:w w:val="90"/>
              </w:rPr>
              <w:t>(State or other jurisdiction of</w:t>
            </w:r>
          </w:p>
        </w:tc>
        <w:tc>
          <w:tcPr>
            <w:tcW w:w="1540" w:type="dxa"/>
            <w:vAlign w:val="bottom"/>
          </w:tcPr>
          <w:p>
            <w:pPr>
              <w:jc w:val="center"/>
              <w:ind w:left="252"/>
              <w:spacing w:after="0"/>
              <w:rPr>
                <w:sz w:val="20"/>
                <w:szCs w:val="20"/>
                <w:color w:val="auto"/>
              </w:rPr>
            </w:pPr>
            <w:r>
              <w:rPr>
                <w:rFonts w:ascii="Arial" w:cs="Arial" w:eastAsia="Arial" w:hAnsi="Arial"/>
                <w:sz w:val="18"/>
                <w:szCs w:val="18"/>
                <w:color w:val="auto"/>
                <w:w w:val="90"/>
              </w:rPr>
              <w:t>(I.R.S. Employer</w:t>
            </w:r>
          </w:p>
        </w:tc>
      </w:tr>
      <w:tr>
        <w:trPr>
          <w:trHeight w:val="216"/>
        </w:trPr>
        <w:tc>
          <w:tcPr>
            <w:tcW w:w="2380" w:type="dxa"/>
            <w:vAlign w:val="bottom"/>
          </w:tcPr>
          <w:p>
            <w:pPr>
              <w:jc w:val="center"/>
              <w:ind w:right="252"/>
              <w:spacing w:after="0"/>
              <w:rPr>
                <w:sz w:val="20"/>
                <w:szCs w:val="20"/>
                <w:color w:val="auto"/>
              </w:rPr>
            </w:pPr>
            <w:r>
              <w:rPr>
                <w:rFonts w:ascii="Arial" w:cs="Arial" w:eastAsia="Arial" w:hAnsi="Arial"/>
                <w:sz w:val="18"/>
                <w:szCs w:val="18"/>
                <w:color w:val="auto"/>
                <w:w w:val="89"/>
              </w:rPr>
              <w:t>incorporation or</w:t>
            </w:r>
          </w:p>
        </w:tc>
        <w:tc>
          <w:tcPr>
            <w:tcW w:w="1540" w:type="dxa"/>
            <w:vAlign w:val="bottom"/>
          </w:tcPr>
          <w:p>
            <w:pPr>
              <w:jc w:val="center"/>
              <w:ind w:left="272"/>
              <w:spacing w:after="0"/>
              <w:rPr>
                <w:sz w:val="20"/>
                <w:szCs w:val="20"/>
                <w:color w:val="auto"/>
              </w:rPr>
            </w:pPr>
            <w:r>
              <w:rPr>
                <w:rFonts w:ascii="Arial" w:cs="Arial" w:eastAsia="Arial" w:hAnsi="Arial"/>
                <w:sz w:val="18"/>
                <w:szCs w:val="18"/>
                <w:color w:val="auto"/>
                <w:w w:val="95"/>
              </w:rPr>
              <w:t>Identification)</w:t>
            </w:r>
          </w:p>
        </w:tc>
      </w:tr>
      <w:tr>
        <w:trPr>
          <w:trHeight w:val="222"/>
        </w:trPr>
        <w:tc>
          <w:tcPr>
            <w:tcW w:w="2380" w:type="dxa"/>
            <w:vAlign w:val="bottom"/>
          </w:tcPr>
          <w:p>
            <w:pPr>
              <w:jc w:val="center"/>
              <w:ind w:right="252"/>
              <w:spacing w:after="0"/>
              <w:rPr>
                <w:sz w:val="20"/>
                <w:szCs w:val="20"/>
                <w:color w:val="auto"/>
              </w:rPr>
            </w:pPr>
            <w:r>
              <w:rPr>
                <w:rFonts w:ascii="Arial" w:cs="Arial" w:eastAsia="Arial" w:hAnsi="Arial"/>
                <w:sz w:val="18"/>
                <w:szCs w:val="18"/>
                <w:color w:val="auto"/>
                <w:w w:val="88"/>
              </w:rPr>
              <w:t>organization)</w:t>
            </w:r>
          </w:p>
        </w:tc>
        <w:tc>
          <w:tcPr>
            <w:tcW w:w="1540" w:type="dxa"/>
            <w:vAlign w:val="bottom"/>
          </w:tcPr>
          <w:p>
            <w:pPr>
              <w:spacing w:after="0"/>
              <w:rPr>
                <w:sz w:val="19"/>
                <w:szCs w:val="19"/>
                <w:color w:val="auto"/>
              </w:rPr>
            </w:pPr>
          </w:p>
        </w:tc>
      </w:tr>
    </w:tbl>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of Registrant's principal executive offices)</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660" w:type="dxa"/>
            <w:vAlign w:val="bottom"/>
          </w:tcPr>
          <w:p>
            <w:pPr>
              <w:spacing w:after="0"/>
              <w:rPr>
                <w:sz w:val="14"/>
                <w:szCs w:val="14"/>
                <w:color w:val="auto"/>
              </w:rPr>
            </w:pPr>
          </w:p>
        </w:tc>
        <w:tc>
          <w:tcPr>
            <w:tcW w:w="3120" w:type="dxa"/>
            <w:vAlign w:val="bottom"/>
            <w:tcBorders>
              <w:bottom w:val="single" w:sz="8" w:color="auto"/>
            </w:tcBorders>
          </w:tcPr>
          <w:p>
            <w:pPr>
              <w:jc w:val="center"/>
              <w:ind w:left="38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1"/>
        </w:trPr>
        <w:tc>
          <w:tcPr>
            <w:tcW w:w="1320" w:type="dxa"/>
            <w:vAlign w:val="bottom"/>
          </w:tcPr>
          <w:p>
            <w:pPr>
              <w:spacing w:after="0"/>
              <w:rPr>
                <w:sz w:val="17"/>
                <w:szCs w:val="17"/>
                <w:color w:val="auto"/>
              </w:rPr>
            </w:pPr>
          </w:p>
        </w:tc>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88"/>
              </w:rPr>
              <w:t>Common Stock, par value $0.001</w:t>
            </w:r>
          </w:p>
        </w:tc>
        <w:tc>
          <w:tcPr>
            <w:tcW w:w="660" w:type="dxa"/>
            <w:vAlign w:val="bottom"/>
          </w:tcPr>
          <w:p>
            <w:pPr>
              <w:spacing w:after="0"/>
              <w:rPr>
                <w:sz w:val="17"/>
                <w:szCs w:val="17"/>
                <w:color w:val="auto"/>
              </w:rPr>
            </w:pPr>
          </w:p>
        </w:tc>
        <w:tc>
          <w:tcPr>
            <w:tcW w:w="3120" w:type="dxa"/>
            <w:vAlign w:val="bottom"/>
          </w:tcPr>
          <w:p>
            <w:pPr>
              <w:jc w:val="center"/>
              <w:ind w:left="402"/>
              <w:spacing w:after="0" w:line="201" w:lineRule="exact"/>
              <w:rPr>
                <w:sz w:val="20"/>
                <w:szCs w:val="20"/>
                <w:color w:val="auto"/>
              </w:rPr>
            </w:pPr>
            <w:r>
              <w:rPr>
                <w:rFonts w:ascii="Arial" w:cs="Arial" w:eastAsia="Arial" w:hAnsi="Arial"/>
                <w:sz w:val="18"/>
                <w:szCs w:val="18"/>
                <w:color w:val="auto"/>
                <w:w w:val="91"/>
              </w:rPr>
              <w:t>The NASDAQ Global Select Market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132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86"/>
              </w:rPr>
              <w:t>Right to Purchase Shares of Series C Preferred Stock</w:t>
            </w:r>
          </w:p>
        </w:tc>
        <w:tc>
          <w:tcPr>
            <w:tcW w:w="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0"/>
        </w:trPr>
        <w:tc>
          <w:tcPr>
            <w:tcW w:w="1320" w:type="dxa"/>
            <w:vAlign w:val="bottom"/>
          </w:tcPr>
          <w:p>
            <w:pPr>
              <w:spacing w:after="0"/>
              <w:rPr>
                <w:sz w:val="24"/>
                <w:szCs w:val="24"/>
                <w:color w:val="auto"/>
              </w:rPr>
            </w:pPr>
          </w:p>
        </w:tc>
        <w:tc>
          <w:tcPr>
            <w:tcW w:w="7520" w:type="dxa"/>
            <w:vAlign w:val="bottom"/>
            <w:gridSpan w:val="3"/>
          </w:tcPr>
          <w:p>
            <w:pPr>
              <w:jc w:val="center"/>
              <w:ind w:left="377"/>
              <w:spacing w:after="0"/>
              <w:rPr>
                <w:sz w:val="20"/>
                <w:szCs w:val="20"/>
                <w:color w:val="auto"/>
              </w:rPr>
            </w:pPr>
            <w:r>
              <w:rPr>
                <w:rFonts w:ascii="Arial" w:cs="Arial" w:eastAsia="Arial" w:hAnsi="Arial"/>
                <w:sz w:val="18"/>
                <w:szCs w:val="18"/>
                <w:color w:val="auto"/>
                <w:w w:val="92"/>
              </w:rPr>
              <w:t>SECURITIES REGISTERED PURSUANT TO SECTION 12(g) OF THE ACT: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780" w:type="dxa"/>
            <w:vAlign w:val="bottom"/>
            <w:gridSpan w:val="2"/>
          </w:tcPr>
          <w:p>
            <w:pPr>
              <w:jc w:val="center"/>
              <w:ind w:right="3202"/>
              <w:spacing w:after="0"/>
              <w:rPr>
                <w:sz w:val="20"/>
                <w:szCs w:val="20"/>
                <w:color w:val="auto"/>
              </w:rPr>
            </w:pPr>
            <w:r>
              <w:rPr>
                <w:rFonts w:ascii="Arial" w:cs="Arial" w:eastAsia="Arial" w:hAnsi="Arial"/>
                <w:sz w:val="18"/>
                <w:szCs w:val="18"/>
                <w:b w:val="1"/>
                <w:bCs w:val="1"/>
                <w:color w:val="auto"/>
                <w:w w:val="84"/>
              </w:rPr>
              <w:t>None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52"/>
        </w:trPr>
        <w:tc>
          <w:tcPr>
            <w:tcW w:w="884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4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190" w:lineRule="exact"/>
        <w:rPr>
          <w:sz w:val="24"/>
          <w:szCs w:val="24"/>
          <w:color w:val="auto"/>
        </w:rPr>
      </w:pPr>
    </w:p>
    <w:p>
      <w:pPr>
        <w:ind w:right="2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95"/>
        <w:spacing w:after="0" w:line="259" w:lineRule="auto"/>
        <w:rPr>
          <w:sz w:val="20"/>
          <w:szCs w:val="20"/>
          <w:color w:val="auto"/>
        </w:rPr>
      </w:pPr>
      <w:r>
        <w:rPr>
          <w:rFonts w:ascii="Arial" w:cs="Arial" w:eastAsia="Arial" w:hAnsi="Arial"/>
          <w:sz w:val="18"/>
          <w:szCs w:val="18"/>
          <w:color w:val="auto"/>
        </w:rPr>
        <w:t>Indicate by check mark whether the issuer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o YES o NO</w:t>
      </w:r>
    </w:p>
    <w:p>
      <w:pPr>
        <w:spacing w:after="0" w:line="194" w:lineRule="exact"/>
        <w:rPr>
          <w:sz w:val="24"/>
          <w:szCs w:val="24"/>
          <w:color w:val="auto"/>
        </w:rPr>
      </w:pPr>
    </w:p>
    <w:p>
      <w:pPr>
        <w:jc w:val="both"/>
        <w:ind w:right="200"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400" w:firstLine="395"/>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53" w:lineRule="exact"/>
        <w:rPr>
          <w:sz w:val="24"/>
          <w:szCs w:val="24"/>
          <w:color w:val="auto"/>
        </w:rPr>
      </w:pPr>
    </w:p>
    <w:p>
      <w:pPr>
        <w:ind w:left="380"/>
        <w:spacing w:after="0" w:line="207" w:lineRule="exact"/>
        <w:tabs>
          <w:tab w:leader="none" w:pos="3480" w:val="left"/>
          <w:tab w:leader="none" w:pos="5920" w:val="left"/>
          <w:tab w:leader="none" w:pos="88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ectPr>
          <w:pgSz w:w="11900" w:h="16838" w:orient="portrait"/>
          <w:cols w:equalWidth="0" w:num="1">
            <w:col w:w="11360"/>
          </w:cols>
          <w:pgMar w:left="240" w:top="685" w:right="299" w:bottom="0" w:gutter="0" w:footer="0" w:header="0"/>
        </w:sectPr>
      </w:pPr>
    </w:p>
    <w:p>
      <w:pPr>
        <w:spacing w:after="0" w:line="39" w:lineRule="exact"/>
        <w:rPr>
          <w:sz w:val="24"/>
          <w:szCs w:val="24"/>
          <w:color w:val="auto"/>
        </w:rPr>
      </w:pPr>
    </w:p>
    <w:p>
      <w:pPr>
        <w:jc w:val="center"/>
        <w:ind w:left="2200"/>
        <w:spacing w:after="0"/>
        <w:rPr>
          <w:sz w:val="20"/>
          <w:szCs w:val="20"/>
          <w:color w:val="auto"/>
        </w:rPr>
      </w:pPr>
      <w:r>
        <w:rPr>
          <w:rFonts w:ascii="Arial" w:cs="Arial" w:eastAsia="Arial" w:hAnsi="Arial"/>
          <w:sz w:val="14"/>
          <w:szCs w:val="14"/>
          <w:color w:val="auto"/>
        </w:rPr>
        <w:t>(Do not check if a</w:t>
      </w:r>
    </w:p>
    <w:p>
      <w:pPr>
        <w:jc w:val="center"/>
        <w:ind w:left="22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0" w:gutter="0" w:footer="0" w:header="0"/>
          <w:type w:val="continuous"/>
        </w:sectPr>
      </w:pPr>
    </w:p>
    <w:bookmarkStart w:id="1" w:name="page2"/>
    <w:bookmarkEnd w:id="1"/>
    <w:p>
      <w:pPr>
        <w:ind w:left="40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2"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The aggregate market value of the voting and non-voting stock (Common Stock) held by non-affiliates as of the last business day of the most recently completed second fiscal quarter (June 28, 2009) was approximately $109.2 million, based on the closing sale price on the NASDAQ Global Select Market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right="480" w:hanging="532"/>
        <w:spacing w:after="0" w:line="33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the common stock held by executive officers, directors and stockholders whose individual ownership exceeds 10% of the Common Stock outstanding on June 28, 2009. This calculation does not reflect a determination that such persons are affiliates for any other purpose.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the Registrant's Common Stock was 15,875,919 as of March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8"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Portions of the registrant's definitive proxy statement to be filed with the Commission pursuant to Regulation 14A in connection with the registrant's 2010 Annual Meeting of Stockholders (the "Proxy Statement") or portions of the registrant's Form 10-K/A, to be filed subsequent to the date hereof, are incorporated by reference into Part III of this report. Such Proxy Statement or Form-10K/A will be filed with the Commission not later than 120 days after the conclusion of the registrant's fiscal year ended December 27, 2009.</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27, 2009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gridSpan w:val="2"/>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120" w:type="dxa"/>
            <w:vAlign w:val="bottom"/>
            <w:gridSpan w:val="2"/>
            <w:vMerge w:val="restart"/>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54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13">
              <w:r>
                <w:rPr>
                  <w:rFonts w:ascii="Arial" w:cs="Arial" w:eastAsia="Arial" w:hAnsi="Arial"/>
                  <w:sz w:val="18"/>
                  <w:szCs w:val="18"/>
                  <w:color w:val="0000EE"/>
                  <w:w w:val="80"/>
                </w:rPr>
                <w:t>Item 1A.</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27">
              <w:r>
                <w:rPr>
                  <w:rFonts w:ascii="Arial" w:cs="Arial" w:eastAsia="Arial" w:hAnsi="Arial"/>
                  <w:sz w:val="18"/>
                  <w:szCs w:val="18"/>
                  <w:color w:val="0000EE"/>
                  <w:w w:val="80"/>
                </w:rPr>
                <w:t>Item 1B.</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Item 2.</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PART II</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8140" w:type="dxa"/>
            <w:vAlign w:val="bottom"/>
            <w:gridSpan w:val="21"/>
          </w:tcPr>
          <w:p>
            <w:pPr>
              <w:ind w:left="260"/>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Market for the Registrant's Common Equity, Related Stockholder Matters and Issuer Purchases of Equity</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Securities</w:t>
              </w:r>
            </w:hyperlink>
          </w:p>
        </w:tc>
        <w:tc>
          <w:tcPr>
            <w:tcW w:w="50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7.</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62">
              <w:r>
                <w:rPr>
                  <w:rFonts w:ascii="Arial" w:cs="Arial" w:eastAsia="Arial" w:hAnsi="Arial"/>
                  <w:sz w:val="18"/>
                  <w:szCs w:val="18"/>
                  <w:color w:val="0000EE"/>
                  <w:w w:val="80"/>
                </w:rPr>
                <w:t>Item 7A.</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Item 8.</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9.</w:t>
              </w:r>
            </w:hyperlink>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62">
              <w:r>
                <w:rPr>
                  <w:rFonts w:ascii="Arial" w:cs="Arial" w:eastAsia="Arial" w:hAnsi="Arial"/>
                  <w:sz w:val="18"/>
                  <w:szCs w:val="18"/>
                  <w:color w:val="0000EE"/>
                  <w:w w:val="80"/>
                </w:rPr>
                <w:t>Item 9A.</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0"/>
              </w:rPr>
            </w:pPr>
            <w:hyperlink w:anchor="page65">
              <w:r>
                <w:rPr>
                  <w:rFonts w:ascii="Arial" w:cs="Arial" w:eastAsia="Arial" w:hAnsi="Arial"/>
                  <w:sz w:val="18"/>
                  <w:szCs w:val="18"/>
                  <w:color w:val="0000EE"/>
                  <w:w w:val="80"/>
                </w:rPr>
                <w:t>Item 9B.</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PART III</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10.</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Directors, Executive Officers and Corporate Governance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11.</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12.</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Security Ownership of Certain Beneficial Owners and Management and Related Stockholder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13.</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14.</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PART IV</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3"/>
          </w:tcPr>
          <w:p>
            <w:pPr>
              <w:spacing w:after="0" w:line="196" w:lineRule="exact"/>
              <w:rPr>
                <w:rFonts w:ascii="Arial" w:cs="Arial" w:eastAsia="Arial" w:hAnsi="Arial"/>
                <w:sz w:val="18"/>
                <w:szCs w:val="18"/>
                <w:color w:val="0000EE"/>
                <w:w w:val="82"/>
              </w:rPr>
            </w:pPr>
            <w:hyperlink w:anchor="page65">
              <w:r>
                <w:rPr>
                  <w:rFonts w:ascii="Arial" w:cs="Arial" w:eastAsia="Arial" w:hAnsi="Arial"/>
                  <w:sz w:val="18"/>
                  <w:szCs w:val="18"/>
                  <w:color w:val="0000EE"/>
                  <w:w w:val="82"/>
                </w:rPr>
                <w:t>Item 15.</w:t>
              </w:r>
            </w:hyperlink>
          </w:p>
        </w:tc>
        <w:tc>
          <w:tcPr>
            <w:tcW w:w="80" w:type="dxa"/>
            <w:vAlign w:val="bottom"/>
          </w:tcPr>
          <w:p>
            <w:pPr>
              <w:spacing w:after="0"/>
              <w:rPr>
                <w:sz w:val="17"/>
                <w:szCs w:val="17"/>
                <w:color w:val="auto"/>
              </w:rPr>
            </w:pPr>
          </w:p>
        </w:tc>
        <w:tc>
          <w:tcPr>
            <w:tcW w:w="8140" w:type="dxa"/>
            <w:vAlign w:val="bottom"/>
            <w:gridSpan w:val="21"/>
          </w:tcPr>
          <w:p>
            <w:pPr>
              <w:ind w:left="26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Exhibits, Financial Statement Schedules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Borders>
              <w:top w:val="single" w:sz="8" w:color="0000EE"/>
            </w:tcBorders>
            <w:gridSpan w:val="11"/>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references to us, we, our, the Company and Kratos refer to Kratos Defense &amp; Security Solutions, Inc., a Delaware Corporation, and its subsidiaries.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31" w:lineRule="exact"/>
        <w:rPr>
          <w:sz w:val="20"/>
          <w:szCs w:val="20"/>
          <w:color w:val="auto"/>
        </w:rPr>
      </w:pPr>
    </w:p>
    <w:p>
      <w:pPr>
        <w:ind w:right="320" w:firstLine="348"/>
        <w:spacing w:after="0" w:line="255" w:lineRule="auto"/>
        <w:rPr>
          <w:sz w:val="20"/>
          <w:szCs w:val="20"/>
          <w:color w:val="auto"/>
        </w:rPr>
      </w:pPr>
      <w:r>
        <w:rPr>
          <w:rFonts w:ascii="Arial" w:cs="Arial" w:eastAsia="Arial" w:hAnsi="Arial"/>
          <w:sz w:val="18"/>
          <w:szCs w:val="18"/>
          <w:color w:val="auto"/>
        </w:rPr>
        <w:t>This Annual Report (including the section regarding Management's Discussion and Analysis of Financial Condition and Results of Operations) contains forward-looking statements regarding our business, financial condition, results of operations and prospects. Words such as "expects," "anticipates," "intends," "plans," "believes," "seeks," "estimates" and similar expressions or variations of such words are intended to identify forward-looking statements, but are not deemed to represent an all-inclusive means of identifying forward-looking statements as denoted in this Annual Report. Additionally, statements concerning future matters are forward-looking statements.</w:t>
      </w:r>
    </w:p>
    <w:p>
      <w:pPr>
        <w:spacing w:after="0" w:line="197"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Although forward-looking statements in our Annual Report reflect our good faith judgment,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in Item 1A—"Risk Factors" below, as well as those discussed elsewhere in this Annual Report. Readers are urged not to place undue reliance on these forward-looking statements, which speak only as of the date of our Annual Report. We undertake no obligation to revise or update any forward-looking statements in order to reflect any event or circumstance that may arise after the date of this Annual Report. Readers are urged to carefully review and consider the various disclosures made throughout the entirety of this Annual Report, which attempt to advise interested parties of the risks and factors that may affect our business, financial condition, results of operations and prospects.</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were incorporated in the state of New York on December 19, 1994 and began operations in March 1995. We reincorporated in the state of Delaware in 1998. On September 12, 2007, we changed our name from Wireless Facilities, Inc. to Kratos Defense &amp; Security Solutions, Inc.</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Combat Systems, Intelligence, Surveillance, and Reconnaissance (C5ISR);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systems; and advanced network engineering and information technology services. We offer our customers solutions and expertise to support their mission critical needs by leveraging our skills across our core service areas.</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to Kratos Defense &amp; Security Solutions, Inc. Our new name reflects our revised focus as a defense contractor and security systems integrator for the federal government and for state and local agencies. In connection with our name change, we changed our NASDAQ Global Market trading symbol to "KTOS".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Annual Report are presented in a manner consistent with our operating structure. For additional information regarding our operating segments, see Note 13 of Notes to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Kratos Government Solutions segment provides engineering, information technology and weapons systems to federal, state, and local government agencies, but primarily the DoD. Our work includes weapon systems sustainment, lifecycle support and extension; C5ISR services; military range operations and technical services; missile, rocket, and weapons systems test and evaluation; mission launch services; modeling and simulation, unmanned aerial vehicle (UAV) products and technology, and advanced network engineering and information technology services; and public safety, security and surveillance systems integration. Our KGS segment also provides public safety, security and surveillance systems products and services to the homeland security market with products and services aimed at supporting first responders.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temperature control and fire and life safety. We provide services that combine such systems and offer integrated solutions on both Ethernet and IP based platforms. We also offer solutions that combine voice, data, electronic security and building automation systems with fixed or wireless connectivity solutions. Our target markets are healthcare, government, data centers, large scale industrial and manufacturing, correctional facilities, education and sports and entertainment.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 On June 24, 2009, as a result of continued losses in the Southeast division of PSS, our Board of Directors approved a plan to sell and dispose of this division. The business unit was classified as held for sale and reported in discontinued operations in the accompanying Consolidated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 Department of Defense Drives Strategic Priorities for the Company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delivery and execution of our mission-critical engineering and support services are driven by the priorities of the U.S. federal government and primarily the Department of Defense. The strategic priorities of the DoD are based in large part on the Quadrennial Defense Review (QDR), the first conducted in an era of global terrorism, which identifies key strategic priorities. These priorities are currently focused on mission critical capabilities of the U.S. armed forces and providing the support infrastructure necessary to sustain these forces in a time of heightened warfare readiness and deployment.</w:t>
      </w:r>
    </w:p>
    <w:p>
      <w:pPr>
        <w:spacing w:after="0" w:line="16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2010 Fiscal Year DoD budget is $636.3 billion, an increase of $11.0 billion over Fiscal Year 2009. The total budgetary increase of approximately 2% represents a significant opportunity to key federal government contractors in support of the DoD's war fighter, information technology, and other operational priorities. The 2010 budget includes supplemental funding of $128.2 billion to support overseas contingency operations, primarily in Iraq and Afghanistan. We believe there will be significant market opportunities for providers of system sustainment, IT and engineering services and solutions to federal government agencies over the next several years, particularly those in the defense and homeland security communities. The President's recent 2011 DoD Budget Request and the QDR are consistent with this outlook.</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Focus on Federal Government Transformation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federal government, and the DoD in particular, is in the midst of a significant transformation that is driven by the federal government's need to address the changing nature of global threats. A significant aspect of this transformation is the use of C5ISR, and information technology to increase the federal government's effectiveness and efficiency. The result is increased federal government spending on information technology to upgrade networks and transform the federal government from separate, isolated organizations into larger, enterprise level, network-centric organizations capable of sharing information broadly and quickly. While the transformation initiative is driven by the need to prepare for new world threats, adopting these IT transformation initiatives will also improve efficiency and reduce infrastructure costs across all federal government agencies.</w:t>
      </w:r>
    </w:p>
    <w:p>
      <w:pPr>
        <w:spacing w:after="0" w:line="17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An additional aspect of the military transformation includes significantly enhancing military readiness in areas such as missile defense, weapons system sustainment and extension, and the overall strengthening of intelligence and security. For example, the objective of the DoD as it relates to missile defense is to continue to develop, test, and field missile defense systems to protect America, its allies and deployed forces.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robust past performance qualifications in our respective business areas; including a work force with significant experience on the various systems and for the customers we serve.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Significant and Highly Specialized Experience</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Through existing customer engagements and the government focused acquisitions we have completed over the past several years, we have amassed significant and highly specialized experience in areas directly related to weapon system life cycle extension and sustainment; missile, rocket and weapons system test and evaluation; C5ISR; military range operations and technical services and other highly differentiated services and solutions. This collective experience, or past performance qualifications, is a requirement on the majority of contract vehicles and customer engagements we are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involved in. We believe this presents a significant barrier to entry and positions us for long-term success.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In-Depth Understanding of Client Missions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a history of providing mission-critical services and solutions to our clients, enabling us to develop an in-depth understanding of their missions and technical needs. In addition, a significant number of our employees are located at client sites, giving us valuable strategic insights into clients' ongoing and future program requirements. Our in-depth understanding of our client missions, in conjunction with the strategic location of our employees, enables us to offer technical solutions tailored to our clients' specific requirements and consistent with their evolving mission objectives.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Diverse Base of Key Contract Vehicles</w:t>
      </w:r>
    </w:p>
    <w:p>
      <w:pPr>
        <w:spacing w:after="0" w:line="22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a result of our business development focus on securing key contracts, we are a preferred contractor on numerous multi-year government-wide acquisition contracts and multiple award contracts that provide us with the opportunity to bid on hundreds of millions of dollars of business each year against a discrete number of other pre-qualified companies each year. These contracts include Seaport-e, GSA, Passive RFID EPC-1, PES, IT, LOG World, Mobis Millennia Lite, AMCOM Express, Alliant, StocII, Consolidated Acquisition of Professional Services (CAPS), Support Services for Aviation, Air Defense and Missile Systems, Systems Engineering and Technical Assistance Contract, Specialized Engineering, Development and Test Articles/Models and Theoretical Studies and Engineering Research. While the federal government is not obligated to make any awards under these vehicles, we believe that holding preferred positions on these contract vehicles provides us an advantage as we seek to expand the level of services we provide to our clients.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Strategic Geographic Locations and BRAC</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federal government's Base Realignment and Closure (BRAC) Act of 2005 is the congressionally authorized process the Department of Defense has implemented to reorganize its base structure to more efficiently and effectively support U.S. armed forces, increase operational readiness and facilitate new ways of doing business. As a result of the DoD's BRAC transformation, we have concentrated part of our business strategy on building a significant presence in key BRAC receiving locations where the federal government is relocating its personnel as well as related technical and professional services. As we continue to entrench in these key locations, we expect this to be a significant competitive advantage.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Highly Skilled Employees and an Experienced Management Team</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deliver our services through a highly skilled workforce of approximately 1,800 full-time, part-time and on-call employees in our on-going business. Our senior managers have over several hundred years of collective experience with federal government agencies, the U.S. military, and federal government contractors. Members of our management team have experience growing businesses organically, as well as through acquisitions. The cumulative experience and differentiated expertise of our personnel in our core focus areas along with our sizable employee base, the majority of which hold government security clearances, allow us to qualify for and bid on larger projects in the prime contracting role.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Solutions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provide a range of integrated engineering, war fighter, security and information technology services and solutions by leveraging our core service offerings: weapons systems lifecycle sustainment,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support, and extension; C5ISR; military range operations and technical services; missile and rocket test and evaluation; security systems integration; and advanced network engineering and IT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Weapon Systems Lifecycle Sustainment, Support and Extension</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provide weapons systems life cycle sustainment, support, and extension services for the DoD and foreign governments. These services focus on maintaining, testing and repairing certain weapons systems for the war fighter.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C5ISR (Command, Control, Communications, Computing, Combat Systems, Intelligence, Surveillance and Reconnaissance)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the area of C5ISR, we are involved in a wide range of services, including installation, upgrade and maintenance of command, control, computing, and surveillance systems for customers such as the Joint Inter Agency Task Force-south (JIATF), the Naval Undersea Warfare Center (NUWC) and the Space and Naval Warfare Systems Center (SPAWAR). We are also involved in the study, research and development of exotic sensors, including EO/IR sensors, for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Range Operations and Technical Services</w:t>
      </w:r>
    </w:p>
    <w:p>
      <w:pPr>
        <w:spacing w:after="0" w:line="225"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 key area of differentiation for us is within the range and technical service areas we offer. We have resources stationed at many major weapons and targets range locations throughout the United States, including Naval Air Warfare Center Pt. Mugu, Hawaii Pacific Missile Range, Fort Bliss, Texas, and White Sands Missile Range, New Mexico. Our services include aerial targets operations and maintenance, surface targets operations and maintenance, missile systems operations and maintenance, range operations planning and support, hazardous materials management, supply and logistics support, and manufacturing.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Missile and Rocket Test and Evaluation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Through the acquisitions of Haverstick Consulting, Inc. and Digital Fusion, Inc. (DFI), we acquired expertise in the area of missile and rocket test and evaluation services. This includes exclusive rights to the design and manufacture of the motor on the Oriole Rocket System and ancillary hardware for sounding rockets, suborbital research and target services together with both intellectual property and subject matter expertise in sensors and modeling and simulation associated with a wide range of missile technologies. Additionally, this area of our business develops and produces low-cost ballistic missile defense targets. These ballistic missile targets or AEGIS Readiness Assessment Vehicles (ARAVs) are a key element in U.S. ballistic missile defense forces.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Systems Integration</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broad experience integrating security services and solutions across a number of network and communications platforms. In particular, our non-federal business has long-standing experience and has developed significant customer relationships by providing best-in-class systems integration services on a variety of platforms including digital (IP) surveillance and security, building automation systems and controls, fire and life safety systems, access control and perimeter protection, and service and maintenance of the aforementioned systems.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have comprehensive experience providing engineering services at any phase of a project lifecycle including program management, engineering design, system engineering, C5I System INCO, operations and maintenance, integrated telecommunications, and warfare systems training.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develop and produce network management and protection proprietary products—NeuralStar and dopplerVUE.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Performance and Training Solutions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learning, performance and training solutions consist of a broad range of products and services capabilities to deliver training solutions and web-enabled or satellite based interactive distance learning for customers in the DoD, other government agencies, universities and commercial organizations. Our training solutions include services, product development, and tools addressing a breadth of related disciplines that include human performance factors, job and task analysis, competencies definition, skills and knowledge building via multiple delivery mediums, tracking, assessment, evaluation, and trend analysis. In addition, we develop and provide classroom based and e-learning training and education programs and Net-Centric Human Systems Integration (HSI) solutions.</w:t>
      </w:r>
    </w:p>
    <w:p>
      <w:pPr>
        <w:spacing w:after="0" w:line="170"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also offer a range of IT services and solutions from conceptual network planning to system service and maintenance. We also offer our proprietary software based network management products via software license and maintenance sales which also serve as a platform for incremental network based services work. We have extensive experience building complex and secure networks for the federal government, and we possess in-depth experience with network operations centers. Our services include network operations centers, help desks, system maintenance, system upgrades, configuration management, data warehousing, COTS selection and integration, and high performance computing.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Our strategy is to aggressively grow our business as a leading provider of highly differentiated services in our core areas of focus as noted above by delivering comprehensive, high-end engineering services, technical solutions and information technology solutions to federal government agencies while improving our profitability. To achieve our objective, we intend to:</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Accelerate Internal Growth</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are focused on accelerating our internal growth rate by capitalizing on our current contract base and customer relationships, expanding services provided to our existing clients, expanding our client base and offering new, complementary services.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aggressively pursuing task orders under existing contract vehicles to maximize our revenue and strengthen</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 relationships, though there is no assurance that the federal government will make awards up to the ceiling amounts or that we will be awarded any task orders under these vehicles. We have developed several internal tools that facilitate our ability to track, prioritize and win task orders under these vehicles. Combining these tools with our technical expertise, our strong past performance record and our knowledge of our clients' needs, should position us to win additional task orders.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Expand Services Provided to Existing Clients. </w:t>
      </w:r>
      <w:r>
        <w:rPr>
          <w:rFonts w:ascii="Arial" w:cs="Arial" w:eastAsia="Arial" w:hAnsi="Arial"/>
          <w:sz w:val="16"/>
          <w:szCs w:val="16"/>
          <w:color w:val="auto"/>
        </w:rPr>
        <w:t>We are focused on expanding the services we provide to our current clients by leveraging our strong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technical capabilities and past performance record, and by offering a wider range of solutions as we continue to acquire companies with new areas of specialization. We believe our understanding of client missions, processes and needs, in conjunction with our full lifecycle IT offerings, positions us to capture new work from existing clients as the federal government continues to increase the volume of IT services contracted to professional services providers. Moreover, we believe our strong past performance record positions us to expand the level of services we provide to our clients as the federal government places greater emphasis on past performance as a criterion for awarding contracts.</w:t>
      </w:r>
    </w:p>
    <w:p>
      <w:pPr>
        <w:spacing w:after="0" w:line="17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i w:val="1"/>
          <w:iCs w:val="1"/>
          <w:color w:val="auto"/>
        </w:rPr>
        <w:t xml:space="preserve">Expand Client Base. </w:t>
      </w:r>
      <w:r>
        <w:rPr>
          <w:rFonts w:ascii="Arial" w:cs="Arial" w:eastAsia="Arial" w:hAnsi="Arial"/>
          <w:sz w:val="18"/>
          <w:szCs w:val="18"/>
          <w:color w:val="auto"/>
        </w:rPr>
        <w:t>We are also focused on expanding our client base into areas with significant growth opportunities by leveraging our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reputation, long-term client relationships and diverse contract base. We anticipate that this expansion will enable us both to pursue additional higher value work and to further diversify our revenue base across the federal government.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relationships with federal government agencies, together with our GWAC vehicles, give us opportunities to win contracts with new clients within these agencies.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Improve Operating Margins. </w:t>
      </w:r>
      <w:r>
        <w:rPr>
          <w:rFonts w:ascii="Arial" w:cs="Arial" w:eastAsia="Arial" w:hAnsi="Arial"/>
          <w:sz w:val="18"/>
          <w:szCs w:val="18"/>
          <w:color w:val="auto"/>
        </w:rPr>
        <w:t>We believe that we have significant opportunities to increase our operating margins and improve profitability by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on our corporate infrastructure investments and internally developed tools, improving efficiencies and reducing costs, and concentrating on high value-added prime contracts.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Capitalize on Corporate Infrastructure Investments. </w:t>
      </w:r>
      <w:r>
        <w:rPr>
          <w:rFonts w:ascii="Arial" w:cs="Arial" w:eastAsia="Arial" w:hAnsi="Arial"/>
          <w:sz w:val="16"/>
          <w:szCs w:val="16"/>
          <w:color w:val="auto"/>
        </w:rPr>
        <w:t>In recent periods, we have made significant investments in our senior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in anticipation of future revenue growth. These investments included hiring senior executives with significant experience with federal IT services companies, strengthening our internal controls over financial reporting and accounting staff in support of public company reporting requirements, expanding our Sensitive Compartmented Information Facilities and other corporate facilities, and expanding our backlog and bid &amp; proposal pipeline. We will be allocating additional resources in our pursuit of new and larger contract opportunities, leveraging our increased scale and robust past performance qualifications. We believe our management experience and corporate infrastructure are more typical of a company with a much larger revenue base than ours. We therefore anticipate that, to the extent our revenue grows, we will be able to leverage this infrastructure base and increase our operating margins.</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Concentrate on High Value-Added Prime Contracts. </w:t>
      </w:r>
      <w:r>
        <w:rPr>
          <w:rFonts w:ascii="Arial" w:cs="Arial" w:eastAsia="Arial" w:hAnsi="Arial"/>
          <w:sz w:val="16"/>
          <w:szCs w:val="16"/>
          <w:color w:val="auto"/>
        </w:rPr>
        <w:t>We expect to improve our operating margins as we strive to increase the percentage of revenue we</w:t>
      </w:r>
      <w:r>
        <w:rPr>
          <w:rFonts w:ascii="Arial" w:cs="Arial" w:eastAsia="Arial" w:hAnsi="Arial"/>
          <w:sz w:val="16"/>
          <w:szCs w:val="16"/>
          <w:i w:val="1"/>
          <w:iCs w:val="1"/>
          <w:color w:val="auto"/>
        </w:rPr>
        <w:t xml:space="preserve"> </w:t>
      </w:r>
      <w:r>
        <w:rPr>
          <w:rFonts w:ascii="Arial" w:cs="Arial" w:eastAsia="Arial" w:hAnsi="Arial"/>
          <w:sz w:val="16"/>
          <w:szCs w:val="16"/>
          <w:color w:val="auto"/>
        </w:rPr>
        <w:t>derive from our work as a prime contractor and from engagements where contracts are awarded on a best value, rather than on a low cost, basis. The federal government's move toward performance-based contract awards to realize greater return on its investment has resulted in a shift to greater utilization of best value awards. We believe this shift will enable us to expand our operating margins as we are awarded more contracts of this nature.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Pursue Strategic Acquisitions</w:t>
      </w:r>
    </w:p>
    <w:p>
      <w:pPr>
        <w:spacing w:after="0" w:line="225"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intend to supplement our organic growth by identifying, acquiring and integrating businesses that meet our primary objective of providing us with enhanced capabilities to pursue a broader cross section of the DoD, DHS and other government markets, complement and broaden our existing client base and expand our primary service offerings. Our senior management team has significant acquisition experience.</w:t>
      </w:r>
    </w:p>
    <w:p>
      <w:pPr>
        <w:spacing w:after="0" w:line="16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On December 31, 2007, we completed the acquisition of Haverstick Consulting, Inc., an Indianapolis, Indiana based privately-held provider of rocket and missile test and evaluation, weapons systems support, and professional services to the U.S. Army, U.S. Air Force, U.S. Navy, NASA, and other federal, state and local agencies. On June 28, 2008, we acquired San Diego-based C4ISR and net-centric warfare solutions provider SYS in a stock-for-stock transaction. In addition, on December 24, 2008, we acquired Huntsville, Alabama based Digital Fusion, Inc. (DFI) in a stock-for-stock transaction. DFI provides technical engineering services and Unmanned Aerial Vehicle (UAV) products and technology. We continue to evaluate potential acquisition targets. To the extent any future acquisition involves cash consideration, we will need to obtain additional financing through the sale of equity or debt securities to fund any such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 representative list of our customers in our KGS segment during 2009 included the U.S. Air Force, U.S. Army, U.S. Navy, Missile Defense Agency, the Department of Homeland Security, NASA, FMS, the U.S. Southern Command, and US Intel Community. In our PSS segment, our customers in 2009 included British Petroleum, Atlanta's Hartsfield-Jackson Airport, Lockheed Martin, City of Philadelphia, DuPont Fabros Technologies, Anadarko, Houston Community College, Shire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Memorial Hermann Hospital System, KIA Motors, Capital Health, and National Alabama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customers from whom we receive more than 10% of our revenue:</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 of Total</w:t>
            </w: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2"/>
              </w:rPr>
              <w:t>Key Customer</w:t>
            </w:r>
          </w:p>
        </w:tc>
        <w:tc>
          <w:tcPr>
            <w:tcW w:w="4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Revenue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4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3"/>
              </w:rPr>
              <w:t>U.S. Navy</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U.S. Army</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431"/>
        </w:trPr>
        <w:tc>
          <w:tcPr>
            <w:tcW w:w="900" w:type="dxa"/>
            <w:vAlign w:val="bottom"/>
            <w:gridSpan w:val="2"/>
          </w:tcPr>
          <w:p>
            <w:pPr>
              <w:spacing w:after="0"/>
              <w:rPr>
                <w:sz w:val="20"/>
                <w:szCs w:val="20"/>
                <w:color w:val="auto"/>
              </w:rPr>
            </w:pPr>
            <w:r>
              <w:rPr>
                <w:rFonts w:ascii="Arial" w:cs="Arial" w:eastAsia="Arial" w:hAnsi="Arial"/>
                <w:sz w:val="18"/>
                <w:szCs w:val="18"/>
                <w:color w:val="auto"/>
              </w:rPr>
              <w:t>2008</w:t>
            </w: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U.S. Navy</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2"/>
              </w:rPr>
              <w:t>U.S. Army</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432"/>
        </w:trPr>
        <w:tc>
          <w:tcPr>
            <w:tcW w:w="20" w:type="dxa"/>
            <w:vAlign w:val="bottom"/>
          </w:tcPr>
          <w:p>
            <w:pPr>
              <w:spacing w:after="0"/>
              <w:rPr>
                <w:sz w:val="24"/>
                <w:szCs w:val="2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3"/>
              </w:rPr>
              <w:t>U.S. Navy</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U.S. Army</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December 27, 2009, and December 28, 2008, our total backlog was approximately $565 million and $750 million, respectively, of which $124 million was funded as of December 27, 2009 and $160 million was funded as of December 28, 2008.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(GSA) schedules beyond awarded or funded task orders, but our unfunded backlog does include estimates of revenue beyond awarded or funded task orders for other types of indefinite delivery, indefinite quantity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United States government contracts included in backlog, whether or not funded, may be terminated at the convenience of the United States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480" w:firstLine="341"/>
        <w:spacing w:after="0" w:line="306" w:lineRule="auto"/>
        <w:rPr>
          <w:sz w:val="20"/>
          <w:szCs w:val="20"/>
          <w:color w:val="auto"/>
        </w:rPr>
      </w:pPr>
      <w:r>
        <w:rPr>
          <w:rFonts w:ascii="Arial" w:cs="Arial" w:eastAsia="Arial" w:hAnsi="Arial"/>
          <w:sz w:val="16"/>
          <w:szCs w:val="16"/>
          <w:color w:val="auto"/>
        </w:rPr>
        <w:t>As of December 27, 2009, including the employees from the Haverstick Consulting, Inc., SYS Technologies, and Digital Fusion, Inc. acquisitions, we employed approximately 1,800 full-time, part-time and on-call employees. We have one collective bargaining unit of approximately 20 employees which is represented by the International Association of Machinists &amp; Aerospace Workers, AFL-CIO, White Sands Local Lodge 2515, Alamogordo, New Mexico.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00" w:firstLine="351"/>
        <w:spacing w:after="0" w:line="290" w:lineRule="auto"/>
        <w:rPr>
          <w:sz w:val="20"/>
          <w:szCs w:val="20"/>
          <w:color w:val="auto"/>
        </w:rPr>
      </w:pPr>
      <w:r>
        <w:rPr>
          <w:rFonts w:ascii="Arial" w:cs="Arial" w:eastAsia="Arial" w:hAnsi="Arial"/>
          <w:sz w:val="16"/>
          <w:szCs w:val="16"/>
          <w:color w:val="auto"/>
        </w:rPr>
        <w:t>Our market is competitive, and includes the full range of federal and non-federal engineering and IT service providers. Many of the companies that we compete against have significantly greater financial, technical and marketing resources, and generate greater revenues than we do. Competition in the federal business segment includes tier one, large federal government contractors, such as Northrop Grumman, SAIC, ITT Industries, Inc., Computer Sciences Corporation, ARINC, Raytheon Corporation, BAE, and CACI. While we view government contractors as competitors, we often team with these companies in joint proposals or in the delivery of our services for customers. Tier two competitors include smaller and mid-tier government contractors such as NCI, Inc., Stanley, Inc., and Dynamics Research Corp. Competition in the PSS segment includes Siemens Building Technology, Johnson Controls, Ingersoll Rand, Convergent, VSE Corporation and Global Defense Technology &amp; Systems, Inc.</w:t>
      </w:r>
    </w:p>
    <w:p>
      <w:pPr>
        <w:spacing w:after="0" w:line="17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believe that the principal competitive factors in our ability to win new business include past performance qualifications, domain and technology expertise, the ability to replace contract vehicles, the ability to deliver results within budget (time and cost), reputation, accountability, staffing flexibility including the large number of personnel with government security clearances, and project management expertise. We believe our ability to compete also depends on a number of additional factors including the ability of our customers to perform the services themselves, and competitive pricing for similar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 xml:space="preserve">We file reports with the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8"/>
          <w:szCs w:val="18"/>
          <w:i w:val="1"/>
          <w:iCs w:val="1"/>
          <w:color w:val="auto"/>
        </w:rPr>
        <w:t>www.kratosdefense.com</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harmed and the price of our common stock could decline. You should also refer to the other information contained in this report, including our Consolidated Financial Statements and related notes.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federal government initiatives related to in-sourcing;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of our control.</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$10 million in 2010, including approximately $4.5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36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 over the interest rate floor in our credit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 in general;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businesses and the industries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right="200" w:firstLine="348"/>
        <w:spacing w:after="0" w:line="318" w:lineRule="auto"/>
        <w:rPr>
          <w:sz w:val="20"/>
          <w:szCs w:val="20"/>
          <w:color w:val="auto"/>
        </w:rPr>
      </w:pPr>
      <w:r>
        <w:rPr>
          <w:rFonts w:ascii="Arial" w:cs="Arial" w:eastAsia="Arial" w:hAnsi="Arial"/>
          <w:sz w:val="15"/>
          <w:szCs w:val="15"/>
          <w:color w:val="auto"/>
        </w:rPr>
        <w:t>We may not generate sufficient cash flow from operations and future borrowings may not be available in amounts sufficient to enable us to pay our indebtedness or to fund our other liquidity needs. Moreover, we may need to refinance all or a portion of our indebtedness on or before maturity. In such a case, we cannot make assurances that we will be able to refinance any of our indebtedness on commercially reasonable terms or at all. If we are unable to make scheduled debt payments or comply with the other provisions of our debt instruments, our various lenders may be permitted under certain circumstances to accelerate the maturity of the indebtedness owed to them and exercise other remedies provided for in those instruments and under applicable law.</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new credit facility contains restrictive covenants that could limit our ability to operate our business and, if not satisfied, could result in the acceleration of the amounts due under the credit facility.</w:t>
      </w:r>
    </w:p>
    <w:p>
      <w:pPr>
        <w:spacing w:after="0" w:line="186"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The agreements governing our credit facility subject us to various financial and other covenants with which we must comply. These financial covenants include a maximum total leverage ratio, a minimum fixed charge coverage ratio, and a minimum net asset coverage ratio. In addition, this agreement contains covenants that may significantly restrict our future operations. For example, these covenants include restrictions on our ability to:</w:t>
      </w:r>
    </w:p>
    <w:p>
      <w:pPr>
        <w:spacing w:after="0" w:line="17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 capital using our equity.</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Upon the occurrence of any event of default under our credit agreements, our lenders could elect to declare all amounts outstanding on our credit facility, together with accrued interest, to be immediately due and payable. If our lenders were to accelerate payment of these amounts, we may not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have sufficient assets to repay them in full. In addition, if we fail to comply with these financial and other covenants, or are otherwise unable to make scheduled debt payments or comply with the other provisions of our debt instruments, our lenders may be permitted under certain circumstances to deny future access to liquidity, seize control of substantially all of our assets and exercise other remedies provided for in those agreements and under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If we determine that it is necessary to raise additional funds, either through an expansion or refinancing of our credit facility or through public or private debt or equity financings, additional financing may not be available on terms favorable to us, or at all. Disruptions in the capital and credit markets may continue indefinitely or intensify, which could adversely affect our ability to access these markets. We could fall out of compliance with financial and other covenants contained in our credit facility which, if not waived, would restrict our access to capital and could require us to pay down our existing debt under the credit facility. Our lenders may not agree to extend additional or continuing credit under our credit facility or waive restrictions on our access to capital. If we were to conduct a public or private offering of securities, any new offering would be likely to dilute our stockholders' equity ownership.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Federal and state tax laws impose restrictions on the utilization of net operating loss and tax credit carryforwards in the event of an "ownership change" for tax purposes as defined by Section 382 of the Internal Revenue Code. Under Section 382 of the Internal Revenue Code, if a corporation undergoes an "ownership change" (generally defined as greater than 50% change (by value) in its equity ownership over a three year period), the corporation's ability to use its pre-change net operating loss carryforwards and other pre-change tax attributes to offset its post-change income may be limited. At December 27, 2009, we do not believe that any "ownership changes" have occurred which would materially limit the utilization of the loss carryforwards. However, future equity offerings or acquisitions that have equity as a component of the purchase price could result in an "ownership change". If an "ownership change" does occur in the future, utilization of the net operating loss or other tax attributes may be limited.</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5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86" w:lineRule="exact"/>
        <w:rPr>
          <w:sz w:val="20"/>
          <w:szCs w:val="20"/>
          <w:color w:val="auto"/>
        </w:rPr>
      </w:pPr>
    </w:p>
    <w:p>
      <w:pPr>
        <w:ind w:right="100" w:firstLine="341"/>
        <w:spacing w:after="0" w:line="286" w:lineRule="auto"/>
        <w:rPr>
          <w:sz w:val="20"/>
          <w:szCs w:val="20"/>
          <w:color w:val="auto"/>
        </w:rPr>
      </w:pPr>
      <w:r>
        <w:rPr>
          <w:rFonts w:ascii="Arial" w:cs="Arial" w:eastAsia="Arial" w:hAnsi="Arial"/>
          <w:sz w:val="16"/>
          <w:szCs w:val="16"/>
          <w:color w:val="auto"/>
        </w:rPr>
        <w:t>As of December 27, 2009, and December 28, 2008, our total backlog was approximately $565 million and $750 million, respectively of which $124 million was funded as of December 27, 2009 and $160 million was funded as of December 28, 2008.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Unfunded backlog reflects our estimate of future revenue under awarded government contracts and task orders for which either funding has not yet been appropriated or expenditure has not yet been authorized. Unfunded backlog does not include estimates of revenue from GWAC contracts or GSA schedules beyond awarded or funded task orders, but does include estimates of revenue beyond awarded or funded task orders for other types of IDIQ contracts. The amount of unfunded backlog is not exact or guaranteed and is based upon, among other things, management's experience under such contracts and similar contracts, the particular clients, the type of work and budgetary expectations. Our management may not accurately assess these factors or estimate the revenue we will realize from these contracts, and our unfunded and total backlog may not reflect the actual revenue ultimately received from these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United States government contracts included in backlog, whether or not funded, may be terminated at the convenience of the United States government. The failure to realize all amounts in our backlog could adversely affect our revenues and gross margins. As a result, our funded and total backlog as of any particular date may not be an accurate indicator of our future earnings.</w:t>
      </w:r>
    </w:p>
    <w:p>
      <w:pPr>
        <w:spacing w:after="0" w:line="15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acquisitions and potential future acquisitions could prove difficult to integrate, disrupt our business, dilute stockholder value and strain our resources.</w:t>
      </w:r>
    </w:p>
    <w:p>
      <w:pPr>
        <w:spacing w:after="0" w:line="260"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 our stock. Acquisitions and or the related equity financings could also impact our ability to utilize our net operating loss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otherwise to realize any of the anticipated benefits of the acquisition could seriously harm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year ended December 27, 2009, two customers comprised approximately 60% and 52% of our federal business revenues and total revenues, respectively, and our five largest customers accounted for approximately 72% and 62%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36% and 31%, respectively, of our federal business revenues for the year ended December 27, 2009.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20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including liability for the agency's costs of procurement, could damage our reputation and could hurt our ability to compete for future contracts.</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federal government, which could reduce our revenue, disrupt our business or otherwise adversely affect our results of operations.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Federal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its accounting and management of internal control systems, including: control environment and overall accounting system, general information technology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While we have submitted all applicable incurred cost claims, the actual indirect cost audits by the DCAA have not been completed for fiscal 2005 and subsequent fiscal years. Although we have recorded contract revenues subsequent to fiscal 2004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prime contractors, subcontractors and vendors and may impose added costs on us. Our role as a contractor to agencies and departments of the U.S. Government results in our being routinely subject to investigations and reviews relating to compliance with various laws and regulations, including those associated with organizational conflicts of interest.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create, implement and maintain IT solutions that are often critical to our clients' operations. We have experienced, and may in the future experience, some systems and service failures, schedule 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delivery delays and other problems in connection with our work. If we experience these problems, we may:</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ensure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 In addition, alleged or actual employee misconduct could result in investigations or prosecutions of employees engaged in the subject activities, which could result in unanticipated consequences or expenses and management distraction for us regardless of whether we are alleged to have any responsibility.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operating results could be misstated, our reputation may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harmed and the trading price of our stock could be negatively affected. Our management has concluded that there are no material weaknesses in our internal controls over financial reporting as of December 27, 2009.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litigation and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continue to incur goodwill impairment charges in our reporting entities which could harm our profitability.</w:t>
      </w:r>
    </w:p>
    <w:p>
      <w:pPr>
        <w:spacing w:after="0" w:line="225"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 xml:space="preserve">A significant portion of our net assets come from goodwill and other intangible assets. In accordance with </w:t>
      </w:r>
      <w:r>
        <w:rPr>
          <w:rFonts w:ascii="Arial" w:cs="Arial" w:eastAsia="Arial" w:hAnsi="Arial"/>
          <w:sz w:val="18"/>
          <w:szCs w:val="18"/>
          <w:i w:val="1"/>
          <w:iCs w:val="1"/>
          <w:color w:val="auto"/>
        </w:rPr>
        <w:t>FASB ASC Topic 350 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(Topic 350), </w:t>
      </w:r>
      <w:r>
        <w:rPr>
          <w:rFonts w:ascii="Arial" w:cs="Arial" w:eastAsia="Arial" w:hAnsi="Arial"/>
          <w:sz w:val="18"/>
          <w:szCs w:val="18"/>
          <w:color w:val="auto"/>
        </w:rPr>
        <w:t>we periodically review the carrying values of our goodwill to determine whether such carrying values exceed the fair market value.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In 2008, as a result of our annual review, we recorded a goodwill impairment charge of $105.8 million related to our Kratos Government Solutions (KGS) segment, to reflect the declining market and economic conditions through December 28, 2008. In the beginning of 2009, we performed another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February 28, 2009. The test indicated that the book value for the KGS segment exceeded the fair values of the businesses and resulted in our recording a charge totaling $41.3 million in that segment for the impairment of goodwill. The impairment charge was primarily driven by adverse equity market conditions that caused a decrease in current market multiples and our average stock price as of February 28, 2009, compared with the test performed as of December 28, 2008. Future reviews could result in further impairment charges, which could have a significant effect on our financial results.</w:t>
      </w:r>
    </w:p>
    <w:p>
      <w:pPr>
        <w:spacing w:after="0" w:line="20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principal executive offices for all business segments are located in approximately 93,000 square feet of office space in San Diego, California. The lease for such space expires in April 2010.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anticipation of the expiration of this lease, in December 2009, we executed a sublease agreement for approximately 34,000 square feet of office space beginning on May 1, 2010, and expiring on September 30, 2018. Other corporate resource offices are located in the following locations: Washington, D.C.; Marietta, Georgia; Newport, Delaware; Houston, Texas; Dayton, Ohio; Huntsville, Alabama; Alexandria, Virginia; and Indianapolis, Indiana. We also lease office space to provide local support services to our customers in various regions throughout the United States. The leases on these spaces expire at various times through August 2016. We continually evaluate our current and future space capacity in relation to current and projected future staffing levels. We believe that our existing facilities are suitable and adequate to meet our current business requirements.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72"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Plaintiffs filed second consolidated amended complaints in the six focus cases on August 14, 2007, and, on September 27, 2007, again moved for class certification. On November 12, 2007, certain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On January 13, 2009, following a motion by the parties, the Court granted final approval of the settlement of these claims, issued its final judgment on the matter, and entered an order dismissing the case with prejudice.</w:t>
      </w:r>
    </w:p>
    <w:p>
      <w:pPr>
        <w:spacing w:after="0" w:line="172"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proposed settlement of all derivative litigation, discussed below, the court has stayed all other matters except as necessary to document and consummate the proposed settlement, pending final approval of the proposed settlement. Similarly, the appellate court has stayed all matters related to plaintiffs' notice of appeal of the personal jurisdictional order pending district court approval of the proposed settlement.</w:t>
      </w:r>
    </w:p>
    <w:p>
      <w:pPr>
        <w:spacing w:after="0" w:line="15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district court granted the parties' joint motion for preliminary approval of their proposed settlement in January 2010 and will hold a hearing on March 29, 2010 to determine whether the proposed settlement should be approved as final and whether the court should enter a final judgment order dismissing the matter with prejudice. The details of the settlement are set forth in the settlement papers filed with the court. There is no guarantee, however, that the settlement ultimately will be approved by the court. In addition, defendants continue to believe that plaintiffs' allegations lack merit and intend to vigorously defend all claims asserted if the settlement is not approved as final and the case dismissed. It is impossible at this time to assess whether or not the outcome of these proceedings will have a material adverse effect on the Company.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recorded an accrual for a contingent liability associated with the legal proceedings related to the derivative actions of $0.1 million based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the Company's estimate of the potential amount it would have to pay in relation to the settlement of these derivative lawsuits. The Company deposited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into escrow with the court in January 2010. The Company expects the majority of any additional costs incurred in connection with the settlement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lawsuits to be paid by its Directors' and Officers' liability insurer(s).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and has traded under the symbol "KTOS" since September 17, 2007. Our common stock traded under the symbol "WFII" from November 5, 1999 through September 14, 2007.</w:t>
      </w:r>
    </w:p>
    <w:p>
      <w:pPr>
        <w:spacing w:after="0" w:line="186"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following table sets forth the high and low sales prices for our Common Stock for the periods indicated, as reported by NASDAQ. Such quotation represents inter-dealer prices without retail markup, markdown or commission and may not necessarily represent actual transactions.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2009:</w:t>
            </w:r>
          </w:p>
        </w:tc>
        <w:tc>
          <w:tcPr>
            <w:tcW w:w="2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2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2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Year Ended December 28, 2008:</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2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13.30</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2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80" w:type="dxa"/>
            <w:vAlign w:val="bottom"/>
          </w:tcPr>
          <w:p>
            <w:pPr>
              <w:jc w:val="right"/>
              <w:ind w:right="169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March 5, 2010 the last sale price of our Common Stock as reported by NASDAQ was $14.00 per share. On March 5, 2010, there were 372 shareholders of record of our Common Stock.</w:t>
      </w:r>
    </w:p>
    <w:p>
      <w:pPr>
        <w:spacing w:after="0" w:line="186"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credit facility restricts our ability to pay dividends. Any future determination to pay cash dividends will be at the discretion of our Board and will be dependent upon the future financial condition, results of operations, capital requirements, general business conditions and other relevant factors as determined by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performance graph is a comparison of the five year cumulative stockholder return on our common stock against the cumulative total return of the NASDAQ Composite Index, and a peer group composed of the Russell 2000 Stock Index and ATS Corporation, Dynamic Research Corporation, Stanley, Inc., VSE Corporation, and WPCS International, Inc. for the period commencing December 31, 2004 and ending December 27, 2009. The performance graph assumes an initial investment of $100 in our common stock and in each of the indices and peer group. The comparison also assumes that all dividends are reinvested and all returns are market-cap weighted. The historical information set forth below is not necessarily indicative of future performance.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Among Kratos Defense &amp; Security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5797550" cy="2855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75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 invested on 12/31/04 in stock or index, including reinvestment of dividends. Fiscal year ending December 31.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chart reflects the 1-for-10 reverse stock split of Kratos common stock on September 10, 2009.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Copyright© 2009 S&amp;P, a division of The McGraw-Hill Companies Inc. All rights reserved.</w:t>
      </w:r>
    </w:p>
    <w:p>
      <w:pPr>
        <w:spacing w:after="0" w:line="225" w:lineRule="exact"/>
        <w:rPr>
          <w:sz w:val="20"/>
          <w:szCs w:val="20"/>
          <w:color w:val="auto"/>
        </w:rPr>
      </w:pPr>
    </w:p>
    <w:p>
      <w:pPr>
        <w:jc w:val="both"/>
        <w:ind w:right="620" w:firstLine="348"/>
        <w:spacing w:after="0" w:line="335" w:lineRule="auto"/>
        <w:rPr>
          <w:sz w:val="20"/>
          <w:szCs w:val="20"/>
          <w:color w:val="auto"/>
        </w:rPr>
      </w:pPr>
      <w:r>
        <w:rPr>
          <w:rFonts w:ascii="Arial" w:cs="Arial" w:eastAsia="Arial" w:hAnsi="Arial"/>
          <w:sz w:val="15"/>
          <w:szCs w:val="15"/>
          <w:color w:val="auto"/>
        </w:rPr>
        <w:t>The performance graph above and related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following selected consolidated financial data should be read in conjunction with our Consolidated Financial Statements and related notes thereto and with "Management's Discussion and Analysis of Financial Condition and Results of Operations" which are incorporated in Item 7 or included elsewhere in this Report on Form 10-K. Our historical results are not necessarily indicative of operating results to be expected in the future.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0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28,</w:t>
            </w: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December 27,</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(All amounts</w:t>
            </w:r>
          </w:p>
        </w:tc>
        <w:tc>
          <w:tcPr>
            <w:tcW w:w="2420" w:type="dxa"/>
            <w:vAlign w:val="bottom"/>
            <w:gridSpan w:val="8"/>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except per share data in millions)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8"/>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Data: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180.7</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286.2</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Income (loss) from discontinued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continuing operations per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06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4"/>
              </w:rPr>
              <w:t>Income (loss) from discontinued operations per</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778"/>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08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28,</w:t>
            </w:r>
          </w:p>
        </w:tc>
        <w:tc>
          <w:tcPr>
            <w:tcW w:w="21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December 27,</w:t>
            </w: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7"/>
          </w:tcPr>
          <w:p>
            <w:pPr>
              <w:jc w:val="center"/>
              <w:ind w:left="475"/>
              <w:spacing w:after="0" w:line="142" w:lineRule="exact"/>
              <w:rPr>
                <w:sz w:val="20"/>
                <w:szCs w:val="20"/>
                <w:color w:val="auto"/>
              </w:rPr>
            </w:pPr>
            <w:r>
              <w:rPr>
                <w:rFonts w:ascii="Arial" w:cs="Arial" w:eastAsia="Arial" w:hAnsi="Arial"/>
                <w:sz w:val="14"/>
                <w:szCs w:val="14"/>
                <w:b w:val="1"/>
                <w:bCs w:val="1"/>
                <w:color w:val="auto"/>
                <w:w w:val="88"/>
              </w:rPr>
              <w:t>(All amounts in millions)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the timing, rescheduling or cancellation of significant customer contracts and agreements, or consolidation by or the loss of key customers; failure to successfully consummate acquisitions or integrate acquired operations; failure to establish and maintain important relationships with government entities and agencies and other government contractors could limit our ability to bid successfully for new business; and competition in the marketplace which could reduce revenues and profit margins.</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 looking statements are reasonable, we cannot guarantee future results, levels of activity, performance or achievements. Moreover, neither we, nor any other person, assume responsibility for the accuracy and completeness of the forward- looking statements. We are under no obligation to update any of the forward- looking statements after the filing of our Annual Report on Form 10-K to conform such statements to actual results or to changes in our expectations.</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stock-based compensation expense, amortization expense of purchased intangibles for 2007, 2008 and 2009, and the stock option investigation and related costs in 2007 and recovery of a portion of these costs in 2008, may be considered non-GAAP financial measures. We believe this information is useful to investors because it provides a basis for measuring the operating performance of our business and our cash flow, excluding the effect of stock-based compensation expense that would normally be included in the most directly comparable measures calculated and presented in accordance with Generally Accepted Accounting Principles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we report may not be comparable to similarly titled amounts reported by other companies.</w:t>
      </w:r>
    </w:p>
    <w:p>
      <w:pPr>
        <w:spacing w:after="0" w:line="172"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Report and other reports and filings made with the Securities and Exchange Commission.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and Item 1A—Risk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Combat Systems, Intelligence, Surveillance and Reconnaissance (C5ISR);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products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technology; and advanced network engineering and information technology services. We offer our customers solutions and expertise to support their mission-critical needs by leveraging our skills across our core service areas.</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to Kratos Defense &amp; Security Solutions, Inc. Our new name reflects our revised focus as a defense contractor and security systems integrator for the federal government and for state and local agencies. In connection with our name change, we changed our NASDAQ Global Market trading symbol to "KTOS".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Consolidated Financial Statements in this Annual Report are presented in a manner consistent with our operating structure. For additional information regarding our operating segments, see Note 13 of Notes to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Segment (KGS)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Kratos Government Solutions segment provides engineering, information technology and technical services to federal, state, and local government agencies, but primarily the DoD. Our work includes weapon systems lifecycle support and extension; C5ISR; military range operations and technical services; missile, rocket, and weapon systems test and evaluation; mission launch services; public safety and security services; advanced network engineering and information technology services; and public safety, security and surveillance systems integration. Our KGS segment also focuses on the homeland security market with products and services aimed at supporting first responders.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&amp; Security Segment (PSS)</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Our Public Safety &amp;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and temperature control and fire and life safety. We provide services that combine such systems and offer integrated solutions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on both Ethernet and IP based platforms. We also offer solutions that combine voice, data, electronic security and building automation systems with fixed or wireless connectivity solutions. Our target markets are healthcare, government, data centers, large scale industrial and manufacturing, correctional facilities, education and sports and entertainment. Our commitments to these markets and our ability to provide feature-rich, cost-effective solutions have allowed us to become one of the larger independent integrators for these types of systems. We maintain regional office locations, comprised of Kratos Mid-Atlantic, Kratos Southeast, and Kratos Southwest.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On June 24, 2009, as a result of the continued operating losses in the Southeast division of our Public Safety &amp; Security segment, our Board of Directors approved a plan to sell and dispose of the Southeast division. In accordance with </w:t>
      </w:r>
      <w:r>
        <w:rPr>
          <w:rFonts w:ascii="Arial" w:cs="Arial" w:eastAsia="Arial" w:hAnsi="Arial"/>
          <w:sz w:val="18"/>
          <w:szCs w:val="18"/>
          <w:i w:val="1"/>
          <w:iCs w:val="1"/>
          <w:color w:val="auto"/>
        </w:rPr>
        <w:t>FASB ASC Topic 205 Presentation of Financial Statements,</w:t>
      </w:r>
      <w:r>
        <w:rPr>
          <w:rFonts w:ascii="Arial" w:cs="Arial" w:eastAsia="Arial" w:hAnsi="Arial"/>
          <w:sz w:val="18"/>
          <w:szCs w:val="18"/>
          <w:color w:val="auto"/>
        </w:rPr>
        <w:t xml:space="preserve"> this business unit has been classified as held for sale and reported in discontinued operations. We recorded a $2.0 million impairment charge in the second quarter of 2009 related to management's estimate of the fair value of the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December 31, 2007, we completed our acquisition of Indianapolis, Indiana headquartered Haverstick Consulting, Inc. (Haverstick) as part of our KGS segment. Haverstick provides rocket and missile test and evaluation, weapons systems support, and professional services to the U.S. Army, U.S. Air Force, U.S. Navy, NASA, and other federal, state and local agencies. Through the Haverstick acquisition, we expanded our customer relationship within the DoD and enhanced our presence with the U.S. Air Force, a key growth area for Haverstick.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purchase price for the Haverstick acquisition was $92.0 million, including transaction costs incurred by us of $0.8 million. The purchase price paid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Haverstick of $91.2 million was paid in a combination of $70.3 million of cash and common stock valued at $19.4 million based on 748,000 shares at a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$26.00 per share, the average closing price of Kratos shares of common stock for the two days prior to, including, and the two days subsequent to the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announcement of the acquisition on November 5, 2007, and a working capital adjustment of $1.5 million. We held back $8.6 million, $1.2 million in cash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 million in stock, to secure any negative working capital adjustments required by the merger agreement and our indemnity rights. The holdback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which accrued interest in accordance with the terms of the agreement until paid, was to be initially released on the 12th month and 21st month after the date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acquisition. As a result of a claims notice we filed in relation to an indemnity claim which could have exceeded the amount of the holdback consideration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Haverstick, we did not make the December 2008 holdback payment. In March 2009, our indemnity claim against Haverstick was resolved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holdback payment of $4.3 million was paid. The final holdback payment of $4.3 million was made in October 2009.</w:t>
      </w:r>
    </w:p>
    <w:p>
      <w:pPr>
        <w:spacing w:after="0" w:line="219"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addition to the indemnity holdback, the agreement also called for a post closing working capital adjustment. In February 2008, we and Haverstick agreed on the working capital calculation called for in the agreement. The calculation resulted in a working capital adjustment due to Haverstick in an amount of</w:t>
      </w:r>
    </w:p>
    <w:p>
      <w:pPr>
        <w:ind w:right="120"/>
        <w:spacing w:after="0" w:line="252" w:lineRule="auto"/>
        <w:rPr>
          <w:sz w:val="20"/>
          <w:szCs w:val="20"/>
          <w:color w:val="auto"/>
        </w:rPr>
      </w:pPr>
      <w:r>
        <w:rPr>
          <w:rFonts w:ascii="Arial" w:cs="Arial" w:eastAsia="Arial" w:hAnsi="Arial"/>
          <w:sz w:val="18"/>
          <w:szCs w:val="18"/>
          <w:color w:val="auto"/>
        </w:rPr>
        <w:t>$1.5 million. The working capital adjustment was paid in April 2008 with 69,731 shares of common stock valued at $1.3 million and cash of $0.2 million. To fund the acquisition, we secured a new credit facility of $85.0 million arranged by KeyBanc Capital Markets. The credit facility, which included a $25.0 million line of credit and $60.0 million in term notes, replaced a previous credit facility, which had an outstanding principal balance of $6.0 million on December 31, 2007. Until the date on which the shares of stock issued to Haverstick became saleable interest accrued on the value of the closing stock at a floating rate of one-month LIBOR plus four percent (4%) per annum. The shares became saleable on June 30, 2008 and 16,769 additional shares were issued in satisfaction of the accrued interest.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On June 28, 2008, we completed our merger with SYS, a San Diego-based company. The merger enhanced our position as a premier mid-tier federal, state and local government contractor in the United States in the areas of C4ISR, IT services and public safety and homeland security solutions. The merger created a broad, complementary set of business offerings, and positions us to deliver capabilities to a wider spectrum of customers.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issued 2.5 million shares to SYS shareholders in the acquisition, for a total purchase price of $55.9 million including direct transaction costs of</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$2.4 million. Each share of SYS common stock was converted into the right to receive 0.12582 shares of Kratos common stock. The value of the Kratos common stock issued in the acquisition was derived from the number of shares of Kratos common stock issued, or 2.5 million, at a price of $20.22 per share, the average closing price of Kratos shares of common stock for the two days prior to, including, and the two days subsequent to the public announcement of the acquisition on February 21, 2008. Following the closing of the acquisition, we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were primarily associated with businesses subsequently sold and are accounted for in discontinued operations in the accompanying Consolidated Financial Statements. As of December 27, 2009, approximately $1.6 million of the restructuring and facilities consolidation costs have been paid.</w:t>
      </w:r>
    </w:p>
    <w:p>
      <w:pPr>
        <w:spacing w:after="0" w:line="17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we identified three business units of SYS that were not core to our business strategy and/or were dilutive to profitability. We completed the sale of these businesses in the first quarter of 2009 for an aggregate cash consideration of approximately $0.4 million. We expect the divestiture of these businesses to slightly reduce revenues going forward, and increase profitability and cash flow. These businesses have been classified as discontinued operations in our Consolidated Financial Statements for each of the years in the three year period ended December 27, 2009.</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24, 2008 we acquired Huntsville, Alabama based Digital Fusion, Inc. (DFI). DFI provides C4ISR and technical engineering services, Unmanned Aerial Vehicle (UAV) products and technology and has significant engineering, modeling and simulation capabilities. The acquisition of DFI provides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total stock for stock transaction was valued at approximately $37.0 million, including transaction costs of $0.9 million. We issued 2.3 million shares to DFI shareholders and assumed outstanding DFI options, which resulted in the assumption of options to acquire approximately 1.0 million Kratos shares. The value of the purchase price related to the common stock issued was derived from the number of shares of Kratos common stock issued of 2.3 million, based on 12.8 million shares of DFI common stock outstanding and the exchange ratio of 0.17933 for each DFI share, at a price of $12.70 per share, the average closing price of Kratos shares of common stock for the two days prior to, including, and the two days subsequent to the public announcement of the merger on November 24, 2008. The fair value of the options assumed that were allocated to goodwill based upon the Black-Scholes pricing model was $7.0 million. The fair value of unvested options which are related to future service will be expensed as the service is performed.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Divestiture of Wireless Network Business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On December 28, 2006, our Board approved a plan to divest portions of our business where critical mass had not been achieved. This plan involved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divestiture of our European, Middle Eastern, and African (EMEA) operations and our remaining South American operations. The EMEA operations were sold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LCC International, Inc. (LCC) on March 9, 2007 for $4.0 million in cash, $3.3 million of which was received on that date. We also received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from our EMEA operations prior and subsequent to the closing date as payment on outstanding intercompany debt. The balance of the $0.7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price was withheld as security for the satisfaction of certain indemnification obligations and was payable on March 31, 2008. Based upon our review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financial statements of the buyer, as of December 31, 2007, we had concern about their ability to pay this holdback, due to their available liquidity. We recorded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reserve of $0.7 million for this receivable. In May 2008, we reached an agreement with LCC for the payment of the $0.7 million holdback amount, under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LCC agreed to pay the outstanding balance in $0.1 million increments each month commencing June 30, 2008. We have not yet received any payments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according to the agreement. While we intend to vigorously pursue collection of the amounts, there is a substantial likelihood that we will not receive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 due, in light of LCC's apparent available liquidity.</w:t>
      </w:r>
    </w:p>
    <w:p>
      <w:pPr>
        <w:spacing w:after="0" w:line="219"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On April 20, 2007, we entered into an Equity Purchase Agreement to sell our wholly-owned subsidiary WFI de Brazil Techlogia en Telecommunications LTDA to Strategic Project Services, LLC (SPS). The consideration included the assumption of substantially all outstanding liabilities of WFI Brazil, nominal cash consideration, and additional earn-out consideration based on 25% of net receivables collected subsequent to the closing date. With respect to the additional earn-out consideration, we have not received and do not anticipate receiving any payments.</w:t>
      </w:r>
    </w:p>
    <w:p>
      <w:pPr>
        <w:spacing w:after="0" w:line="167"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On May 29, 2007, we entered into an Asset Purchase Agreement with LCC International, Inc. for the sale of all of the assets used in the conduct of the operation of our engineering services business of our Wireless Network Services segment that provided engineering services to the non-government wireless communications industry in the United States, for aggregate consideration of $46.0 million. LCC delivered a subordinated promissory note for the principal amount of $21.6 million (the Subordinated Promissory Note), paid $17.0 million at closing and paid final working capital adjustments of $2.4 million through an amendment to the Subordinated Promissory Note. We retained an estimated $5.0 million in net working capital. The transaction was completed on June 4, 2007. On July 5, 2007, we sold the $21.6 million Subordinated Promissory Note to Silver Point Capital, L.P. (Silver Point) in a transaction arranged by KeyBanc Capital Markets ("KeyBanc"). We received approximately $19.6 million in net cash proceeds, reflecting a discount from par value of less than five percent and aggregate transaction fees of approximately $1.0 million, which includes a $0.8 million fee to KeyBanc, an affiliate of our lender. On January 30, 2008, we received net proceeds of approximately $2.3 million on the working capital adjustment from Silver Point, net of a $0.1 million discount from par value. We did not provide any guaranty for LCC's payment obligations under the note.</w:t>
      </w:r>
    </w:p>
    <w:p>
      <w:pPr>
        <w:spacing w:after="0" w:line="17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On July 7, 2007, we entered into a definitive agreement with an affiliate of Platinum Equity to sell our deployment services business of our Wireless Network Services segment for total consideration payable of $24.0 million, including $18.0 million in cash at closing (subject to typical post closing working capital adjustments) and an aggregate $6.0 million in a three-year earn-out arrangement. The transaction closed on July 24, 2007. As a result of these engineering and deployment services divestitures in 2007, the Wireless Network Services segment has been classified as a discontinued operation in this Annual Report for all prior years presented in accordance with </w:t>
      </w:r>
      <w:r>
        <w:rPr>
          <w:rFonts w:ascii="Arial" w:cs="Arial" w:eastAsia="Arial" w:hAnsi="Arial"/>
          <w:sz w:val="16"/>
          <w:szCs w:val="16"/>
          <w:i w:val="1"/>
          <w:iCs w:val="1"/>
          <w:color w:val="auto"/>
        </w:rPr>
        <w:t>FASB ASC Topic 205 Presentation of Financial Statements.</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On July 16, 2008, we came to an agreement with Platinum Equity on a working capital adjustment of $5.0 million. In connection with that agreement, the earn-out arrangement was terminated. The adjustment was to be paid in installments, with the final installment paid on August 4, 2009.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Statement Concepts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27, 2009, we consider the following factors to be important in understanding our financial statements.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w:t>
      </w:r>
      <w:r>
        <w:rPr>
          <w:rFonts w:ascii="Arial" w:cs="Arial" w:eastAsia="Arial" w:hAnsi="Arial"/>
          <w:sz w:val="16"/>
          <w:szCs w:val="16"/>
          <w:i w:val="1"/>
          <w:iCs w:val="1"/>
          <w:color w:val="auto"/>
        </w:rPr>
        <w:t>FASB ASC Topic 605 Revenue Recognition</w:t>
      </w:r>
      <w:r>
        <w:rPr>
          <w:rFonts w:ascii="Arial" w:cs="Arial" w:eastAsia="Arial" w:hAnsi="Arial"/>
          <w:sz w:val="16"/>
          <w:szCs w:val="16"/>
          <w:color w:val="auto"/>
        </w:rPr>
        <w:t>. For contracts offered on a time and material basis, we recognize revenues as services are performed.</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72" w:lineRule="exact"/>
        <w:rPr>
          <w:sz w:val="20"/>
          <w:szCs w:val="20"/>
          <w:color w:val="auto"/>
        </w:rPr>
      </w:pPr>
    </w:p>
    <w:p>
      <w:pPr>
        <w:ind w:right="280" w:firstLine="348"/>
        <w:spacing w:after="0" w:line="254" w:lineRule="auto"/>
        <w:rPr>
          <w:sz w:val="20"/>
          <w:szCs w:val="20"/>
          <w:color w:val="auto"/>
        </w:rPr>
      </w:pPr>
      <w:r>
        <w:rPr>
          <w:rFonts w:ascii="Arial" w:cs="Arial" w:eastAsia="Arial" w:hAnsi="Arial"/>
          <w:sz w:val="18"/>
          <w:szCs w:val="18"/>
          <w:color w:val="auto"/>
        </w:rPr>
        <w:t>We believe that our Kratos Government Solutions segment will build and expand our customer relationships within the DoD,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acquisitions of Haverstick on December 31, 2007, SYS on June 28, 2008, and DFI on December 24, 2008 resulted in the addition of over 1,000 highly skilled technical professionals and engineers with expertise in the areas of military weapons and target range support as well as targets and missile operations and maintenance.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28, 2008 to the Year ended December 27, 2009</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28, 2008 and December 27, 2009 are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 Segment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w:t>
            </w: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Public Safety &amp; Security Segment</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Revenues increased $48.3 million from $286.2 million in 2008 to $334.5 million in 2009. The increase of $57.6 million in our Kratos Government Solutions segment was partially due to the acquisitions of DFI on December 24, 2008 and SYS on June 28, 2008 which resulted in an increase in revenue of $88.6 million. This increase in revenue was partially offset by reductions due to the substantial completion of two weapons systems contracts, the planned reductions of acquired small business set aside contract work, pass through work and other contract work in the Kratos Government Solutions segment. The Public Safety &amp; Security segment was negatively impacted by the current adverse economic environment as a result of delays in capital improvement projects and the construction of new buildings.</w:t>
      </w:r>
    </w:p>
    <w:p>
      <w:pPr>
        <w:spacing w:after="0" w:line="198"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Notes to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left="360"/>
        <w:spacing w:after="0"/>
        <w:tabs>
          <w:tab w:leader="none" w:pos="1720" w:val="left"/>
        </w:tabs>
        <w:rPr>
          <w:sz w:val="20"/>
          <w:szCs w:val="20"/>
          <w:color w:val="auto"/>
        </w:rPr>
      </w:pPr>
      <w:r>
        <w:rPr>
          <w:rFonts w:ascii="Arial" w:cs="Arial" w:eastAsia="Arial" w:hAnsi="Arial"/>
          <w:sz w:val="18"/>
          <w:szCs w:val="18"/>
          <w:i w:val="1"/>
          <w:iCs w:val="1"/>
          <w:color w:val="auto"/>
        </w:rPr>
        <w:t>Cost of revenues.</w:t>
      </w:r>
      <w:r>
        <w:rPr>
          <w:sz w:val="20"/>
          <w:szCs w:val="20"/>
          <w:color w:val="auto"/>
        </w:rPr>
        <w:tab/>
      </w:r>
      <w:r>
        <w:rPr>
          <w:rFonts w:ascii="Arial" w:cs="Arial" w:eastAsia="Arial" w:hAnsi="Arial"/>
          <w:sz w:val="16"/>
          <w:szCs w:val="16"/>
          <w:color w:val="auto"/>
        </w:rPr>
        <w:t>Cost of revenues increased $37.2 million or 16.3% from $228.0 million for the year ended December 28, 2008 to $265.2 million for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27, 2009 primarily due to the increase in total revenues. The increase was primarily attributable to cost of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$74.5 million related to the DFI and SYS acquisitions, partially offset by reduced costs related to the reductions in revenues described above. Gross margin during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27, 2009 of 20.7% increased slightly from a 2008 gross margin of 20.3%.</w:t>
      </w:r>
    </w:p>
    <w:p>
      <w:pPr>
        <w:spacing w:after="0" w:line="21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8.0% from $48.9 million to $52.8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years ended December 28, 2008 and December 27, 2009, respectively. The increase of $3.9 million was partially due to an increase in costs of $7.9 million from the acquisitions of DFI and SYS, offset by a decrease in corporate and other expenses in our commercial divisions due to the implementation of cost reduction initiatives. Included in the selling, general and administrative expenses for 2008 and 2009 are amortization of purchased intangibles of $4.9 million and $5.7 million, respectively. The increase in amortization year over year was primarily a result of the DFI and SYS acquisitions. As a percentage of revenues, selling, general and administrative expenses decreased from 17.1% in 2008 to 15.8% in 2009. Excluding the impact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amortization of purchased intangibles, SG&amp;A expenses decreased from 15.4% to 14.1% of revenues for 2008 and 2009, respectively, reflecting the leverage on increased revenues and the implementation of cost reduction initiatives.</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(R&amp;D) expenses increased from $0.9 million for the year ended December 28, 2008 to</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for the year ended December 27, 2009 as a result of R&amp;D expenses incurred by DFI and SYS which were acquired on December 24, 2008 and June 28, 2008, respectively.</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Recovery of unauthorized issuance of stock options, stock option investigation and related fees and litigation settlement. </w:t>
      </w:r>
      <w:r>
        <w:rPr>
          <w:rFonts w:ascii="Arial" w:cs="Arial" w:eastAsia="Arial" w:hAnsi="Arial"/>
          <w:sz w:val="18"/>
          <w:szCs w:val="18"/>
          <w:color w:val="auto"/>
        </w:rPr>
        <w:t>In 2008, we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$4.5 million, through insurance reimbursements, of costs and losses related to the stock option investigation in 2007. In September 2009, we reached an agreement with the plaintiffs to settle the outstanding 2004 and 2007 derivative lawsuits. The benefit in 2009 of $0.2 million is a result of the reduction in our estimated accrual related to this litigation, offset by expenses related to government inquiries by the Department of Justice, which was completed in 2009, related to our historical stock option granting practices.</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In December 2008, we concluded that the decision to exit three businesses obtained with the SYS acquisition and included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KGS reporting segment met the criteria to be classified as held for sale and was a triggering event under </w:t>
      </w:r>
      <w:r>
        <w:rPr>
          <w:rFonts w:ascii="Arial" w:cs="Arial" w:eastAsia="Arial" w:hAnsi="Arial"/>
          <w:sz w:val="16"/>
          <w:szCs w:val="16"/>
          <w:i w:val="1"/>
          <w:iCs w:val="1"/>
          <w:color w:val="auto"/>
        </w:rPr>
        <w:t>FASB ASC Topic 350 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w:t>
      </w:r>
      <w:r>
        <w:rPr>
          <w:rFonts w:ascii="Arial" w:cs="Arial" w:eastAsia="Arial" w:hAnsi="Arial"/>
          <w:sz w:val="16"/>
          <w:szCs w:val="16"/>
          <w:color w:val="auto"/>
        </w:rPr>
        <w:t>that required a review of goodwill and intangibles assets with indefinite lives. Because the three business units were never integrated into the KGS</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and the benefits of the acquired goodwill were never realized by the rest of the reporting unit, the goodwill of the disposed businesses was not adjusted based upon the relative fair values of the businesses disposed and businesses retained.</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our required annual impairment test of goodwill. The annual impairment test for goodwill was performed using a discounted cash flow analysis supported by comparative market multiples to determine the fair values of our segments versus their book values. The test as of December 28, 2008, indicated that the book values for the KGS segment, excluding DFI (which was purchased on December 24, 2008), exceeded the fair values of these businesses and resulted in our recording a non-cash charge totaling $105.8 million in our KGS segment for the impairment of goodwill.</w:t>
      </w:r>
    </w:p>
    <w:p>
      <w:pPr>
        <w:spacing w:after="0" w:line="170"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impairment charge is primarily driven by adverse equity market conditions that caused a decrease in market multiples and our average stock price as of December 28, 2008, compared with the impairment test performed as of December 31, 2007. In our analysis, we use the income approach and validate its reasonableness by considering our market capitalization based upon an average of our stock price for a period prior to and subsequent to the date we perform our analysis. The average market price of our stock as of December 28, 2008 was $12.90 which equates to a 45% drop in our average stock price and corresponding market capitalization from December 31, 2007 which had an average stock price of $23.50.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(WACC) increased 250 basis points from 11.5% in our year end impairment test in 2007 compared to 14% in our year end impairment test in 2008. This change was the key factor contributing to the $105.8 million impairment charge that we recorded in the fourth quarter of 2008.</w:t>
      </w:r>
    </w:p>
    <w:p>
      <w:pPr>
        <w:spacing w:after="0" w:line="17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 xml:space="preserve">During the first quarter of 2009, we determined that a triggering event had occurred in accordance with </w:t>
      </w:r>
      <w:r>
        <w:rPr>
          <w:rFonts w:ascii="Arial" w:cs="Arial" w:eastAsia="Arial" w:hAnsi="Arial"/>
          <w:sz w:val="16"/>
          <w:szCs w:val="16"/>
          <w:i w:val="1"/>
          <w:iCs w:val="1"/>
          <w:color w:val="auto"/>
        </w:rPr>
        <w:t>FASB ASC Topic 350 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w:t>
      </w:r>
      <w:r>
        <w:rPr>
          <w:rFonts w:ascii="Arial" w:cs="Arial" w:eastAsia="Arial" w:hAnsi="Arial"/>
          <w:sz w:val="16"/>
          <w:szCs w:val="16"/>
          <w:color w:val="auto"/>
        </w:rPr>
        <w:t>. This resulted in an impairment charge of $41.3 million during the first quarter of 2009. The impairment charge was primarily driven by adverse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equity market conditions that caused a decrease in market multiples and our average stock price as of February 28, 2009, compared with the impairment test performed as of December 28, 2008. In our analysis, we use the income approach and validate its reasonableness by considering our market capitalization based upon an average of our stock price for a period prior to and subsequent to the date we performed our analysis. The average market price of our stock as of February 28, 2009 was $7.80 which equates to a 39% drop in our average stock price and corresponding market capitalization from December 28, 2008 which had an average stock price of $12.90. We reconcile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(WACC)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historical growth rates and operating results are not indicative of our future growth rates and operating results as a consequence of our transformation from a commercial wireless service provider to a U.S. government defense contractor. The decline in revenues on a pro forma basis after considering recent acquisitions, which we expected,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these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contracts are long-term in nature and are supported by significant backlog. Because our contracts are of a long-term nature, a majority of our receivables are with agencies within the U. S. government or we are a subcontractor to a customer whose receivables are with the agencies within the U.S. government, we are not subject to significant short-term changes in operating cash flow. Moreover, because of the nature of our current business, we do not have significant capital expenditure requirements. In addition, we did not assume a recovery of the global or national economy in our cash flow projections in our analysis as of December 28, 2008 or in our analysis as of February 28, 2009. The charge does not impact our normal business operations.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Impairment and adjustments to the liability for unused office space. </w:t>
      </w:r>
      <w:r>
        <w:rPr>
          <w:rFonts w:ascii="Arial" w:cs="Arial" w:eastAsia="Arial" w:hAnsi="Arial"/>
          <w:sz w:val="16"/>
          <w:szCs w:val="16"/>
          <w:color w:val="auto"/>
        </w:rPr>
        <w:t>The expense of $0.3 million for the year ended December 28, 2008 was a result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estimate of our excess facility accrual for obligations under facility leases and a write-off of fees related to the withdrawal of our previously filed S-3 and S-4 registration statements, which were no longer useable as a result of a change in regulations. The expense of $0.6 million for the year ended December 27, 2009, was a result of a change in our excess facility accrual due to the consolidation of space at our corporate headquarters following the sale of the SYS commercial businesses and a cancellation of a sublease of one of our tenants due to financial difficulties.</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year ended December 28, 2008, net other expense was $11.5 million compared to net other expense of $10.3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27, 2009. The decrease in expense of $1.2 million for the year ended December 27, 2009 as compared to the year ended December 28, 2008 was primarily driven by a decrease in other expense of $1.6 million as a result of the non-cash charge to mark the derivative related to our credit facility to market. This decrease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expense was partially offset by an increase in interest expense of $0.7 million related to the acceleration of the amortization of deferred financing costs due to a $17.5 million early extinguishment of the first lien term loan in October 2009. For additional information regarding this extinguishment of debt, see Note 5 of Notes to Consolidated Financial Statements.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year ended December 27, 2009 represented a negative 3% income tax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positive 1% income tax benefit for the year ended December 28, 2008. The tax provision for the year ended December 27, 2009 was primarily related to current state income taxes of $1.0 million. The tax benefit of $0.7 million for the year ended December 28, 2008 was comprised of current state income taxes of $1.3 million offset by a benefit of $2.0 million related to a reduction in deferred tax liabilities as a result of the goodwill impairment charge.</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Loss from discontinued operations decreased from a loss of $7.1 million for the year ended December 28, 2008 to a</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$3.2 million for the year ended December 27, 2009.</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December 2008, we made the decision to exit three of our acquired SYS businesses that were not core to our stated strategy and that have been dilutive to our profitability. The businesses divested or exited provided interactive video surveillance and information analysis products, digital broadcasting products and incident response management systems. These actions were taken as part of our ongoing integration efforts of recently acquired companies and cost reduction initiatives. In 2008, $4.5 million of the loss is related to asset impairments including goodwill. In 2009, $2.0 million of the loss was related to the impairment of assets of the Southeast division of PSS which reflects management's estimate of the fair value of the business.</w:t>
      </w:r>
    </w:p>
    <w:p>
      <w:pPr>
        <w:spacing w:after="0" w:line="170"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 xml:space="preserve">On June 24, 2009, as a result of the continued operating losses in the Southeast division of the Company's Public Safety &amp; Security segment, the Company's Board of Directors approved a plan to sell and dispose of the Southeast division. In accordance with </w:t>
      </w:r>
      <w:r>
        <w:rPr>
          <w:rFonts w:ascii="Arial" w:cs="Arial" w:eastAsia="Arial" w:hAnsi="Arial"/>
          <w:sz w:val="15"/>
          <w:szCs w:val="15"/>
          <w:i w:val="1"/>
          <w:iCs w:val="1"/>
          <w:color w:val="auto"/>
        </w:rPr>
        <w:t>Topic 205</w:t>
      </w:r>
      <w:r>
        <w:rPr>
          <w:rFonts w:ascii="Arial" w:cs="Arial" w:eastAsia="Arial" w:hAnsi="Arial"/>
          <w:sz w:val="15"/>
          <w:szCs w:val="15"/>
          <w:color w:val="auto"/>
        </w:rPr>
        <w:t>, this business unit was classified as held for sale and reported in discontinued operations in the accompanying Consolidated Financial Statements. The Company recorded a $2.0 million impairment charge in the second quarter of 2009 related to management's estimate of the fair value of the business. The Company continues to operate the Southeast division while simultaneously seeking a buyer. The negative cash flow from discontinued operations is primarily a result of this division's continuing business activities. The Company has taken significant cost reduction actions throughout 2009 to improve the operating margins and operating cash flows of this business.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46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27,</w:t>
            </w:r>
          </w:p>
        </w:tc>
      </w:tr>
      <w:tr>
        <w:trPr>
          <w:trHeight w:val="161"/>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Loss before taxes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 to the Notes to the Consolidated Financial Statements for a further discussion of discontinued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2007 to the Year Ended December 28, 2008</w:t>
      </w:r>
    </w:p>
    <w:p>
      <w:pPr>
        <w:spacing w:after="0" w:line="231"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i w:val="1"/>
          <w:iCs w:val="1"/>
          <w:color w:val="auto"/>
        </w:rPr>
        <w:t>Revenues.</w:t>
      </w:r>
      <w:r>
        <w:rPr>
          <w:sz w:val="20"/>
          <w:szCs w:val="20"/>
          <w:color w:val="auto"/>
        </w:rPr>
        <w:tab/>
      </w:r>
      <w:r>
        <w:rPr>
          <w:rFonts w:ascii="Arial" w:cs="Arial" w:eastAsia="Arial" w:hAnsi="Arial"/>
          <w:sz w:val="15"/>
          <w:szCs w:val="15"/>
          <w:color w:val="auto"/>
        </w:rPr>
        <w:t>Revenues by operating segment for the years ended December 31, 2007 and December 28, 2008 are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 Segment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73.1%</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Public Safety &amp; Security Segment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Revenues increased $105.5 million from $180.7 million in 2007 to $286.2 million in 2008, reflecting an increase of $104.2 million in our Kratos Government Solutions segment, primarily due to the acquisitions of Haverstick on December 31, 2007 and SYS on June 28, 2008. Haverstick revenue in 2008 was $85.5 million and SYS revenue was $33.2 million. This combined increase of $118.7 million from the acquired companies was partially offset by decreases in revenues in the KGS segment of approximately $14.5 million. This decrease was a result of the impact of the conversion of our work as prime to subcontractor on one of our target range projects, which was recompeted earlier in the year and awarded to a small business as well as the timing of deliverables and completion on one of our Foreign Military Sales programs. The increase in the PSS segment was primarily the result of an increase in revenue related to our Southwest division.</w:t>
      </w:r>
    </w:p>
    <w:p>
      <w:pPr>
        <w:spacing w:after="0" w:line="201"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Notes to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$77.0 million or 51.0% from $151.0 million for the year ended December 31, 2007 to $228.0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28, 2008 primarily due to the increase in total revenues. The increase was primarily attributable to cost of revenues of approximately $90.6 million related to the Haverstick and SYS acquisitions, partially offset by decreases in cost of revenues as a result of the reduced revenues in the two programs as discussed above. Gross margin during the year ended December 28, 2008 of 20.3% increased from a 2007 gross margin of 16.4%. The increase in gross margin primarily resulted from higher gross margins in our KGS segment as a result of our Haverstick and SYS acquisitions due to the types of program mix as well as classification of costs between cost of sales and selling, general and administrative expenses in accordance with government accounting standards. In addition, there was improved operational performance in our PSS segment, for which margins increased from 24.3% to 29.1% for the year ended December 31, 2007 and December 28, 2008, respectively.</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33.6% from $36.6 million to $48.9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2007 and December 28, 2008, respectively. The increase of $12.3 million was primarily due to an increase in costs reflecting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acquisitions of Haverstick and SYS, offset by a reduction in corporate expenses. Included in the selling, general and administrative expenses for 2007 and 2008 are amortization of purchased intangibles of $2.7 million and $4.9 million, respectively. The increase in amortization year over year was also a result of the Haverstick and SYS acquisitions. As a percentage of revenues, selling, general and administrative expenses decreased from 20.3% in 2007 to 17.1% in 2008. Excluding the impact of the amortization of purchased intangibles, SG&amp;A decreased from 18.8% to 15.4% of revenues for 2007 and 2008, respectively, reflecting the leverage on increased revenues.</w:t>
      </w:r>
    </w:p>
    <w:p>
      <w:pPr>
        <w:spacing w:after="0" w:line="197"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(R&amp;D) expenses increased from zero for the year ended December 31, 2007 to</w:t>
      </w:r>
      <w:r>
        <w:rPr>
          <w:rFonts w:ascii="Arial" w:cs="Arial" w:eastAsia="Arial" w:hAnsi="Arial"/>
          <w:sz w:val="16"/>
          <w:szCs w:val="16"/>
          <w:i w:val="1"/>
          <w:iCs w:val="1"/>
          <w:color w:val="auto"/>
        </w:rPr>
        <w:t xml:space="preserve"> </w:t>
      </w:r>
      <w:r>
        <w:rPr>
          <w:rFonts w:ascii="Arial" w:cs="Arial" w:eastAsia="Arial" w:hAnsi="Arial"/>
          <w:sz w:val="16"/>
          <w:szCs w:val="16"/>
          <w:color w:val="auto"/>
        </w:rPr>
        <w:t>$0.9 million for the year ended December 28, 2008 as a result of R&amp;D expenses incurred by SYS which was acquired on June 28, 2008.</w:t>
      </w:r>
    </w:p>
    <w:p>
      <w:pPr>
        <w:spacing w:after="0" w:line="13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Recovery of unauthorized issuance of stock options, stock option investigation and related fees and litigation settlement. </w:t>
      </w:r>
      <w:r>
        <w:rPr>
          <w:rFonts w:ascii="Arial" w:cs="Arial" w:eastAsia="Arial" w:hAnsi="Arial"/>
          <w:sz w:val="16"/>
          <w:szCs w:val="16"/>
          <w:color w:val="auto"/>
        </w:rPr>
        <w:t>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our expenses of $15.5 million included $14.0 million in legal, accounting and other professional fees related to our Equity Award Review which was completed in September 2007 and the completed government inquiries by the Department of Justice and the completed SEC investigation. This amount was partially offset by $3.4 million related to the recovery of assets from our settlement with our former stock option administrator related to damages for the theft of our stock options and common stock which occurred in 2002 and 2003 and was discovered during our internal review of our option granting practices. Also included in the expenses of $15.5 million was an estimated $4.9 million related to the costs for the settlement of the 2004 and 2007 securities litigation as a result of a tentative agreement reached during a voluntary mediation in February 2008 and an estimate for the settlement of our derivative litigation.</w:t>
      </w:r>
    </w:p>
    <w:p>
      <w:pPr>
        <w:spacing w:after="0" w:line="172"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During the year ended December 28, 2008, we recovered $4.5 million, through insurance reimbursements, of costs and losses related to the stock option investigation in 2007. We also paid approximately $4.2 million related to the final agreement on the 2004 and 2007 securities litigation in 2008.</w:t>
      </w:r>
    </w:p>
    <w:p>
      <w:pPr>
        <w:spacing w:after="0" w:line="139"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In December 2008, we concluded that the decision to exit three businesses obtained with the SYS acquisition and included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KGS reporting segment met the criteria to be classified as held for sale and was a triggering event under </w:t>
      </w:r>
      <w:r>
        <w:rPr>
          <w:rFonts w:ascii="Arial" w:cs="Arial" w:eastAsia="Arial" w:hAnsi="Arial"/>
          <w:sz w:val="16"/>
          <w:szCs w:val="16"/>
          <w:i w:val="1"/>
          <w:iCs w:val="1"/>
          <w:color w:val="auto"/>
        </w:rPr>
        <w:t>FASB ASC Topic 350 Intangibles—Goodwill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w:t>
      </w:r>
      <w:r>
        <w:rPr>
          <w:rFonts w:ascii="Arial" w:cs="Arial" w:eastAsia="Arial" w:hAnsi="Arial"/>
          <w:sz w:val="16"/>
          <w:szCs w:val="16"/>
          <w:color w:val="auto"/>
        </w:rPr>
        <w:t>that required a review of goodwill and intangibles assets with indefinite lives. Because the three business units were never integrated into the KGS</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and the benefits of the acquired goodwill were never realized by the rest of the reporting unit, the goodwill of the disposed businesses was not adjusted based upon the relative fair values of the businesses disposed and businesses retained.</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our required annual impairment test of goodwill. The annual impairment test for goodwill was performed using a discounted cash flow analysis supported by comparative market multiples to determine the fair values of our segments versus their book values. The test as of December 28, 2008, indicated that the book values for the KGS segment, excluding DFI (which was purchased on December 24, 2008), exceeded the fair values of these businesses and resulted in our recording a non-cash charge totaling $105.8 million in our KGS segment for the impairment of goodwill.</w:t>
      </w:r>
    </w:p>
    <w:p>
      <w:pPr>
        <w:spacing w:after="0" w:line="170"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impairment charge was primarily driven by adverse equity market conditions that caused a decrease in current market multiples and our average stock price as of December 28, 2008, compared with the impairment test performed as of December 31, 2007. In our analysis, we used the income approach and validate its reasonableness by considering our market capitalization based upon an average of our stock price for a period prior to and subsequent to the date we performed our analysis. The average market price of our stock as of December 28, 2008 was $12.90 which equated to a 45%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drop in our average stock price and corresponding market capitalization from December 31, 2007 which had an average stock price of $23.50. We reconciled the fair value of our reporting units which was calculated using the income approach to our market capitalization. As a result of this reconciliation, it was noted that investors were requiring a higher rate of return, and therefore, our discount factor which was based upon an estimated market participant weighted average cost of capital (WACC) increased 250 basis points from 11.5% in our year end impairment test in 2007 compared to 14% in our year end impairment test in 2008. This change was the key factor contributing to the $105.8 million impairment charge that we recorded in the fourth quarter of 2008.</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historical growth rates and operating results are not indicative of our future growth rates and operating results as a consequence of our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these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contracts are long-term in nature and are supported by significant backlog. Because our contracts are of a long-term nature, a majority of our receivables are with agencies within the U. S. government or we are a subcontractor to a customer whose receivables are with the agencies within the U.S. government, we are not subject to significant short-term changes in operating cash flow. Moreover, because of the nature of our current business we do not have significant capital expenditure requirements.</w:t>
      </w:r>
    </w:p>
    <w:p>
      <w:pPr>
        <w:spacing w:after="0" w:line="197" w:lineRule="exact"/>
        <w:rPr>
          <w:sz w:val="20"/>
          <w:szCs w:val="20"/>
          <w:color w:val="auto"/>
        </w:rPr>
      </w:pPr>
    </w:p>
    <w:p>
      <w:pPr>
        <w:ind w:left="360"/>
        <w:spacing w:after="0"/>
        <w:tabs>
          <w:tab w:leader="none" w:pos="5260" w:val="left"/>
        </w:tabs>
        <w:rPr>
          <w:sz w:val="20"/>
          <w:szCs w:val="20"/>
          <w:color w:val="auto"/>
        </w:rPr>
      </w:pPr>
      <w:r>
        <w:rPr>
          <w:rFonts w:ascii="Arial" w:cs="Arial" w:eastAsia="Arial" w:hAnsi="Arial"/>
          <w:sz w:val="18"/>
          <w:szCs w:val="18"/>
          <w:i w:val="1"/>
          <w:iCs w:val="1"/>
          <w:color w:val="auto"/>
        </w:rPr>
        <w:t>Impairment and adjustments to the liability for unused office space.</w:t>
      </w:r>
      <w:r>
        <w:rPr>
          <w:sz w:val="20"/>
          <w:szCs w:val="20"/>
          <w:color w:val="auto"/>
        </w:rPr>
        <w:tab/>
      </w:r>
      <w:r>
        <w:rPr>
          <w:rFonts w:ascii="Arial" w:cs="Arial" w:eastAsia="Arial" w:hAnsi="Arial"/>
          <w:sz w:val="15"/>
          <w:szCs w:val="15"/>
          <w:color w:val="auto"/>
        </w:rPr>
        <w:t>The expense of $1.2 million for the year ended December 31, 2007 included</w:t>
      </w:r>
    </w:p>
    <w:p>
      <w:pPr>
        <w:spacing w:after="0" w:line="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$0.8 million for an excess facility accrual for our obligations under facility leases with unused office space as a result of the divestitures of our wireless network services businesses, $0.2 million related to the impairment of leasehold improvements for these facilities, and $0.2 million related to an impairment of fixed assets. The expense of $0.3 million for the year ended December 28, 2008 was a result of a change in estimate of our excess facility accrual for obligations under facility leases and a write-off of fees related to our withdrawal of our previously filed S-3 and S-4 registration statements, which were no longer useable as a result of a change in regulations.</w:t>
      </w:r>
    </w:p>
    <w:p>
      <w:pPr>
        <w:spacing w:after="0" w:line="19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For the year ended December 31, 2007, net other expense was $2.3 million compared to net other expense of $11.5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28, 2008. The net other expense of $2.3 million in 2007 was primarily attributable to approximately $1.8 million of an impairment charge, recorded in the fourth quarter of 2007, related to the carrying value of investments in unconsolidated affiliates to fair value as well as $1.2 million of interest expense incurred on our previous credit facility. The significant increase in 2008 was primarily driven by interest expense of $9.2 million on the debt used to finance the acquisition of Haverstick on December 31, 2007 and a non-cash mark to market adjustment for financial derivatives of $1.7 million.</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Our effective income tax rate for the year ended December 31, 2007 represented a negative 5% income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positive 1% income tax benefit for the year ended December 28, 2008. The tax provision for the year ended December 31, 2007 was comprised of current state income taxes of $0.7 million and an increase of deferred tax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liabilities of $0.6 million. The tax benefit of $0.7 million for the year ended December 28, 2008 was comprised of current state income taxes of $1.3 million offset by a benefit of $2.0 million related to a reduction in deferred tax liabilities as a result of the goodwill impairment charge.</w:t>
      </w:r>
    </w:p>
    <w:p>
      <w:pPr>
        <w:spacing w:after="0" w:line="13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Loss from discontinued operations. </w:t>
      </w:r>
      <w:r>
        <w:rPr>
          <w:rFonts w:ascii="Arial" w:cs="Arial" w:eastAsia="Arial" w:hAnsi="Arial"/>
          <w:sz w:val="16"/>
          <w:szCs w:val="16"/>
          <w:color w:val="auto"/>
        </w:rPr>
        <w:t>Loss from discontinued operations decreased from a loss of $13.6 million in 2007 to a loss of $7.1 million during 2008.</w:t>
      </w:r>
      <w:r>
        <w:rPr>
          <w:rFonts w:ascii="Arial" w:cs="Arial" w:eastAsia="Arial" w:hAnsi="Arial"/>
          <w:sz w:val="16"/>
          <w:szCs w:val="16"/>
          <w:i w:val="1"/>
          <w:iCs w:val="1"/>
          <w:color w:val="auto"/>
        </w:rPr>
        <w:t xml:space="preserve"> </w:t>
      </w:r>
      <w:r>
        <w:rPr>
          <w:rFonts w:ascii="Arial" w:cs="Arial" w:eastAsia="Arial" w:hAnsi="Arial"/>
          <w:sz w:val="16"/>
          <w:szCs w:val="16"/>
          <w:color w:val="auto"/>
        </w:rPr>
        <w:t>In December 2008, we made the decision to exit three of our acquired SYS businesses that are not core to our stated strategy and that have been dilutive to our profitability. The businesses divested or exited provide interactive video surveillance and information analysis products, digital broadcasting products and incident response management systems. These actions were taken as part of our ongoing integration efforts of recently acquired companies and cost reduction initiatives. Included in the loss for 2008 are asset impairments including goodwill of approximately $4.5 million. These losses were partially offset by the favorable resolution of contingencies related to our wireless businesses which were divested in 2007.</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2007, the $13.6 million loss was primarily due to the impairment of assets related to the wireless deployment business of $13.4 million, an impairment of goodwill of $7.2 million related to this business, a $1.9 million loss from the disposal of our deployment business and a $1.1 million excess facility accrual. These charges were all partially offset by a gain of $14.8 million on the sale of the wireless engineering services business operations and a gain of $2.6 million on the sale of the EMEA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46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28,</w:t>
            </w:r>
          </w:p>
        </w:tc>
      </w:tr>
      <w:tr>
        <w:trPr>
          <w:trHeight w:val="161"/>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Loss before taxes</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 to the Notes to the Consolidated Financial Statements for further discussion of discontinued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27, 2009, we had consolidated cash and cash equivalents of $9.9 million, consolidated long-term and short-term debt, including capital lease obligations, of $56.3 million, and consolidated stockholders' equity of $124.9 million. Our principal sources of liquidity are cash flows from operations and borrowings under our credit facility. 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March 3, 2010, we entered into a new senior secured credit agreement (the New Credit Agreement) with Key Bank National Association (KeyBank) as Administrative Agent and Lender for a new credit facility (the New Credit Facility) in the aggregate principal amount of $60.0 million. The New Credit Facility is comprised of (i) a $35.0 million term loan facility and (ii) a $25.0 million revolving line of credit. Pursuant to the terms of the New Credit Agreement, the term loan and revolving credit facility are both three year facilities. The proceeds under the New Credit Agreement may be used for general corporate purposes including refinancing of existing bank debt, working capital and acquisitions.</w:t>
      </w:r>
    </w:p>
    <w:p>
      <w:pPr>
        <w:spacing w:after="0" w:line="17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Also on March 3, 2010, we entered into two Payoff Letters with KeyBank terminating our existing $85.0 million credit facility (the Prior Credit Facility). In connection with the refinancing of the Prior Credit Facility, we borrowed $57.5 million under the New Credit Facility. Approximately $25.0 million of the proceeds were used to pay in full the remaining balance on the first lien term loan under the Prior Credit Facility held by Silverpoint Capital LP (Silverpoint), at par, with no prepayment penalties, pursuant to the Settlement Agreement that we entered into with Silverpoint and KeyBank in October 2009. As a result of the refinance, we expect to record an approximate $2.2 million interest charge related to the write-off of unamortized financing costs related to the Prior Credit Facility. As of March 3, 2010, after giving full effect to the refinancing and repayment in full of the Prior Credit Facility, we had outstanding debt of $35.0 million under the New Credit Facility term loan and $22.5 million under the New Credit Facility revolving line of credit.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may borrow funds under the New Credit Agreement (i) at the base rate, determined as the greater of (A) the prime loan rate announced by KeyBank and</w:t>
      </w:r>
    </w:p>
    <w:p>
      <w:pPr>
        <w:spacing w:after="0" w:line="50" w:lineRule="exact"/>
        <w:rPr>
          <w:sz w:val="20"/>
          <w:szCs w:val="20"/>
          <w:color w:val="auto"/>
        </w:rPr>
      </w:pPr>
    </w:p>
    <w:p>
      <w:pPr>
        <w:ind w:right="20" w:firstLine="8"/>
        <w:spacing w:after="0" w:line="286" w:lineRule="auto"/>
        <w:tabs>
          <w:tab w:leader="none" w:pos="2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sum of the weighted average overnight federal funds rate published by the Federal Reserve Bank plus 50 basis points, or (ii) at the offshore rate, determined by KeyBank as the offered rate for U.S. dollar deposits in the approximate amount of the requested loan and having a maturity comparable to such interest period, which rate appears (A) on the British Bankers' Association internet web page (http://www.bba.org.uk/public/libor/), or via (B) Reuters (BBALIBORS), Bloomberg, Moneyline Telerate (Page 3750) or any other information provider of the British Bankers' Association daily Libor rates as of 11:00 A.M., London time, on the date which is the second day on which banks are open for interbank deposits in London prior to the commencement of such interest period; as adjusted for reserve requirements and rounded upwards if necessary to the next higher 1/100%. Borrowings are subject to a Libor floor rate of 2.75% or a Base Rate floor of 5.25%. Term loan borrowings and revolver borrowings may be subject to an additional 450 basis points and 375 basis points, respectively, based on our credit ratings. In addition, we must pay a fee ranging from 30 basis points per annum to 75 points per annum, based on our credit ratings, on the daily amount of the unused commitments under the revolving credit facility. The initial interest rate under the New Credit Facility for the term loan is 7.25%, compared to the approximate 11.75% interest rate under the Prior Credit Facility term loan. The initial interest under the New Credit Facility for the revolving line of credit is approximately 6.50%, compared to the approximate 6.75% rate under the Prior Credit Facility revolving line of credit.</w:t>
      </w:r>
    </w:p>
    <w:p>
      <w:pPr>
        <w:spacing w:after="0" w:line="17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Pursuant to certain terms of the New Credit Agreement, in certain instances we are required to prepay outstanding indebtedness prior to its stated maturity date. Specifically, certain non-recurring cash inflows such as proceeds from asset sales, insurance recoveries, and equity offerings as well as certain annual operating cash flows may have to be used to pay down indebtedness and may not be reborrowed.</w:t>
      </w:r>
    </w:p>
    <w:p>
      <w:pPr>
        <w:spacing w:after="0" w:line="194"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terms of the New Credit Agreement include customary representations and warranties, as well as reporting and financial covenants, customary for financings of this type. The financial covenants include a quarterly maximum leverage ratio of 2.75 through December 31, 2010, reducing to 2.50 thereafter, a quarterly fixed charge coverage ratio of 1.10 through December 31, 2010, with an increase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to 1.25 thereafter. In addition, the covenants include a monthly asset coverage ratio of Eligible Billed Accounts Receivables, as defined, of 1.25 times for outstanding balances of the revolving credit facility.</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New Credit Agreement provides for the ability to increase the revolving line of credit facility by up to $15 million to a total not to exceed $40 million, in the event that the Administrative Agent elects to secure additional commitments from existing lenders or from new lenders.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the above refinancing, the Prior Credit Facility provided for two term loans consisting of a first lien term note of $50.0 million and a second lien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 note of $10.0 million, as well as a first lien $25.0 million revolving line of credit. The $10.0 million term loan had a five and one half-year term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of $25,000 required quarterly beginning on March 31, 2008 through March 31, 2013 with the final balance of $9.5 million due on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The $50.0 million term loan had a five year term with principal payments of $0.6 million required quarterly beginning on March 31, 2008, $1.3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$2.5 million in 2010, and $4.1 million in 2011 and 2012. The revolving line of credit had an original four year term which which was subsequently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extended to December 31, 2012 and contains provisions typical in such arrangements. As of December 27, 2009, the balance on the first lien term loan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$24.9 million, the balance on the second lien term loan was $9.8 million, and the balance on the revolving line of credit was $19.7 million, with $1.5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letter of credit outstanding and $3.8 million available. As of December 27, 2009, weighted average interest rate on the debt borrowed during 2009 was 10.12%.</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ind w:right="300" w:firstLine="341"/>
        <w:spacing w:after="0" w:line="323" w:lineRule="auto"/>
        <w:rPr>
          <w:sz w:val="20"/>
          <w:szCs w:val="20"/>
          <w:color w:val="auto"/>
        </w:rPr>
      </w:pPr>
      <w:r>
        <w:rPr>
          <w:rFonts w:ascii="Arial" w:cs="Arial" w:eastAsia="Arial" w:hAnsi="Arial"/>
          <w:sz w:val="15"/>
          <w:szCs w:val="15"/>
          <w:color w:val="auto"/>
        </w:rPr>
        <w:t>As of December 28, 2008, we had outstanding convertible notes payable totaling $3.1 million which were acquired as a result of the SYS acquisition, of which $0.8 million was payable to related parties. The convertible notes payable are unsecured and subordinated to our bank debt and bear interest at 10% per annum payable quarterly. Principal was due February 14, 2009 and the notes were convertible at any time into shares of common stock at a conversion rate of $28.60 per share. In February 2009, in the interest of preserving cash due to the macroeconomic conditions, we provided each note holder with the option to:</w:t>
      </w:r>
    </w:p>
    <w:p>
      <w:pPr>
        <w:spacing w:after="0" w:line="165"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$28.60 per share or our closing stock price on February 13, 2009; or</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convert the principal balance into shares of our common stock at the lower of the existing conversion price of $28.60 or our closing stock price on February 13, 2009 less a 10% discount.</w:t>
      </w:r>
    </w:p>
    <w:p>
      <w:pPr>
        <w:spacing w:after="0" w:line="186"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As of December 27, 2009, $2.1 million of the notes had been paid and $1.0 million of the notes had been extended to August 14, 2010, $25,000 of which is payable to a related party. The balance of the outstanding notes of $1.0 million, which is potentially convertible into common stock of Kratos at $10.20 per share or approximately 94,000 shares, is reflected in the current portion of long-term debt in the accompanying Consolidated Balance Sheet.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Payments in Connection with Acquisitions and Divestitures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6"/>
          <w:szCs w:val="16"/>
          <w:i w:val="1"/>
          <w:iCs w:val="1"/>
          <w:color w:val="auto"/>
        </w:rPr>
        <w:t>FASB ASC Topic 805 Business Combinations</w:t>
      </w:r>
      <w:r>
        <w:rPr>
          <w:rFonts w:ascii="Arial" w:cs="Arial" w:eastAsia="Arial" w:hAnsi="Arial"/>
          <w:sz w:val="16"/>
          <w:szCs w:val="16"/>
          <w:color w:val="auto"/>
        </w:rPr>
        <w:t>, such amounts are accrued, and therefore, recorded when the contingency is resolved beyond a reasonable doubt and, hence, the additional consideration becomes payable. In 2007, we paid $4.6 million of working capital adjustments and approximately $4.3 million of the holdback amounts to the former MRC shareholders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accordance with the Purchase Agreement. In 2009, we paid approximately $3.6 million for the final cash holdback amounts subject to indemnity rights due to MRC and Haverstick. As of December 27, 2009, all obligations related to purchase price holdbacks and indemnification obligations have been paid in full.</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July 2007, we sold our deployment services business of our Wireless Network Services segment to Platinum Equity. On July 16, 2008, we came to an agreement with Platinum Equity on a working capital adjustment of $5.0 million. In connection with that resolution, the earn-out arrangement provided for in the definitive agreement was terminated. The adjustment was to be paid in installments with the first amount of $2.5 million due on July 31, 2008 and payments of $0.5 million monthly thereafter until paid in full in December 2008. We did not make the scheduled $2.5 million payment due as of July 31, 2008. Payments of $1.0 million were made in August and September of 2008, with an additional $0.5 million paid in December 2008. In March of 2009, we paid another $1.5 million and on August 4, 2009, we paid $1.3 million in full settlement of all amounts due to Platinum Equity.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consolidated statement of cash flows is as follows (in millions):</w:t>
      </w:r>
    </w:p>
    <w:p>
      <w:pPr>
        <w:spacing w:after="0" w:line="182"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Years Ended December 31,</w:t>
      </w:r>
    </w:p>
    <w:p>
      <w:pPr>
        <w:jc w:val="center"/>
        <w:ind w:left="6940"/>
        <w:spacing w:after="0" w:line="223" w:lineRule="auto"/>
        <w:rPr>
          <w:sz w:val="20"/>
          <w:szCs w:val="20"/>
          <w:color w:val="auto"/>
        </w:rPr>
      </w:pPr>
      <w:r>
        <w:rPr>
          <w:rFonts w:ascii="Arial" w:cs="Arial" w:eastAsia="Arial" w:hAnsi="Arial"/>
          <w:sz w:val="14"/>
          <w:szCs w:val="14"/>
          <w:b w:val="1"/>
          <w:bCs w:val="1"/>
          <w:color w:val="auto"/>
        </w:rPr>
        <w:t>2007, December 28, 2008, and</w:t>
      </w:r>
    </w:p>
    <w:p>
      <w:pPr>
        <w:jc w:val="center"/>
        <w:ind w:left="6940"/>
        <w:spacing w:after="0" w:line="220" w:lineRule="auto"/>
        <w:rPr>
          <w:sz w:val="20"/>
          <w:szCs w:val="20"/>
          <w:color w:val="auto"/>
        </w:rPr>
      </w:pPr>
      <w:r>
        <w:rPr>
          <w:rFonts w:ascii="Arial" w:cs="Arial" w:eastAsia="Arial" w:hAnsi="Arial"/>
          <w:sz w:val="14"/>
          <w:szCs w:val="14"/>
          <w:b w:val="1"/>
          <w:bCs w:val="1"/>
          <w:color w:val="auto"/>
        </w:rPr>
        <w:t>December 27, 2009</w:t>
      </w: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Cash provided by operating activities from continuing operations for 2009 increased by $30.8 million from 2008 as a result of increased collections and a reduction in payments related to legal liabilities of $10.3 million. Days sales outstanding (DSO's) decreased from 107 days (excluding the receivables of DFI in 2008) to 95 days in 2009. In 2008, we made payments of $4.8 million to fund the securities litigation settlement and approximately $5.5 million related to our internal stock investigation we completed in 2007.</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Cash used in operating activities from continuing operations for 2008 increased by $3.7 million from 2007 primarily due to approximately $10.3 million in payments related to legal liabilities discussed above. These amounts were partially offset by cash receipts of approximately $4.9 million resulting from our recovery from the theft of stock options and other recoveries from our various insurance carriers.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investing activities from continuing operations are summarized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Sale/maturity of short-term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Cash transferred (to) from restricted cash</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020" w:type="dxa"/>
            <w:vAlign w:val="bottom"/>
            <w:vMerge w:val="restart"/>
          </w:tcPr>
          <w:p>
            <w:pPr>
              <w:ind w:left="2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jc w:val="right"/>
              <w:ind w:right="229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Cash paid for acquisitions and contingent acquisition consideration accounted for the most significant outlays for investing activities in the years 2007, 2008 and 2009 as a result of the implementation of our strategies to diversify our business while focusing on our core competencies. Cash paid for acquisitions in 2007 represents the Haverstick acquisition. In 2008, our acquisitions were primarily funded with the issuance of stock; consequently the cash paid for acquisitions in 2008 relates to transaction costs paid for Haverstick, SYS and DFI, less cash acquired from DFI and SYS of $6.3 million. In 2009, we made $3.6 million in payments related to the final holdback payments for our Madison Research and Haverstick acquisitions and $1.1 million in payments related to transaction costs associated with the DFI acquisition which was completed on December 24, 2008.</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Investing activities in 2007 included proceeds of $57.3 million, directly attributable to the sale of our discontinued operations. In 2008, we received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 million in final payment of the note related to the working capital adjustment for the sale of our domestic wireless engineering business to LCC which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payments of $2.6 million to Platinum Equity for the working capital adjustment related to the sale of our domestic wireless deployment business.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final payments to Platinum Equity of $2.4 million for the working capital adjustment were made in 2009.</w:t>
      </w:r>
    </w:p>
    <w:p>
      <w:pPr>
        <w:spacing w:after="0" w:line="21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Capital expenditures consist primarily of investment in computer hardware and software and improvement of our physical properties in order to maintain suitable conditions to conduct our business.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financing activities from continuing operations are summarized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Proceeds from exercise of restricted stock units, employee stock options, and employee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 plan</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credit facility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Repayments under credit facility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capital lease obligations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22"/>
        </w:trPr>
        <w:tc>
          <w:tcPr>
            <w:tcW w:w="20" w:type="dxa"/>
            <w:vAlign w:val="bottom"/>
          </w:tcPr>
          <w:p>
            <w:pPr>
              <w:spacing w:after="0"/>
              <w:rPr>
                <w:sz w:val="19"/>
                <w:szCs w:val="19"/>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During 2007, we entered into two amendments to our then-existing credit facility, one in March and the other in June, which reduced the total facility to $35 million as a result of the divestitures of our wireless network services businesses. In December 2007, we successfully negotiated the Prior Credit Facility, which was used primarily to fund the Haverstick acquisition. In 2008, we utilized the Prior Credit Facility to fund acquisition costs associated with the acquisitions of SYS and DFI.</w:t>
      </w:r>
    </w:p>
    <w:p>
      <w:pPr>
        <w:spacing w:after="0" w:line="19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On September 2, 2009, we completed the sale of 2.6 million shares of common stock at $7.20 per share in a registered direct public offering. The offering provided gross proceeds of $18.7 million and net proceeds of $17.5 million. As a result of a settlement agreement we executed with certain lenders under our Prior Credit Facility, on October 16, 2009, we made a payment of $17.5 million on the first lien term loan at par with no prepayment penalty or make whole payment. On October 16, 2009, we also paid $0.5 million in fees to the lenders as a result of an amendment to the credit agreement entered into in connection with the settlement agreement, which is being accounted for as deferred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financing costs and is being amortized over the remaining term of the loans. See Note 5 to the Notes to the Consolidated Financial Statements for a further discussion of the Settlement Agreement and Third Amendment to the Prior Credit Facility.</w:t>
      </w:r>
    </w:p>
    <w:p>
      <w:pPr>
        <w:spacing w:after="0" w:line="186"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As a result of the payment of $17.5 million on the first lien term loan in October 2009, we accelerated the amortization of approximately $0.7 million in deferred financing costs as interest expense in the fourth quarter of 2009. The $0.5 million in fees paid to the lenders in October will be amortized over the remaining term of the credit facility.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are summarized as follows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Investing cash flows</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flows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used in discontinued operations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Operating cash flows used by discontinued operations are primarily due to the PSS Southeast division. Investing cash flow consists of capital expenditures incurred primarily by our wireless network services segment.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December 27, 2009, and the effect such obligations could have on our liquidity and cash flow in future periods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87"/>
              </w:rPr>
              <w:t>Payments due/forecast by Period</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2011-2012</w:t>
            </w: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2013-2014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2015 and After</w:t>
            </w:r>
          </w:p>
        </w:tc>
        <w:tc>
          <w:tcPr>
            <w:tcW w:w="16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net of interest(1)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Capital leases(4)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on debt(2)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Purchase orders(3)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2"/>
              </w:rPr>
              <w:t>Unrecognized tax benefits, including interest and penalties(5)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116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 and recorded liabilities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line="25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Prior Credit Facility. The payments shown contemplate that we will pay off the Prior Credit Facility by the due date of June 2013. See "Notes to Consolidated Financial Statements" Note 5 for further details. As discussed above, we refinanced the Prior Credit Facility with the proceeds of our New Credit Facility on March 3, 2010; as a result, these projected payments as of December 27, 2009 do not accurately reflect our projected payments as of the date of the filing of this Form 10-K.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44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fixed rate debt based upon our swap arrangements. See "Notes to Consolidated Financial Statements" Note 5 for further details.</w:t>
      </w:r>
    </w:p>
    <w:p>
      <w:pPr>
        <w:spacing w:after="0" w:line="212"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"Notes to Consolidated Financial Statements" Note 6 for further details.</w:t>
      </w:r>
    </w:p>
    <w:p>
      <w:pPr>
        <w:spacing w:after="0" w:line="238"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obligations shown in the above table represent certain uncertain tax positions in accordance with </w:t>
      </w:r>
      <w:r>
        <w:rPr>
          <w:rFonts w:ascii="Arial" w:cs="Arial" w:eastAsia="Arial" w:hAnsi="Arial"/>
          <w:sz w:val="18"/>
          <w:szCs w:val="18"/>
          <w:i w:val="1"/>
          <w:iCs w:val="1"/>
          <w:color w:val="auto"/>
        </w:rPr>
        <w:t>FASB ASC Topic 740 Income Taxes</w:t>
      </w:r>
      <w:r>
        <w:rPr>
          <w:rFonts w:ascii="Arial" w:cs="Arial" w:eastAsia="Arial" w:hAnsi="Arial"/>
          <w:sz w:val="18"/>
          <w:szCs w:val="18"/>
          <w:color w:val="auto"/>
        </w:rPr>
        <w:t>. The years for which the uncertain tax positions will reverse have been estimated in scheduling the obligations in the table above. See "Notes to Consolidated Financial Statements" Note 7 for further details.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February 11, 2008, we entered into three derivative financial instruments with Key Bank to reduce our exposure to its variable interest rates on its outstanding debt. These instruments initially hedged $70.0 million of its LIBOR-based floating rate debt with the amounts hedged decreasing over time. The derivatives mature on March 31, 2010 and March 31, 2011 and result in an average fixed rate of 3.16% for the term of the agreements. Initially, we designated these instruments as cash flow hedges. In March 2008, as a result of the amendment to our credit facility, which included a LIBOR floor rate of 4.25%, we determined that these instruments were no longer highly effective as a hedge. The net gain (loss) associated with the derivatives for the years ended December 28, 2008, and December 27, 2009 was a $1.7 million loss and a $0.3 million gain, respectively. Future gains and losses on these derivative instruments will continue to be recognized in our Consolidated Statement of Operations.</w:t>
      </w:r>
    </w:p>
    <w:p>
      <w:pPr>
        <w:spacing w:after="0" w:line="172"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December 27, 2009 we have $1.5 million of standby letters of credit outstanding. Our letters of credit are related to our prior workers compensation program, as support for our performance bond program and for our work overseas. Additional information regarding our financial commitments at December 27, 2009 is provided in the notes to our Consolidated Financial Statements. See "Notes to Consolidated Financial Statements, Note 14 Commitments and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intend to fund our cash requirements with cash flows from operating activities, and borrowings under the New Credit Facility. We believe these sources should be sufficient to meet our cash needs for at least the next 12 months. As discussed in Part II, Item 1A, "Risk Factors" section of this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Principles and Estimates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valuation allowance, accruals for partial self-insurance, contingencies and litigation, contingent acquisition consideration and stock-based compensation. We explain these accounting policies in the notes to the 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6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almost all of our revenue from three different types of contractual arrangements: cost-plus-fee contracts, time-and-materials 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We have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Staff Accounting Bulletin 104 "Revenue </w:t>
      </w:r>
      <w:r>
        <w:rPr>
          <w:rFonts w:ascii="Arial" w:cs="Arial" w:eastAsia="Arial" w:hAnsi="Arial"/>
          <w:sz w:val="16"/>
          <w:szCs w:val="16"/>
          <w:i w:val="1"/>
          <w:iCs w:val="1"/>
          <w:color w:val="auto"/>
        </w:rPr>
        <w:t>Recognition</w:t>
      </w:r>
      <w:r>
        <w:rPr>
          <w:rFonts w:ascii="Arial" w:cs="Arial" w:eastAsia="Arial" w:hAnsi="Arial"/>
          <w:sz w:val="16"/>
          <w:szCs w:val="16"/>
          <w:color w:val="auto"/>
        </w:rPr>
        <w:t>" (SAB 104). SAB 104 generally requires revenue to be deferred until all of the following have occurred: (1) there is a contract in place, (2) delivery has occurred, (3) the price is fixed or determinable, and (4) collectability is reasonably assured. Revenues on fixed-price contracts that require delivery of specific items may be recorded based on a price per unit as units are delivered. Revenue for fixed price contracts in which we are paid a specific amount to provide services for a stated period of time is recognized ratably over the service period.</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 portion of our fixed price-completion contracts are within the scope of Financial Accounting Standards Board Accounting Standards Codification </w:t>
      </w:r>
      <w:r>
        <w:rPr>
          <w:rFonts w:ascii="Arial" w:cs="Arial" w:eastAsia="Arial" w:hAnsi="Arial"/>
          <w:sz w:val="16"/>
          <w:szCs w:val="16"/>
          <w:i w:val="1"/>
          <w:iCs w:val="1"/>
          <w:color w:val="auto"/>
        </w:rPr>
        <w:t>(FASB</w:t>
      </w:r>
      <w:r>
        <w:rPr>
          <w:rFonts w:ascii="Arial" w:cs="Arial" w:eastAsia="Arial" w:hAnsi="Arial"/>
          <w:sz w:val="16"/>
          <w:szCs w:val="16"/>
          <w:color w:val="auto"/>
        </w:rPr>
        <w:t xml:space="preserve"> </w:t>
      </w:r>
      <w:r>
        <w:rPr>
          <w:rFonts w:ascii="Arial" w:cs="Arial" w:eastAsia="Arial" w:hAnsi="Arial"/>
          <w:sz w:val="16"/>
          <w:szCs w:val="16"/>
          <w:i w:val="1"/>
          <w:iCs w:val="1"/>
          <w:color w:val="auto"/>
        </w:rPr>
        <w:t>ASC) Topic 605 Revenue Recognition (Topic 605)</w:t>
      </w:r>
      <w:r>
        <w:rPr>
          <w:rFonts w:ascii="Arial" w:cs="Arial" w:eastAsia="Arial" w:hAnsi="Arial"/>
          <w:sz w:val="16"/>
          <w:szCs w:val="16"/>
          <w:color w:val="auto"/>
        </w:rPr>
        <w:t>. For these contracts revenue is recognized using the percentage-of-completion method based on the ratio of</w:t>
      </w:r>
      <w:r>
        <w:rPr>
          <w:rFonts w:ascii="Arial" w:cs="Arial" w:eastAsia="Arial" w:hAnsi="Arial"/>
          <w:sz w:val="16"/>
          <w:szCs w:val="16"/>
          <w:i w:val="1"/>
          <w:iCs w:val="1"/>
          <w:color w:val="auto"/>
        </w:rPr>
        <w:t xml:space="preserve"> </w:t>
      </w:r>
      <w:r>
        <w:rPr>
          <w:rFonts w:ascii="Arial" w:cs="Arial" w:eastAsia="Arial" w:hAnsi="Arial"/>
          <w:sz w:val="16"/>
          <w:szCs w:val="16"/>
          <w:color w:val="auto"/>
        </w:rPr>
        <w:t>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7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 xml:space="preserve">It is our policy to review any arrangement containing software or software deliverables and services against the criteria contained in </w:t>
      </w:r>
      <w:r>
        <w:rPr>
          <w:rFonts w:ascii="Arial" w:cs="Arial" w:eastAsia="Arial" w:hAnsi="Arial"/>
          <w:sz w:val="16"/>
          <w:szCs w:val="16"/>
          <w:i w:val="1"/>
          <w:iCs w:val="1"/>
          <w:color w:val="auto"/>
        </w:rPr>
        <w:t>FASB ASC Topic 985</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(Topic 985)</w:t>
      </w:r>
      <w:r>
        <w:rPr>
          <w:rFonts w:ascii="Arial" w:cs="Arial" w:eastAsia="Arial" w:hAnsi="Arial"/>
          <w:sz w:val="16"/>
          <w:szCs w:val="16"/>
          <w:color w:val="auto"/>
        </w:rPr>
        <w:t>, and related technical practice aids. Under the provisions of</w:t>
      </w:r>
      <w:r>
        <w:rPr>
          <w:rFonts w:ascii="Arial" w:cs="Arial" w:eastAsia="Arial" w:hAnsi="Arial"/>
          <w:sz w:val="16"/>
          <w:szCs w:val="16"/>
          <w:i w:val="1"/>
          <w:iCs w:val="1"/>
          <w:color w:val="auto"/>
        </w:rPr>
        <w:t xml:space="preserve"> Topic 985 </w:t>
      </w:r>
      <w:r>
        <w:rPr>
          <w:rFonts w:ascii="Arial" w:cs="Arial" w:eastAsia="Arial" w:hAnsi="Arial"/>
          <w:sz w:val="16"/>
          <w:szCs w:val="16"/>
          <w:color w:val="auto"/>
        </w:rPr>
        <w:t>we review the contract value of software deliverables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67"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 xml:space="preserve">Our contracts may include the provision of more than one of our services. In these situations, we apply the guidance of FASB's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61" w:lineRule="exact"/>
        <w:rPr>
          <w:sz w:val="20"/>
          <w:szCs w:val="20"/>
          <w:color w:val="auto"/>
        </w:rPr>
      </w:pPr>
    </w:p>
    <w:p>
      <w:pPr>
        <w:jc w:val="both"/>
        <w:ind w:right="140" w:firstLine="351"/>
        <w:spacing w:after="0" w:line="268" w:lineRule="auto"/>
        <w:rPr>
          <w:sz w:val="20"/>
          <w:szCs w:val="20"/>
          <w:color w:val="auto"/>
        </w:rPr>
      </w:pPr>
      <w:r>
        <w:rPr>
          <w:rFonts w:ascii="Arial" w:cs="Arial" w:eastAsia="Arial" w:hAnsi="Arial"/>
          <w:sz w:val="18"/>
          <w:szCs w:val="18"/>
          <w:color w:val="auto"/>
        </w:rPr>
        <w:t xml:space="preserve">Under certain of our contractual arrangements, we may also recognize revenue for out-of-pocket expenses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contractual arrangement, these expenses may be reimbursed with or without a fee.</w:t>
      </w:r>
    </w:p>
    <w:p>
      <w:pPr>
        <w:spacing w:after="0" w:line="186"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 xml:space="preserve">Under certain of our contracts, we provide supplier procurement services and materials for our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specific circumstances of the arrangement we consider the following criteria, among others, for recording revenue on a gross or net basis:</w:t>
      </w:r>
    </w:p>
    <w:p>
      <w:pPr>
        <w:spacing w:after="0" w:line="20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94"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From time to time, we may proceed with work based on client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client, communications with the client regarding funding status, and our knowledge of available funding for the contract or program.</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potential inability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w:t>
      </w:r>
      <w:r>
        <w:rPr>
          <w:rFonts w:ascii="Arial" w:cs="Arial" w:eastAsia="Arial" w:hAnsi="Arial"/>
          <w:sz w:val="16"/>
          <w:szCs w:val="16"/>
          <w:i w:val="1"/>
          <w:iCs w:val="1"/>
          <w:color w:val="auto"/>
        </w:rPr>
        <w:t xml:space="preserve"> FASB ASC Topic 360 Property, Plant, and Equipment ("Topic 360"). Topic 360 </w:t>
      </w:r>
      <w:r>
        <w:rPr>
          <w:rFonts w:ascii="Arial" w:cs="Arial" w:eastAsia="Arial" w:hAnsi="Arial"/>
          <w:sz w:val="16"/>
          <w:szCs w:val="16"/>
          <w:color w:val="auto"/>
        </w:rPr>
        <w:t>addresses financial accounting and reporting for the impairment or disposal of long-lived assets. This Statement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6"/>
          <w:szCs w:val="16"/>
          <w:i w:val="1"/>
          <w:iCs w:val="1"/>
          <w:color w:val="auto"/>
        </w:rPr>
        <w:t>Topic 360</w:t>
      </w:r>
      <w:r>
        <w:rPr>
          <w:rFonts w:ascii="Arial" w:cs="Arial" w:eastAsia="Arial" w:hAnsi="Arial"/>
          <w:sz w:val="16"/>
          <w:szCs w:val="16"/>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360</w:t>
      </w:r>
      <w:r>
        <w:rPr>
          <w:rFonts w:ascii="Arial" w:cs="Arial" w:eastAsia="Arial" w:hAnsi="Arial"/>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3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based upon their respective fair market values, with the excess recorded as goodwill. Such fair market value assessments require judgments and estimates that can be affected by contract performance and other factors over time, which may cause final amounts to differ materially from original estimates. For acquisitions completed through December 27, 2009, adjustments to fair value assessments are recorded to goodwill over the purchase price allocation period (typically not exceeding twelve months). Adjustments related to income tax uncertainties through December 27, 2009, were also recorded to goodwill.</w:t>
      </w:r>
    </w:p>
    <w:p>
      <w:pPr>
        <w:spacing w:after="0" w:line="19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w:t>
      </w:r>
    </w:p>
    <w:p>
      <w:pPr>
        <w:spacing w:after="0" w:line="16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We perform our impairment test for goodwill in accordance with </w:t>
      </w:r>
      <w:r>
        <w:rPr>
          <w:rFonts w:ascii="Arial" w:cs="Arial" w:eastAsia="Arial" w:hAnsi="Arial"/>
          <w:sz w:val="16"/>
          <w:szCs w:val="16"/>
          <w:i w:val="1"/>
          <w:iCs w:val="1"/>
          <w:color w:val="auto"/>
        </w:rPr>
        <w:t>FASB ASC Topic 350 Intangibles—Goodwill and Other</w:t>
      </w:r>
      <w:r>
        <w:rPr>
          <w:rFonts w:ascii="Arial" w:cs="Arial" w:eastAsia="Arial" w:hAnsi="Arial"/>
          <w:sz w:val="16"/>
          <w:szCs w:val="16"/>
          <w:color w:val="auto"/>
        </w:rPr>
        <w:t>. We assess goodwill for impairment at the reporting unit level, which is defined as an operating segment or one level below an operating segment, referred to as a component. We determine our reporting units by fist identifying our operating segments, and then assess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 For our annual and interim impairment assessments, we identified our reporting units to be our operating segments which are Government Solutions and Public Safety and Security.</w:t>
      </w:r>
    </w:p>
    <w:p>
      <w:pPr>
        <w:spacing w:after="0" w:line="174"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perform impairment tests for goodwill as of the last day of our fiscal year, or when evidence of potential impairment exists. When it is determined that impairment has occurred, a charge to operations is recorded. In order to test for potential impairment, we use the income approach, specifically the discounted cash flow (DCF) method, to derive the fair value of each of our reporting units and in order to validate the reasonableness of the income approach, we consider the market approach, which estimates the fair value of our reporting units based upon comparable market prices to validate the reasonableness of the implied multiples from the income approach. We also consider our market capitalization based upon an average of our stock price prior to and subsequent to the date we perform our analysis and reconcile the fair value of our reporting units to our market capitalization assuming a control premium.</w:t>
      </w:r>
    </w:p>
    <w:p>
      <w:pPr>
        <w:spacing w:after="0" w:line="17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applying the income approach to our impairment test for goodwill, we make assumptions about the amount and timing of future expected cash flows; terminal growth rates, appropriate discount rates, and the control premium a controlling shareholder could be expected to pay:</w:t>
      </w:r>
    </w:p>
    <w:p>
      <w:pPr>
        <w:spacing w:after="0" w:line="153" w:lineRule="exact"/>
        <w:rPr>
          <w:sz w:val="20"/>
          <w:szCs w:val="20"/>
          <w:color w:val="auto"/>
        </w:rPr>
      </w:pPr>
    </w:p>
    <w:p>
      <w:pPr>
        <w:ind w:left="1080" w:hanging="532"/>
        <w:spacing w:after="0" w:line="294"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 and the transformation of the Company from a commercial wireless service provider to a U.S. government defense contractor. The decline in revenues on a pro forma basis after considering recent acquisitions, which was expected by us, is primarily due to the impact of the conversion of our work as a prime contractor under certain legacy small business awards to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98" w:lineRule="auto"/>
        <w:rPr>
          <w:sz w:val="20"/>
          <w:szCs w:val="20"/>
          <w:color w:val="auto"/>
        </w:rPr>
      </w:pPr>
      <w:r>
        <w:rPr>
          <w:rFonts w:ascii="Arial" w:cs="Arial" w:eastAsia="Arial" w:hAnsi="Arial"/>
          <w:sz w:val="16"/>
          <w:szCs w:val="16"/>
          <w:color w:val="auto"/>
        </w:rPr>
        <w:t>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the acquired companies is not uncommon in the government defense contractor industry for companies that have been acquisitive. Our projected growth rates take into consideration this anticipated impact on small business awards.</w:t>
      </w:r>
    </w:p>
    <w:p>
      <w:pPr>
        <w:spacing w:after="0" w:line="167" w:lineRule="exact"/>
        <w:rPr>
          <w:sz w:val="20"/>
          <w:szCs w:val="20"/>
          <w:color w:val="auto"/>
        </w:rPr>
      </w:pPr>
    </w:p>
    <w:p>
      <w:pPr>
        <w:ind w:left="1080" w:right="80"/>
        <w:spacing w:after="0" w:line="288" w:lineRule="auto"/>
        <w:rPr>
          <w:sz w:val="20"/>
          <w:szCs w:val="20"/>
          <w:color w:val="auto"/>
        </w:rPr>
      </w:pPr>
      <w:r>
        <w:rPr>
          <w:rFonts w:ascii="Arial" w:cs="Arial" w:eastAsia="Arial" w:hAnsi="Arial"/>
          <w:sz w:val="16"/>
          <w:szCs w:val="16"/>
          <w:color w:val="auto"/>
        </w:rPr>
        <w:t>The current economic conditions have negatively impacted our Public Safety and Security reporting unit's projected growth rates and cash flows as customers have delayed or cancelled capital expenditures related to the systems we provide. However, this reporting unit has no goodwill, it is significantly smaller than our Government Solutions segment and our goodwill impairment analysis is not materially affected by changes in the expected cash flows for this reporting unit. Current economic conditions have not significantly impacted our estimates of cash flows in our Government Solutions reporting unit which primarily provides services to the federal government and the DoD. Our contracts are long term in nature and are supported by significant backlog. Because our contracts are of a long term nature, a majority of our receivables are with agencies within the U. S. government or we are a subcontractor to a customer whose receivables are with the agencies within the U.S. government, we are not subject to significant short term changes in operating cash flow. As a result of our current business model, we do not have significant capital expenditure requirements.</w:t>
      </w:r>
    </w:p>
    <w:p>
      <w:pPr>
        <w:spacing w:after="0" w:line="187" w:lineRule="exact"/>
        <w:rPr>
          <w:sz w:val="20"/>
          <w:szCs w:val="20"/>
          <w:color w:val="auto"/>
        </w:rPr>
      </w:pPr>
    </w:p>
    <w:p>
      <w:pPr>
        <w:ind w:left="1080" w:right="2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spacing w:after="0" w:line="212"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183" w:lineRule="exact"/>
        <w:rPr>
          <w:rFonts w:ascii="Arial" w:cs="Arial" w:eastAsia="Arial" w:hAnsi="Arial"/>
          <w:sz w:val="16"/>
          <w:szCs w:val="16"/>
          <w:color w:val="auto"/>
        </w:rPr>
      </w:pPr>
    </w:p>
    <w:p>
      <w:pPr>
        <w:ind w:left="1080" w:right="60" w:hanging="532"/>
        <w:spacing w:after="0" w:line="294"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We use an estimated control premium in reconciling the aggregate value of our reporting units to our market capitalization. As discussed in </w:t>
      </w:r>
      <w:r>
        <w:rPr>
          <w:rFonts w:ascii="Arial" w:cs="Arial" w:eastAsia="Arial" w:hAnsi="Arial"/>
          <w:sz w:val="16"/>
          <w:szCs w:val="16"/>
          <w:i w:val="1"/>
          <w:iCs w:val="1"/>
          <w:color w:val="auto"/>
        </w:rPr>
        <w:t>Topic</w:t>
      </w:r>
      <w:r>
        <w:rPr>
          <w:rFonts w:ascii="Arial" w:cs="Arial" w:eastAsia="Arial" w:hAnsi="Arial"/>
          <w:sz w:val="16"/>
          <w:szCs w:val="16"/>
          <w:color w:val="auto"/>
        </w:rPr>
        <w:t xml:space="preserve"> </w:t>
      </w:r>
      <w:r>
        <w:rPr>
          <w:rFonts w:ascii="Arial" w:cs="Arial" w:eastAsia="Arial" w:hAnsi="Arial"/>
          <w:sz w:val="16"/>
          <w:szCs w:val="16"/>
          <w:i w:val="1"/>
          <w:iCs w:val="1"/>
          <w:color w:val="auto"/>
        </w:rPr>
        <w:t>350</w:t>
      </w:r>
      <w:r>
        <w:rPr>
          <w:rFonts w:ascii="Arial" w:cs="Arial" w:eastAsia="Arial" w:hAnsi="Arial"/>
          <w:sz w:val="16"/>
          <w:szCs w:val="16"/>
          <w:color w:val="auto"/>
        </w:rPr>
        <w:t>, control premiums may effectively cause a company's aggregate fair value of its reporting unit(s) to exceed its current market 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17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To test the sensitivity of our results to other outcomes that were reasonably likely to occur, we sensitized our forecasts for changes to revenue growth rates and operating margins, discount rates and long-term growth rates. None of these sensitized forecasts resulted in different conclusions with respect to goodwill impairment.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methodology for evaluating goodwill and intangibles for impairment is consistent with the methodology we have used in prior periods.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As a result of the assumptions used in our analyses, several factors could result in impairment of our $110.2 million goodwill and $26.5 million long-lived intangibles in future periods, including but not limited to:</w:t>
      </w:r>
    </w:p>
    <w:p>
      <w:pPr>
        <w:spacing w:after="0" w:line="199" w:lineRule="exact"/>
        <w:rPr>
          <w:sz w:val="20"/>
          <w:szCs w:val="20"/>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government solutions reporting unit;</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decreases in available government funding, including budgetary constraints affecting federal government spending generally, or specific departments or agencies;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 and</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not possible at this time to determine if an impairment charge would result from these factors, or, if it does, whether such charge would be material.</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i w:val="1"/>
          <w:iCs w:val="1"/>
          <w:color w:val="auto"/>
        </w:rPr>
        <w:t xml:space="preserve">Accounting for income taxes and tax contingencies. FASB ASC Topic 740 Income Taxes (Topic 740) </w:t>
      </w:r>
      <w:r>
        <w:rPr>
          <w:rFonts w:ascii="Arial" w:cs="Arial" w:eastAsia="Arial" w:hAnsi="Arial"/>
          <w:sz w:val="18"/>
          <w:szCs w:val="18"/>
          <w:color w:val="auto"/>
        </w:rPr>
        <w:t>provides the accounting treatment for uncertainty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taxes recognized in an enterprise's financial statements.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8"/>
          <w:szCs w:val="18"/>
          <w:i w:val="1"/>
          <w:iCs w:val="1"/>
          <w:color w:val="auto"/>
        </w:rPr>
        <w:t>Topic 740</w:t>
      </w:r>
      <w:r>
        <w:rPr>
          <w:rFonts w:ascii="Arial" w:cs="Arial" w:eastAsia="Arial" w:hAnsi="Arial"/>
          <w:sz w:val="18"/>
          <w:szCs w:val="18"/>
          <w:color w:val="auto"/>
        </w:rPr>
        <w:t xml:space="preserve"> also provides guidance on derecognizing, classification, interest and penalties, accounting in interim periods, disclosure and transition.</w:t>
      </w:r>
    </w:p>
    <w:p>
      <w:pPr>
        <w:spacing w:after="0" w:line="197"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pacing w:after="0" w:line="16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a valuation allowance at December 27, 2009,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2009 effective tax rate at December 27, 2009 for annual and interim reporting periods could be impacted if uncertain tax positions that are not recognized at December 27, 2009 are settled at an amount which differs from our estimate. Finally, during 2010 and thereafter, if we are impacted by a change in the valuation allowance as of December 27, 2009 resulting from a change in judgment regarding the realizability of deferred tax assets beyond December 27, 2009, such effect will be recognized in the interim period in which the change occurs.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i w:val="1"/>
          <w:iCs w:val="1"/>
          <w:color w:val="auto"/>
        </w:rPr>
        <w:t xml:space="preserve">Accrual for partial self-insurance. </w:t>
      </w:r>
      <w:r>
        <w:rPr>
          <w:rFonts w:ascii="Arial" w:cs="Arial" w:eastAsia="Arial" w:hAnsi="Arial"/>
          <w:sz w:val="16"/>
          <w:szCs w:val="16"/>
          <w:color w:val="auto"/>
        </w:rPr>
        <w:t>We maintain an accrual for our health and workers compensation partial self-insurance, which is a component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We also carry stop-loss insurance that provides coverage limiting our total exposure related to each medical and workers compensation claim incurred, as defined in the applicable insurance policies. The medical and workers compensation limits per claim are $50,000 and $250,000, respectively.</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Contingencies and litigation. </w:t>
      </w:r>
      <w:r>
        <w:rPr>
          <w:rFonts w:ascii="Arial" w:cs="Arial" w:eastAsia="Arial" w:hAnsi="Arial"/>
          <w:sz w:val="16"/>
          <w:szCs w:val="16"/>
          <w:color w:val="auto"/>
        </w:rPr>
        <w:t>We are currently involved in certain legal proceedings. We estimate a range of liability related to pending litigation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w:t>
      </w:r>
      <w:r>
        <w:rPr>
          <w:rFonts w:ascii="Arial" w:cs="Arial" w:eastAsia="Arial" w:hAnsi="Arial"/>
          <w:sz w:val="16"/>
          <w:szCs w:val="16"/>
          <w:i w:val="1"/>
          <w:iCs w:val="1"/>
          <w:color w:val="auto"/>
        </w:rPr>
        <w:t>FASB ASC Topic 450 Contingencies.</w:t>
      </w:r>
      <w:r>
        <w:rPr>
          <w:rFonts w:ascii="Arial" w:cs="Arial" w:eastAsia="Arial" w:hAnsi="Arial"/>
          <w:sz w:val="16"/>
          <w:szCs w:val="16"/>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Part I, Item 3 "Legal Proceedings" for additional information.</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w:t>
      </w:r>
      <w:r>
        <w:rPr>
          <w:rFonts w:ascii="Arial" w:cs="Arial" w:eastAsia="Arial" w:hAnsi="Arial"/>
          <w:sz w:val="18"/>
          <w:szCs w:val="18"/>
          <w:i w:val="1"/>
          <w:iCs w:val="1"/>
          <w:color w:val="auto"/>
        </w:rPr>
        <w:t xml:space="preserve"> FASB ASC Topic 718 Compensation—Stock Compensation (Topic 718) </w:t>
      </w:r>
      <w:r>
        <w:rPr>
          <w:rFonts w:ascii="Arial" w:cs="Arial" w:eastAsia="Arial" w:hAnsi="Arial"/>
          <w:sz w:val="18"/>
          <w:szCs w:val="18"/>
          <w:color w:val="auto"/>
        </w:rPr>
        <w:t>which requires the measurement and recognition of compensation expense for all stock-based payment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to employees and directors based on estimated fair values.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The valuation provisions of </w:t>
      </w:r>
      <w:r>
        <w:rPr>
          <w:rFonts w:ascii="Arial" w:cs="Arial" w:eastAsia="Arial" w:hAnsi="Arial"/>
          <w:sz w:val="18"/>
          <w:szCs w:val="18"/>
          <w:i w:val="1"/>
          <w:iCs w:val="1"/>
          <w:color w:val="auto"/>
        </w:rPr>
        <w:t>Topic 718</w:t>
      </w:r>
      <w:r>
        <w:rPr>
          <w:rFonts w:ascii="Arial" w:cs="Arial" w:eastAsia="Arial" w:hAnsi="Arial"/>
          <w:sz w:val="18"/>
          <w:szCs w:val="18"/>
          <w:color w:val="auto"/>
        </w:rPr>
        <w:t xml:space="preserve"> apply to new awards and to awards that are outstanding on the effective date and subsequently modified or cancelled. We use the Black-Scholes option pricing model to estimate the fair value of our stock options at the grant date. The Black-Scholes option pricing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as related to our operational performance, we exclude estimated stock-based compensation expense when evaluating the business performance of our operating segments.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 xml:space="preserve">On July 1, 2009 the Financial Accounting Standards Board officially launched the Accounting Standards Codification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as the authoritative source of generally accepted accounting principles in the United States. Rules and interpretive releases of the Securities and Exchange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Commission (SEC) under federal securities laws are also sources of authoritative GAAP for SEC registrants. </w:t>
      </w:r>
      <w:r>
        <w:rPr>
          <w:rFonts w:ascii="Arial" w:cs="Arial" w:eastAsia="Arial" w:hAnsi="Arial"/>
          <w:sz w:val="16"/>
          <w:szCs w:val="16"/>
          <w:i w:val="1"/>
          <w:iCs w:val="1"/>
          <w:color w:val="auto"/>
        </w:rPr>
        <w:t>FASB ASC Topic 105 Generally Accepted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Principles </w:t>
      </w:r>
      <w:r>
        <w:rPr>
          <w:rFonts w:ascii="Arial" w:cs="Arial" w:eastAsia="Arial" w:hAnsi="Arial"/>
          <w:sz w:val="16"/>
          <w:szCs w:val="16"/>
          <w:color w:val="auto"/>
        </w:rPr>
        <w:t>is effective for financial statements issued for interim and annual periods ending after September 15, 2009. The adoption of this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did not have a material impact on our consolidated financial position, results of operations or cash flows.</w:t>
      </w:r>
    </w:p>
    <w:p>
      <w:pPr>
        <w:spacing w:after="0" w:line="161"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 xml:space="preserve">In August 2009, the SEC issued </w:t>
      </w:r>
      <w:r>
        <w:rPr>
          <w:rFonts w:ascii="Arial" w:cs="Arial" w:eastAsia="Arial" w:hAnsi="Arial"/>
          <w:sz w:val="16"/>
          <w:szCs w:val="16"/>
          <w:i w:val="1"/>
          <w:iCs w:val="1"/>
          <w:color w:val="auto"/>
        </w:rPr>
        <w:t>Interpretive Release No. 33-9062, "Commission Guidance Regarding the Financial Accounting Standards Board's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w:t>
      </w:r>
      <w:r>
        <w:rPr>
          <w:rFonts w:ascii="Arial" w:cs="Arial" w:eastAsia="Arial" w:hAnsi="Arial"/>
          <w:sz w:val="16"/>
          <w:szCs w:val="16"/>
          <w:color w:val="auto"/>
        </w:rPr>
        <w:t>regarding the impact of the FASB Codification on certain SEC rules, regulations, and interpretive releases and staff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bulletins. The SEC advised that references to FASB standards in current SEC text should correspond to the rules in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does not supersede any SEC rules or regulations.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should not be considered the authoritative source for SEC guidance.</w:t>
      </w:r>
    </w:p>
    <w:p>
      <w:pPr>
        <w:spacing w:after="0" w:line="167"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 xml:space="preserve">The disclosure requirements of </w:t>
      </w:r>
      <w:r>
        <w:rPr>
          <w:rFonts w:ascii="Arial" w:cs="Arial" w:eastAsia="Arial" w:hAnsi="Arial"/>
          <w:sz w:val="18"/>
          <w:szCs w:val="18"/>
          <w:i w:val="1"/>
          <w:iCs w:val="1"/>
          <w:color w:val="auto"/>
        </w:rPr>
        <w:t>FASB ASC Topic 820 Fair Value Measurements and Disclosures (Topic 820)</w:t>
      </w:r>
      <w:r>
        <w:rPr>
          <w:rFonts w:ascii="Arial" w:cs="Arial" w:eastAsia="Arial" w:hAnsi="Arial"/>
          <w:sz w:val="18"/>
          <w:szCs w:val="18"/>
          <w:color w:val="auto"/>
        </w:rPr>
        <w:t xml:space="preserve">, which took effect on January 1, 2008, are presented in Note 9. On January 1, 2009, the Company implemented the previously deferred provisions of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for nonfinancial assets and liabilities recorded at fair value, as required.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disclosure requirements of </w:t>
      </w:r>
      <w:r>
        <w:rPr>
          <w:rFonts w:ascii="Arial" w:cs="Arial" w:eastAsia="Arial" w:hAnsi="Arial"/>
          <w:sz w:val="16"/>
          <w:szCs w:val="16"/>
          <w:i w:val="1"/>
          <w:iCs w:val="1"/>
          <w:color w:val="auto"/>
        </w:rPr>
        <w:t>FASB ASC Topic 815 Derivatives and Hedging</w:t>
      </w:r>
      <w:r>
        <w:rPr>
          <w:rFonts w:ascii="Arial" w:cs="Arial" w:eastAsia="Arial" w:hAnsi="Arial"/>
          <w:sz w:val="16"/>
          <w:szCs w:val="16"/>
          <w:color w:val="auto"/>
        </w:rPr>
        <w:t>, which took effect on January 1, 2009, are presented in Note 9.</w:t>
      </w:r>
    </w:p>
    <w:p>
      <w:pPr>
        <w:spacing w:after="0" w:line="24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 xml:space="preserve">The accounting requirements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which took effect on January 1, 2009, were adopted but had no impact on the Company's Consolidated Financial Statements.</w:t>
      </w:r>
    </w:p>
    <w:p>
      <w:pPr>
        <w:spacing w:after="0" w:line="186" w:lineRule="exact"/>
        <w:rPr>
          <w:sz w:val="20"/>
          <w:szCs w:val="20"/>
          <w:color w:val="auto"/>
        </w:rPr>
      </w:pPr>
    </w:p>
    <w:p>
      <w:pPr>
        <w:jc w:val="both"/>
        <w:ind w:right="120" w:firstLine="348"/>
        <w:spacing w:after="0" w:line="268" w:lineRule="auto"/>
        <w:rPr>
          <w:sz w:val="20"/>
          <w:szCs w:val="20"/>
          <w:color w:val="auto"/>
        </w:rPr>
      </w:pPr>
      <w:r>
        <w:rPr>
          <w:rFonts w:ascii="Arial" w:cs="Arial" w:eastAsia="Arial" w:hAnsi="Arial"/>
          <w:sz w:val="18"/>
          <w:szCs w:val="18"/>
          <w:color w:val="auto"/>
        </w:rPr>
        <w:t xml:space="preserve">The accounting and presentation requirements of </w:t>
      </w:r>
      <w:r>
        <w:rPr>
          <w:rFonts w:ascii="Arial" w:cs="Arial" w:eastAsia="Arial" w:hAnsi="Arial"/>
          <w:sz w:val="18"/>
          <w:szCs w:val="18"/>
          <w:i w:val="1"/>
          <w:iCs w:val="1"/>
          <w:color w:val="auto"/>
        </w:rPr>
        <w:t>FASB ASC Topic 810 Consolidation</w:t>
      </w:r>
      <w:r>
        <w:rPr>
          <w:rFonts w:ascii="Arial" w:cs="Arial" w:eastAsia="Arial" w:hAnsi="Arial"/>
          <w:sz w:val="18"/>
          <w:szCs w:val="18"/>
          <w:color w:val="auto"/>
        </w:rPr>
        <w:t>, which took effect on January 1, 2009, had no impact on the financial statements as the Company's non-controlling interests are not material.</w:t>
      </w:r>
    </w:p>
    <w:p>
      <w:pPr>
        <w:spacing w:after="0" w:line="186"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 xml:space="preserve">As of September 27, 2009, the Company implemented </w:t>
      </w:r>
      <w:r>
        <w:rPr>
          <w:rFonts w:ascii="Arial" w:cs="Arial" w:eastAsia="Arial" w:hAnsi="Arial"/>
          <w:sz w:val="16"/>
          <w:szCs w:val="16"/>
          <w:i w:val="1"/>
          <w:iCs w:val="1"/>
          <w:color w:val="auto"/>
        </w:rPr>
        <w:t>FASB ASC Topic 825 Financial Instrument (Topic 825). Topic 825</w:t>
      </w:r>
      <w:r>
        <w:rPr>
          <w:rFonts w:ascii="Arial" w:cs="Arial" w:eastAsia="Arial" w:hAnsi="Arial"/>
          <w:sz w:val="16"/>
          <w:szCs w:val="16"/>
          <w:color w:val="auto"/>
        </w:rPr>
        <w:t xml:space="preserve"> amends previous accounting literature to require disclosures about fair value of financial instruments in interim as well as in annual financial statements. The amendment changes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w:t>
      </w:r>
      <w:r>
        <w:rPr>
          <w:rFonts w:ascii="Arial" w:cs="Arial" w:eastAsia="Arial" w:hAnsi="Arial"/>
          <w:sz w:val="16"/>
          <w:szCs w:val="16"/>
          <w:i w:val="1"/>
          <w:iCs w:val="1"/>
          <w:color w:val="auto"/>
        </w:rPr>
        <w:t>Topic 270 Interim Reporting (Topic 270)</w:t>
      </w:r>
      <w:r>
        <w:rPr>
          <w:rFonts w:ascii="Arial" w:cs="Arial" w:eastAsia="Arial" w:hAnsi="Arial"/>
          <w:sz w:val="16"/>
          <w:szCs w:val="16"/>
          <w:color w:val="auto"/>
        </w:rPr>
        <w:t>, to require those disclosures in all interim financial statements.</w:t>
      </w:r>
      <w:r>
        <w:rPr>
          <w:rFonts w:ascii="Arial" w:cs="Arial" w:eastAsia="Arial" w:hAnsi="Arial"/>
          <w:sz w:val="16"/>
          <w:szCs w:val="16"/>
          <w:i w:val="1"/>
          <w:iCs w:val="1"/>
          <w:color w:val="auto"/>
        </w:rPr>
        <w:t xml:space="preserve"> Topic 825 </w:t>
      </w:r>
      <w:r>
        <w:rPr>
          <w:rFonts w:ascii="Arial" w:cs="Arial" w:eastAsia="Arial" w:hAnsi="Arial"/>
          <w:sz w:val="16"/>
          <w:szCs w:val="16"/>
          <w:color w:val="auto"/>
        </w:rPr>
        <w:t>is effective for periods ending after June 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2009. In the second quarter of 2009, the Company implemented </w:t>
      </w:r>
      <w:r>
        <w:rPr>
          <w:rFonts w:ascii="Arial" w:cs="Arial" w:eastAsia="Arial" w:hAnsi="Arial"/>
          <w:sz w:val="16"/>
          <w:szCs w:val="16"/>
          <w:i w:val="1"/>
          <w:iCs w:val="1"/>
          <w:color w:val="auto"/>
        </w:rPr>
        <w:t>Topic 825</w:t>
      </w:r>
      <w:r>
        <w:rPr>
          <w:rFonts w:ascii="Arial" w:cs="Arial" w:eastAsia="Arial" w:hAnsi="Arial"/>
          <w:sz w:val="16"/>
          <w:szCs w:val="16"/>
          <w:color w:val="auto"/>
        </w:rPr>
        <w:t xml:space="preserve"> and </w:t>
      </w:r>
      <w:r>
        <w:rPr>
          <w:rFonts w:ascii="Arial" w:cs="Arial" w:eastAsia="Arial" w:hAnsi="Arial"/>
          <w:sz w:val="16"/>
          <w:szCs w:val="16"/>
          <w:i w:val="1"/>
          <w:iCs w:val="1"/>
          <w:color w:val="auto"/>
        </w:rPr>
        <w:t>Topic 270</w:t>
      </w:r>
      <w:r>
        <w:rPr>
          <w:rFonts w:ascii="Arial" w:cs="Arial" w:eastAsia="Arial" w:hAnsi="Arial"/>
          <w:sz w:val="16"/>
          <w:szCs w:val="16"/>
          <w:color w:val="auto"/>
        </w:rPr>
        <w:t>. See Note 9, "Fair Value Measurements."</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October 2009, the FASB issued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The new standard changes the requirements for establishing separate units of accounting in a multiple element arrangement and requires the allocation of arrangement consideration to each deliverable based on the relative selling price. The selling price for each deliverable is based on vendor-specific objective evidence (VSOE) if available, third-party evidence if VSOE is not available, or estimated selling price if neither VSOE or third-party evidence is available. ASU 2009-13 is effective for revenue arrangements entered into in fiscal years beginning on or after June 15, 2010. The Company does not expect that the provisions of the new guidance will have a material effect on its Consolidated Financial Statements.</w:t>
      </w:r>
    </w:p>
    <w:p>
      <w:pPr>
        <w:spacing w:after="0" w:line="19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In February 2010, the FASB issued ASU 2010-09, </w:t>
      </w:r>
      <w:r>
        <w:rPr>
          <w:rFonts w:ascii="Arial" w:cs="Arial" w:eastAsia="Arial" w:hAnsi="Arial"/>
          <w:sz w:val="16"/>
          <w:szCs w:val="16"/>
          <w:i w:val="1"/>
          <w:iCs w:val="1"/>
          <w:color w:val="auto"/>
        </w:rPr>
        <w:t>Subsequent Events (Topic 855), Amendments to Certain Recognition and Disclosure Requirements</w:t>
      </w:r>
      <w:r>
        <w:rPr>
          <w:rFonts w:ascii="Arial" w:cs="Arial" w:eastAsia="Arial" w:hAnsi="Arial"/>
          <w:sz w:val="16"/>
          <w:szCs w:val="16"/>
          <w:color w:val="auto"/>
        </w:rPr>
        <w:t xml:space="preserve">. The amendments to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included in the ASU, among other things, eliminate the requirement that an "SEC filer" (as defined) disclose the date through which subsequent events have been evaluated in both issued and revised financial statements. This does not change the requirement that SEC filers evaluate subsequent events through the date the financial statements are issued.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exposed to market risk in connection with changes in interest rates, primarily in connection with three outstanding interest rate swaps which do not qualify for cash flow hedge accounting and balances under our credit facility with KeyBank National Association. Based on our average outstanding balances during the year ended December 27, 2009 a 1% change in the LIBOR rate would impact our financial position and results of operations by approximately $0.4 million over the next year.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Cash and cash equivalents as of December 27, 2009 were $9.9 million and are primarily invested in money market interest bearing accounts. A hypothetical</w:t>
      </w:r>
    </w:p>
    <w:p>
      <w:pPr>
        <w:spacing w:after="0" w:line="5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10% adverse change in the average interest rate on our money market cash investments would have had no material effect on net loss for the year ended December 27, 2009.</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included in Part IV Item 15(a) (1) and (2) of this Annual Report on Form 10-K.</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December 27,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Framework).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our internal control over financial reporting is effective as of December 27, 2009.</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4"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Management's assessment over our internal control over financial reporting has been audited by Grant Thornton LLP, an independent registered public accounting firm, as stated in their report appearing below, which expresses an unqualified opinion on the effectiveness of our internal control over financial reporting as of December 27,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27, 2009 that have materially affected, or are reasonably likely to materially affect, our internal control over financial reporting.</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have audited Kratos Defense &amp; Security Solutions, Inc.'s internal control over financial reporting as of December 27,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 xml:space="preserve">In our opinion, Kratos Defense &amp; Security Solutions, Inc. maintained, in all material respects, effective internal control over financial reporting as of December 27,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Kratos Defense &amp; Security Solutions, Inc. as of December 28, 2008 and December 27, 2009, and the related consolidated statements of operations, stockholders' equity and cash flows for each of the three years in the period ended December 27, 2009 and our report dated March 10, 2010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2009.</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2009.</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2009.</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2009.</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Registrant's Proxy Statement or Form 10-K/A, which we will file with the SEC within 120 days after the end of fiscal 2009.</w:t>
      </w: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 and Financial Statement Schedules</w:t>
      </w:r>
    </w:p>
    <w:p>
      <w:pPr>
        <w:spacing w:after="0" w:line="200" w:lineRule="exact"/>
        <w:rPr>
          <w:rFonts w:ascii="Arial" w:cs="Arial" w:eastAsia="Arial" w:hAnsi="Arial"/>
          <w:sz w:val="18"/>
          <w:szCs w:val="18"/>
          <w:b w:val="1"/>
          <w:bCs w:val="1"/>
          <w:i w:val="1"/>
          <w:iCs w:val="1"/>
          <w:color w:val="auto"/>
        </w:rPr>
      </w:pPr>
    </w:p>
    <w:p>
      <w:pPr>
        <w:spacing w:after="0" w:line="268" w:lineRule="exact"/>
        <w:rPr>
          <w:rFonts w:ascii="Arial" w:cs="Arial" w:eastAsia="Arial" w:hAnsi="Arial"/>
          <w:sz w:val="18"/>
          <w:szCs w:val="18"/>
          <w:b w:val="1"/>
          <w:bCs w:val="1"/>
          <w:i w:val="1"/>
          <w:iCs w:val="1"/>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Consolidated Balance Sheets as of December 28, 2008 and December 27, 2009</w:t>
      </w:r>
    </w:p>
    <w:p>
      <w:pPr>
        <w:spacing w:after="0" w:line="225" w:lineRule="exact"/>
        <w:rPr>
          <w:rFonts w:ascii="Arial" w:cs="Arial" w:eastAsia="Arial" w:hAnsi="Arial"/>
          <w:sz w:val="18"/>
          <w:szCs w:val="18"/>
          <w:color w:val="auto"/>
        </w:rPr>
      </w:pPr>
    </w:p>
    <w:p>
      <w:pPr>
        <w:ind w:left="1080" w:right="400"/>
        <w:spacing w:after="0" w:line="563" w:lineRule="auto"/>
        <w:rPr>
          <w:rFonts w:ascii="Arial" w:cs="Arial" w:eastAsia="Arial" w:hAnsi="Arial"/>
          <w:sz w:val="18"/>
          <w:szCs w:val="18"/>
          <w:color w:val="auto"/>
        </w:rPr>
      </w:pPr>
      <w:r>
        <w:rPr>
          <w:rFonts w:ascii="Arial" w:cs="Arial" w:eastAsia="Arial" w:hAnsi="Arial"/>
          <w:sz w:val="16"/>
          <w:szCs w:val="16"/>
          <w:color w:val="auto"/>
        </w:rPr>
        <w:t>Consolidated Statements of Operations for the Years Ended December 31, 2007, December 28, 2008, and December 27, 2009. Consolidated Statements of Stockholders' Equity for the Years Ended December 31, 2007, December 28, 2008, and December 27, 2009. Consolidated Statements of Cash Flows for the Years Ended December 31, 2007, December 28, 2008, and December 27, 2009.</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firstLine="341"/>
        <w:spacing w:after="0" w:line="268" w:lineRule="auto"/>
        <w:rPr>
          <w:sz w:val="20"/>
          <w:szCs w:val="20"/>
          <w:color w:val="auto"/>
        </w:rPr>
      </w:pPr>
      <w:r>
        <w:rPr>
          <w:rFonts w:ascii="Arial" w:cs="Arial" w:eastAsia="Arial" w:hAnsi="Arial"/>
          <w:sz w:val="18"/>
          <w:szCs w:val="18"/>
          <w:color w:val="auto"/>
        </w:rPr>
        <w:t>All schedules for which provision is made in the applicable accounting regulations of the SEC are not required under the related instructions or are inapplicable and therefore have been omitted.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46"/>
              <w:spacing w:after="0"/>
              <w:rPr>
                <w:sz w:val="20"/>
                <w:szCs w:val="20"/>
                <w:color w:val="auto"/>
              </w:rPr>
            </w:pPr>
            <w:r>
              <w:rPr>
                <w:rFonts w:ascii="Arial" w:cs="Arial" w:eastAsia="Arial" w:hAnsi="Arial"/>
                <w:sz w:val="18"/>
                <w:szCs w:val="18"/>
                <w:color w:val="auto"/>
              </w:rPr>
              <w:t>Exhibits</w:t>
            </w:r>
          </w:p>
        </w:tc>
        <w:tc>
          <w:tcPr>
            <w:tcW w:w="1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jc w:val="right"/>
              <w:ind w:right="307"/>
              <w:spacing w:after="0"/>
              <w:rPr>
                <w:sz w:val="20"/>
                <w:szCs w:val="20"/>
                <w:color w:val="auto"/>
              </w:rPr>
            </w:pPr>
            <w:r>
              <w:rPr>
                <w:rFonts w:ascii="Arial" w:cs="Arial" w:eastAsia="Arial" w:hAnsi="Arial"/>
                <w:sz w:val="14"/>
                <w:szCs w:val="14"/>
                <w:b w:val="1"/>
                <w:bCs w:val="1"/>
                <w:color w:val="auto"/>
              </w:rPr>
              <w:t>Incorporated by</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Reference</w:t>
            </w:r>
          </w:p>
        </w:tc>
        <w:tc>
          <w:tcPr>
            <w:tcW w:w="160" w:type="dxa"/>
            <w:vAlign w:val="bottom"/>
          </w:tcPr>
          <w:p>
            <w:pPr>
              <w:spacing w:after="0"/>
              <w:rPr>
                <w:sz w:val="14"/>
                <w:szCs w:val="14"/>
                <w:color w:val="auto"/>
              </w:rPr>
            </w:pPr>
          </w:p>
        </w:tc>
        <w:tc>
          <w:tcPr>
            <w:tcW w:w="18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18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820" w:type="dxa"/>
            <w:vAlign w:val="bottom"/>
            <w:gridSpan w:val="2"/>
          </w:tcPr>
          <w:p>
            <w:pPr>
              <w:ind w:left="226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tcPr>
          <w:p>
            <w:pPr>
              <w:jc w:val="right"/>
              <w:ind w:right="56"/>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5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Agreement and Plan of Merger, dated as of November 21, 2008, by and among</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8-K</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11/24/08</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3"/>
              </w:rPr>
              <w:t>Kratos Defense &amp; Security Solutions, Inc., Dakota Merger Sub, Inc. and Digital</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5"/>
              </w:rPr>
              <w:t>Fusion, Inc. Certain exhibits and schedules referenced in the Agreement and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Plan of Merger have been omitted in accordance with Item 601(b)(2)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3"/>
              </w:rPr>
              <w:t>Regulation S-K. A copy of the omitted exhibits and schedules will be furnished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8"/>
              </w:rPr>
              <w:t>supplementally to the Securities and Exchange Commission upon request.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4"/>
              </w:rPr>
              <w:t>Merger Agreement, dated August 8, 2006, by and among the Registrant, WFI</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08/14/06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0"/>
              </w:rPr>
              <w:t>Government Services, Inc., MRC Merger Registrant, Inc. and Madison Research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Corporation.</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Agreement dated as of March 9, 2007 by and between LCC Wireless</w:t>
            </w:r>
          </w:p>
        </w:tc>
        <w:tc>
          <w:tcPr>
            <w:tcW w:w="600" w:type="dxa"/>
            <w:vAlign w:val="bottom"/>
          </w:tcPr>
          <w:p>
            <w:pPr>
              <w:jc w:val="right"/>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12/31/06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Engineering Services Limited and the Registrant.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Equity Purchase Agreement, dated April 20, 2007, by and between the</w:t>
            </w:r>
          </w:p>
        </w:tc>
        <w:tc>
          <w:tcPr>
            <w:tcW w:w="600" w:type="dxa"/>
            <w:vAlign w:val="bottom"/>
          </w:tcPr>
          <w:p>
            <w:pPr>
              <w:jc w:val="right"/>
              <w:spacing w:after="0"/>
              <w:rPr>
                <w:sz w:val="20"/>
                <w:szCs w:val="20"/>
                <w:color w:val="auto"/>
              </w:rPr>
            </w:pPr>
            <w:r>
              <w:rPr>
                <w:rFonts w:ascii="Arial" w:cs="Arial" w:eastAsia="Arial" w:hAnsi="Arial"/>
                <w:sz w:val="18"/>
                <w:szCs w:val="18"/>
                <w:color w:val="auto"/>
              </w:rPr>
              <w:t>10-K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12/31/06</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Registrant and Strategic Project Services, LLC.</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0"/>
              </w:rPr>
              <w:t>Asset Purchase Agreement, dated May 29, 2007, by and between the Registrant</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05/30/07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and LCC International, Inc.</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2"/>
              </w:rPr>
              <w:t>Asset Purchase Agreement, dated July 7, 2007, by and between the Registrant</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07/12/07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and Burgundy Acquisition Corporation.</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5"/>
              </w:rPr>
              <w:t>Agreement and Plan of Merger, dated November 2, 2007, by and among the</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11/07/07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Registrant, Kratos Government Solutions, Inc., Haverstick Acquisition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Corporation and Haverstick Consulting, Inc.</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1"/>
              </w:rPr>
              <w:t>Agreement and Plan of Merger and Reorganization, dated February 20, 2008 by</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02/21/08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and among the Registrant, White Shadow, Inc. and SYS.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Amended and Restated Certificate of Incorporation.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10-Q</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09/30/01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Certificate of Ownership and Merger of Kratos Defense &amp; Security</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09/12/07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Solutions, Inc. into Wireless Facilities, Inc.</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w w:val="91"/>
              </w:rPr>
              <w:t>Certificate of Amendment to Amended and Restated Certificate of Incorporation</w:t>
            </w:r>
          </w:p>
        </w:tc>
        <w:tc>
          <w:tcPr>
            <w:tcW w:w="600" w:type="dxa"/>
            <w:vAlign w:val="bottom"/>
          </w:tcPr>
          <w:p>
            <w:pPr>
              <w:jc w:val="right"/>
              <w:spacing w:after="0"/>
              <w:rPr>
                <w:sz w:val="20"/>
                <w:szCs w:val="20"/>
                <w:color w:val="auto"/>
              </w:rPr>
            </w:pPr>
            <w:r>
              <w:rPr>
                <w:rFonts w:ascii="Arial" w:cs="Arial" w:eastAsia="Arial" w:hAnsi="Arial"/>
                <w:sz w:val="18"/>
                <w:szCs w:val="18"/>
                <w:color w:val="auto"/>
              </w:rPr>
              <w:t>10-Q</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09/27/09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of Kratos Defense &amp; Security Solutions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980" w:type="dxa"/>
            <w:vAlign w:val="bottom"/>
            <w:gridSpan w:val="3"/>
          </w:tcPr>
          <w:p>
            <w:pPr>
              <w:ind w:left="140"/>
              <w:spacing w:after="0"/>
              <w:rPr>
                <w:sz w:val="20"/>
                <w:szCs w:val="20"/>
                <w:color w:val="auto"/>
              </w:rPr>
            </w:pPr>
            <w:r>
              <w:rPr>
                <w:rFonts w:ascii="Arial" w:cs="Arial" w:eastAsia="Arial" w:hAnsi="Arial"/>
                <w:sz w:val="18"/>
                <w:szCs w:val="18"/>
                <w:color w:val="auto"/>
              </w:rPr>
              <w:t>Amended and Restated Bylaws of the Registrant.</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06/10/09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gridSpan w:val="2"/>
          </w:tcPr>
          <w:p>
            <w:pPr>
              <w:ind w:left="38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66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Exhibit Description</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88"/>
              </w:rPr>
              <w:t>Certificate of Designations, Preferences and Rights of Series A Preferred Stock.</w:t>
            </w:r>
          </w:p>
        </w:tc>
      </w:tr>
      <w:tr>
        <w:trPr>
          <w:trHeight w:val="451"/>
        </w:trPr>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88"/>
              </w:rPr>
              <w:t>Certificate of Designations, Preferences and Rights of Series B Preferred Stock.</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Certificate of Designation of Series C Preferred Stock.</w:t>
            </w: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Specimen Stock Certificate.</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88"/>
              </w:rPr>
              <w:t>Rights Agreement, dated as of December 16, 2004, between the Registrant and</w:t>
            </w:r>
          </w:p>
        </w:tc>
      </w:tr>
      <w:tr>
        <w:trPr>
          <w:trHeight w:val="222"/>
        </w:trPr>
        <w:tc>
          <w:tcPr>
            <w:tcW w:w="64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Wells Fargo, N.A.</w:t>
            </w:r>
          </w:p>
        </w:tc>
      </w:tr>
    </w:tbl>
    <w:p>
      <w:pPr>
        <w:spacing w:after="0" w:line="21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10.1# 1999 Equity Incentive Plan.</w:t>
      </w: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10.2# Form of Stock Option Agreement pursuant to the 1999 Equity Incentive Plan.</w:t>
      </w:r>
    </w:p>
    <w:p>
      <w:pPr>
        <w:spacing w:after="0" w:line="27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10.3# 1999 Employee Stock Purchase Plan and related offering documents.</w:t>
      </w:r>
    </w:p>
    <w:p>
      <w:pPr>
        <w:spacing w:after="0" w:line="252" w:lineRule="exact"/>
        <w:rPr>
          <w:sz w:val="20"/>
          <w:szCs w:val="20"/>
          <w:color w:val="auto"/>
        </w:rPr>
      </w:pPr>
    </w:p>
    <w:p>
      <w:pPr>
        <w:ind w:left="1940" w:right="520" w:hanging="468"/>
        <w:spacing w:after="0" w:line="299" w:lineRule="auto"/>
        <w:rPr>
          <w:sz w:val="20"/>
          <w:szCs w:val="20"/>
          <w:color w:val="auto"/>
        </w:rPr>
      </w:pPr>
      <w:r>
        <w:rPr>
          <w:rFonts w:ascii="Arial" w:cs="Arial" w:eastAsia="Arial" w:hAnsi="Arial"/>
          <w:sz w:val="18"/>
          <w:szCs w:val="18"/>
          <w:color w:val="auto"/>
        </w:rPr>
        <w:t>10.4# Form of Indemnity Agreement by and between the Registrant and certain officers and directors of the Registrant.</w:t>
      </w:r>
    </w:p>
    <w:p>
      <w:pPr>
        <w:spacing w:after="0" w:line="16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10.5# 2000 Nonstatutory Stock Option Plan.</w:t>
      </w: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10.6# Form of Stock Option Agreement and Grant Notice used in connection with the</w:t>
      </w:r>
    </w:p>
    <w:p>
      <w:pPr>
        <w:spacing w:after="0" w:line="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2000 Nonstatutory Stock Option Plan.</w:t>
      </w:r>
    </w:p>
    <w:p>
      <w:pPr>
        <w:spacing w:after="0" w:line="219" w:lineRule="exact"/>
        <w:rPr>
          <w:sz w:val="20"/>
          <w:szCs w:val="20"/>
          <w:color w:val="auto"/>
        </w:rPr>
      </w:pPr>
    </w:p>
    <w:p>
      <w:pPr>
        <w:ind w:left="1940" w:right="380" w:hanging="468"/>
        <w:spacing w:after="0" w:line="367" w:lineRule="auto"/>
        <w:rPr>
          <w:sz w:val="20"/>
          <w:szCs w:val="20"/>
          <w:color w:val="auto"/>
        </w:rPr>
      </w:pPr>
      <w:r>
        <w:rPr>
          <w:rFonts w:ascii="Arial" w:cs="Arial" w:eastAsia="Arial" w:hAnsi="Arial"/>
          <w:sz w:val="16"/>
          <w:szCs w:val="16"/>
          <w:color w:val="auto"/>
        </w:rPr>
        <w:t>10.7# Amended and Restated Severance and Change of Control Agreement dated March 28, 2006 between the Registrant and Deanna Lund.</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10.8# Nonqualified Deferred Compensation Plan.</w:t>
      </w: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10.9# 2005 Equity Incentive Plan.</w:t>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10.10# Form of Stock Option Agreement pursuant to the 2005 Equity Incentive Plan.</w:t>
      </w:r>
    </w:p>
    <w:p>
      <w:pPr>
        <w:spacing w:after="0" w:line="275" w:lineRule="exact"/>
        <w:rPr>
          <w:sz w:val="20"/>
          <w:szCs w:val="20"/>
          <w:color w:val="auto"/>
        </w:rPr>
      </w:pPr>
    </w:p>
    <w:p>
      <w:pPr>
        <w:ind w:left="1940" w:right="220" w:hanging="550"/>
        <w:spacing w:after="0" w:line="299" w:lineRule="auto"/>
        <w:rPr>
          <w:sz w:val="20"/>
          <w:szCs w:val="20"/>
          <w:color w:val="auto"/>
        </w:rPr>
      </w:pPr>
      <w:r>
        <w:rPr>
          <w:rFonts w:ascii="Arial" w:cs="Arial" w:eastAsia="Arial" w:hAnsi="Arial"/>
          <w:sz w:val="18"/>
          <w:szCs w:val="18"/>
          <w:color w:val="auto"/>
        </w:rPr>
        <w:t>10.11# Form of Restricted Stock Unit Agreement and Form of Notice of Grant under the Registrant's 2005 Equity Incentive Plan.</w:t>
      </w:r>
    </w:p>
    <w:p>
      <w:pPr>
        <w:spacing w:after="0" w:line="187" w:lineRule="exact"/>
        <w:rPr>
          <w:sz w:val="20"/>
          <w:szCs w:val="20"/>
          <w:color w:val="auto"/>
        </w:rPr>
      </w:pPr>
    </w:p>
    <w:p>
      <w:pPr>
        <w:ind w:left="1940" w:right="100" w:hanging="556"/>
        <w:spacing w:after="0" w:line="298" w:lineRule="auto"/>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First Lien Credit Agreement among Kratos Defense &amp; Security Solutions, Inc., KeyBank National Association, as Administrative Agent and Lender and the other financial institutions parties thereto and KeyBanc Capital Markets as lead arranger and book runner, dated as of December 31, 2007.</w:t>
      </w:r>
    </w:p>
    <w:p>
      <w:pPr>
        <w:spacing w:after="0" w:line="1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82"/>
              </w:rPr>
              <w:t>Reference</w:t>
            </w:r>
          </w:p>
        </w:tc>
        <w:tc>
          <w:tcPr>
            <w:tcW w:w="78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1180" w:type="dxa"/>
            <w:vAlign w:val="bottom"/>
          </w:tcPr>
          <w:p>
            <w:pPr>
              <w:jc w:val="center"/>
              <w:ind w:left="192"/>
              <w:spacing w:after="0" w:line="129" w:lineRule="exact"/>
              <w:rPr>
                <w:sz w:val="20"/>
                <w:szCs w:val="20"/>
                <w:color w:val="auto"/>
              </w:rPr>
            </w:pPr>
            <w:r>
              <w:rPr>
                <w:rFonts w:ascii="Arial" w:cs="Arial" w:eastAsia="Arial" w:hAnsi="Arial"/>
                <w:sz w:val="14"/>
                <w:szCs w:val="14"/>
                <w:b w:val="1"/>
                <w:bCs w:val="1"/>
                <w:color w:val="auto"/>
                <w:w w:val="90"/>
              </w:rPr>
              <w:t>Filing Date/</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8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Period End</w:t>
            </w:r>
          </w:p>
        </w:tc>
        <w:tc>
          <w:tcPr>
            <w:tcW w:w="7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74"/>
        </w:trPr>
        <w:tc>
          <w:tcPr>
            <w:tcW w:w="500" w:type="dxa"/>
            <w:vAlign w:val="bottom"/>
          </w:tcPr>
          <w:p>
            <w:pPr>
              <w:ind w:left="140"/>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ind w:left="132"/>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586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09/30/01</w:t>
      </w:r>
    </w:p>
    <w:p>
      <w:pPr>
        <w:spacing w:after="0" w:line="244" w:lineRule="exact"/>
        <w:rPr>
          <w:sz w:val="20"/>
          <w:szCs w:val="20"/>
          <w:color w:val="auto"/>
        </w:rPr>
      </w:pPr>
    </w:p>
    <w:p>
      <w:pPr>
        <w:ind w:left="140"/>
        <w:spacing w:after="0"/>
        <w:tabs>
          <w:tab w:leader="none" w:pos="1040" w:val="left"/>
        </w:tabs>
        <w:rPr>
          <w:sz w:val="20"/>
          <w:szCs w:val="20"/>
          <w:color w:val="auto"/>
        </w:rPr>
      </w:pPr>
      <w:r>
        <w:rPr>
          <w:rFonts w:ascii="Arial" w:cs="Arial" w:eastAsia="Arial" w:hAnsi="Arial"/>
          <w:sz w:val="18"/>
          <w:szCs w:val="18"/>
          <w:color w:val="auto"/>
        </w:rPr>
        <w:t>8-K/A</w:t>
      </w:r>
      <w:r>
        <w:rPr>
          <w:sz w:val="20"/>
          <w:szCs w:val="20"/>
          <w:color w:val="auto"/>
        </w:rPr>
        <w:tab/>
      </w:r>
      <w:r>
        <w:rPr>
          <w:rFonts w:ascii="Arial" w:cs="Arial" w:eastAsia="Arial" w:hAnsi="Arial"/>
          <w:sz w:val="15"/>
          <w:szCs w:val="15"/>
          <w:color w:val="auto"/>
        </w:rPr>
        <w:t>06/05/02</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12/17/04</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5"/>
          <w:szCs w:val="15"/>
          <w:color w:val="auto"/>
        </w:rPr>
        <w:t>08/18/99</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12/17/04</w:t>
      </w:r>
    </w:p>
    <w:p>
      <w:pPr>
        <w:spacing w:after="0" w:line="200" w:lineRule="exact"/>
        <w:rPr>
          <w:sz w:val="20"/>
          <w:szCs w:val="20"/>
          <w:color w:val="auto"/>
        </w:rPr>
      </w:pPr>
    </w:p>
    <w:p>
      <w:pPr>
        <w:spacing w:after="0" w:line="268"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5"/>
          <w:szCs w:val="15"/>
          <w:color w:val="auto"/>
        </w:rPr>
        <w:t>08/18/99</w:t>
      </w:r>
    </w:p>
    <w:p>
      <w:pPr>
        <w:spacing w:after="0" w:line="252"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5"/>
          <w:szCs w:val="15"/>
          <w:color w:val="auto"/>
        </w:rPr>
        <w:t>09/10/99</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5"/>
          <w:szCs w:val="15"/>
          <w:color w:val="auto"/>
        </w:rPr>
        <w:t>08/18/99</w:t>
      </w:r>
    </w:p>
    <w:p>
      <w:pPr>
        <w:spacing w:after="0" w:line="252"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5"/>
          <w:szCs w:val="15"/>
          <w:color w:val="auto"/>
        </w:rPr>
        <w:t>12/28/08</w:t>
      </w: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09/30/00</w:t>
      </w:r>
    </w:p>
    <w:p>
      <w:pPr>
        <w:spacing w:after="0" w:line="252"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09/30/00</w:t>
      </w: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5"/>
          <w:szCs w:val="15"/>
          <w:color w:val="auto"/>
        </w:rPr>
        <w:t>12/31/05</w:t>
      </w: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5"/>
          <w:szCs w:val="15"/>
          <w:color w:val="auto"/>
        </w:rPr>
        <w:t>12/31/05</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5"/>
          <w:szCs w:val="15"/>
          <w:color w:val="auto"/>
        </w:rPr>
        <w:t>08/01/05</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S-8</w:t>
      </w:r>
      <w:r>
        <w:rPr>
          <w:sz w:val="20"/>
          <w:szCs w:val="20"/>
          <w:color w:val="auto"/>
        </w:rPr>
        <w:tab/>
      </w:r>
      <w:r>
        <w:rPr>
          <w:rFonts w:ascii="Arial" w:cs="Arial" w:eastAsia="Arial" w:hAnsi="Arial"/>
          <w:sz w:val="15"/>
          <w:szCs w:val="15"/>
          <w:color w:val="auto"/>
        </w:rPr>
        <w:t>08/01/05</w:t>
      </w:r>
    </w:p>
    <w:p>
      <w:pPr>
        <w:spacing w:after="0" w:line="252"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01/17/07</w:t>
      </w:r>
    </w:p>
    <w:p>
      <w:pPr>
        <w:spacing w:after="0" w:line="200" w:lineRule="exact"/>
        <w:rPr>
          <w:sz w:val="20"/>
          <w:szCs w:val="20"/>
          <w:color w:val="auto"/>
        </w:rPr>
      </w:pPr>
    </w:p>
    <w:p>
      <w:pPr>
        <w:spacing w:after="0" w:line="268" w:lineRule="exact"/>
        <w:rPr>
          <w:sz w:val="20"/>
          <w:szCs w:val="20"/>
          <w:color w:val="auto"/>
        </w:rPr>
      </w:pPr>
    </w:p>
    <w:p>
      <w:pPr>
        <w:jc w:val="right"/>
        <w:ind w:right="780"/>
        <w:spacing w:after="0"/>
        <w:tabs>
          <w:tab w:leader="none" w:pos="13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01/07/08</w:t>
      </w:r>
    </w:p>
    <w:p>
      <w:pPr>
        <w:sectPr>
          <w:pgSz w:w="11900" w:h="16838" w:orient="portrait"/>
          <w:cols w:equalWidth="0" w:num="2">
            <w:col w:w="7620" w:space="160"/>
            <w:col w:w="2460"/>
          </w:cols>
          <w:pgMar w:left="240" w:top="131" w:right="1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jc w:val="right"/>
              <w:ind w:right="3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66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10.13</w:t>
            </w:r>
          </w:p>
        </w:tc>
        <w:tc>
          <w:tcPr>
            <w:tcW w:w="16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Second Lien Credit Agreement among Kratos Defense &amp; Security</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4"/>
              </w:rPr>
              <w:t>Solutions, Inc., KeyBank National Association, as Administrative Agent and</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5"/>
              </w:rPr>
              <w:t>Lender, the other financial institutions parties thereto and KeyBanc Capital</w:t>
            </w:r>
          </w:p>
        </w:tc>
      </w:tr>
      <w:tr>
        <w:trPr>
          <w:trHeight w:val="222"/>
        </w:trPr>
        <w:tc>
          <w:tcPr>
            <w:tcW w:w="64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3"/>
              </w:rPr>
              <w:t>Markets as lead arranger and book runner, dated as of December 31, 2007.</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10.14</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0"/>
              </w:rPr>
              <w:t>Amendment and Waiver of First Lien Credit Agreement, dated as of March 27,</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2008, by and among the Registrant, KeyBank National Association as</w:t>
            </w:r>
          </w:p>
        </w:tc>
      </w:tr>
      <w:tr>
        <w:trPr>
          <w:trHeight w:val="222"/>
        </w:trPr>
        <w:tc>
          <w:tcPr>
            <w:tcW w:w="64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Administrative Agent and the Lenders party thereto.</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Amendment and Waiver of Second Lien Credit Agreement, dated as of</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1"/>
              </w:rPr>
              <w:t>March 27, 2008, by and among the Registrant, KeyBank National Association</w:t>
            </w:r>
          </w:p>
        </w:tc>
      </w:tr>
      <w:tr>
        <w:trPr>
          <w:trHeight w:val="222"/>
        </w:trPr>
        <w:tc>
          <w:tcPr>
            <w:tcW w:w="64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as Administrative Agent and the Lenders party thereto.</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10.16</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89"/>
              </w:rPr>
              <w:t>Second Amendment to First Lien Credit Agreement, dated as of June 26, 2008,</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1"/>
              </w:rPr>
              <w:t>among the Registrant, KeyBank National Association, as Administrative Agent</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5"/>
              </w:rPr>
              <w:t>and Lender and the other financial institutions parties thereto and KeyBanc</w:t>
            </w:r>
          </w:p>
        </w:tc>
      </w:tr>
      <w:tr>
        <w:trPr>
          <w:trHeight w:val="222"/>
        </w:trPr>
        <w:tc>
          <w:tcPr>
            <w:tcW w:w="64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Capital Markets as lead arranger and book runner.</w:t>
            </w: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10.17</w:t>
            </w: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3"/>
              </w:rPr>
              <w:t>Second Amendment to Second Lien Credit Agreement, dated as of June 26,</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1"/>
              </w:rPr>
              <w:t>2008, among the Registrant, KeyBank National Association, as Administrative</w:t>
            </w:r>
          </w:p>
        </w:tc>
      </w:tr>
      <w:tr>
        <w:trPr>
          <w:trHeight w:val="216"/>
        </w:trPr>
        <w:tc>
          <w:tcPr>
            <w:tcW w:w="640" w:type="dxa"/>
            <w:vAlign w:val="bottom"/>
          </w:tcPr>
          <w:p>
            <w:pPr>
              <w:spacing w:after="0"/>
              <w:rPr>
                <w:sz w:val="18"/>
                <w:szCs w:val="18"/>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w w:val="91"/>
              </w:rPr>
              <w:t>Agent and Lender, the other financial institutions parties thereto and KeyBanc</w:t>
            </w:r>
          </w:p>
        </w:tc>
      </w:tr>
      <w:tr>
        <w:trPr>
          <w:trHeight w:val="222"/>
        </w:trPr>
        <w:tc>
          <w:tcPr>
            <w:tcW w:w="640" w:type="dxa"/>
            <w:vAlign w:val="bottom"/>
          </w:tcPr>
          <w:p>
            <w:pPr>
              <w:spacing w:after="0"/>
              <w:rPr>
                <w:sz w:val="19"/>
                <w:szCs w:val="19"/>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Capital Markets as lead arranger and book runner.</w:t>
            </w:r>
          </w:p>
        </w:tc>
      </w:tr>
    </w:tbl>
    <w:p>
      <w:pPr>
        <w:spacing w:after="0" w:line="210" w:lineRule="exact"/>
        <w:rPr>
          <w:sz w:val="20"/>
          <w:szCs w:val="20"/>
          <w:color w:val="auto"/>
        </w:rPr>
      </w:pPr>
    </w:p>
    <w:p>
      <w:pPr>
        <w:ind w:left="1940" w:right="680" w:hanging="556"/>
        <w:spacing w:after="0" w:line="367" w:lineRule="auto"/>
        <w:rPr>
          <w:sz w:val="20"/>
          <w:szCs w:val="20"/>
          <w:color w:val="auto"/>
        </w:rPr>
      </w:pPr>
      <w:r>
        <w:rPr>
          <w:rFonts w:ascii="Arial" w:cs="Arial" w:eastAsia="Arial" w:hAnsi="Arial"/>
          <w:sz w:val="16"/>
          <w:szCs w:val="16"/>
          <w:color w:val="auto"/>
        </w:rPr>
        <w:t>10.18# Amended and Restated Executive Employment Agreement, dated as of August 4, 2008, by and between the Registrant and Eric DeMarco.</w:t>
      </w:r>
    </w:p>
    <w:p>
      <w:pPr>
        <w:spacing w:after="0" w:line="113" w:lineRule="exact"/>
        <w:rPr>
          <w:sz w:val="20"/>
          <w:szCs w:val="20"/>
          <w:color w:val="auto"/>
        </w:rPr>
      </w:pPr>
    </w:p>
    <w:p>
      <w:pPr>
        <w:ind w:left="1940" w:right="680" w:hanging="556"/>
        <w:spacing w:after="0" w:line="367" w:lineRule="auto"/>
        <w:rPr>
          <w:sz w:val="20"/>
          <w:szCs w:val="20"/>
          <w:color w:val="auto"/>
        </w:rPr>
      </w:pPr>
      <w:r>
        <w:rPr>
          <w:rFonts w:ascii="Arial" w:cs="Arial" w:eastAsia="Arial" w:hAnsi="Arial"/>
          <w:sz w:val="16"/>
          <w:szCs w:val="16"/>
          <w:color w:val="auto"/>
        </w:rPr>
        <w:t>10.19# Amended and Restated Executive Employment Agreement, dated as of August 4, 2008, by and between the Registrant and Deanna Lund.</w:t>
      </w:r>
    </w:p>
    <w:p>
      <w:pPr>
        <w:spacing w:after="0" w:line="113" w:lineRule="exact"/>
        <w:rPr>
          <w:sz w:val="20"/>
          <w:szCs w:val="20"/>
          <w:color w:val="auto"/>
        </w:rPr>
      </w:pPr>
    </w:p>
    <w:p>
      <w:pPr>
        <w:ind w:left="1940" w:right="680" w:hanging="556"/>
        <w:spacing w:after="0" w:line="367" w:lineRule="auto"/>
        <w:rPr>
          <w:sz w:val="20"/>
          <w:szCs w:val="20"/>
          <w:color w:val="auto"/>
        </w:rPr>
      </w:pPr>
      <w:r>
        <w:rPr>
          <w:rFonts w:ascii="Arial" w:cs="Arial" w:eastAsia="Arial" w:hAnsi="Arial"/>
          <w:sz w:val="16"/>
          <w:szCs w:val="16"/>
          <w:color w:val="auto"/>
        </w:rPr>
        <w:t>10.20# Amended and Restated Executive Employment Agreement, dated as of August 4, 2008, by and between the Registrant and Laura Siegal.</w:t>
      </w:r>
    </w:p>
    <w:p>
      <w:pPr>
        <w:spacing w:after="0" w:line="113" w:lineRule="exact"/>
        <w:rPr>
          <w:sz w:val="20"/>
          <w:szCs w:val="20"/>
          <w:color w:val="auto"/>
        </w:rPr>
      </w:pPr>
    </w:p>
    <w:p>
      <w:pPr>
        <w:ind w:left="1940" w:right="680" w:hanging="556"/>
        <w:spacing w:after="0" w:line="367" w:lineRule="auto"/>
        <w:rPr>
          <w:sz w:val="20"/>
          <w:szCs w:val="20"/>
          <w:color w:val="auto"/>
        </w:rPr>
      </w:pPr>
      <w:r>
        <w:rPr>
          <w:rFonts w:ascii="Arial" w:cs="Arial" w:eastAsia="Arial" w:hAnsi="Arial"/>
          <w:sz w:val="16"/>
          <w:szCs w:val="16"/>
          <w:color w:val="auto"/>
        </w:rPr>
        <w:t>10.21# Amended and Restated Executive Employment Agreement, dated as of August 4, 2008, by and between the Registrant and Laura Siegal.</w:t>
      </w:r>
    </w:p>
    <w:p>
      <w:pPr>
        <w:spacing w:after="0" w:line="140" w:lineRule="exact"/>
        <w:rPr>
          <w:sz w:val="20"/>
          <w:szCs w:val="20"/>
          <w:color w:val="auto"/>
        </w:rPr>
      </w:pPr>
    </w:p>
    <w:p>
      <w:pPr>
        <w:ind w:left="1940" w:right="140" w:hanging="556"/>
        <w:spacing w:after="0" w:line="332" w:lineRule="auto"/>
        <w:tabs>
          <w:tab w:leader="none" w:pos="19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Placement Agent Agreement, dated as of August 27, 2009, by and between the Kratos Defense &amp; Security Solutions, Inc. and B. Riley &amp; Co., LLC</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82"/>
              </w:rPr>
              <w:t>Reference</w:t>
            </w:r>
          </w:p>
        </w:tc>
        <w:tc>
          <w:tcPr>
            <w:tcW w:w="78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1180" w:type="dxa"/>
            <w:vAlign w:val="bottom"/>
          </w:tcPr>
          <w:p>
            <w:pPr>
              <w:jc w:val="center"/>
              <w:ind w:left="192"/>
              <w:spacing w:after="0" w:line="129" w:lineRule="exact"/>
              <w:rPr>
                <w:sz w:val="20"/>
                <w:szCs w:val="20"/>
                <w:color w:val="auto"/>
              </w:rPr>
            </w:pPr>
            <w:r>
              <w:rPr>
                <w:rFonts w:ascii="Arial" w:cs="Arial" w:eastAsia="Arial" w:hAnsi="Arial"/>
                <w:sz w:val="14"/>
                <w:szCs w:val="14"/>
                <w:b w:val="1"/>
                <w:bCs w:val="1"/>
                <w:color w:val="auto"/>
                <w:w w:val="90"/>
              </w:rPr>
              <w:t>Filing Date/</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18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Period End</w:t>
            </w:r>
          </w:p>
        </w:tc>
        <w:tc>
          <w:tcPr>
            <w:tcW w:w="78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74"/>
        </w:trPr>
        <w:tc>
          <w:tcPr>
            <w:tcW w:w="500" w:type="dxa"/>
            <w:vAlign w:val="bottom"/>
          </w:tcPr>
          <w:p>
            <w:pPr>
              <w:ind w:left="140"/>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ind w:left="132"/>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586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32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01/07/08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04/02/08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04/02/08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06/28/08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06/28/08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06/29/08</w:t>
      </w:r>
    </w:p>
    <w:p>
      <w:pPr>
        <w:spacing w:after="0" w:line="200" w:lineRule="exact"/>
        <w:rPr>
          <w:sz w:val="20"/>
          <w:szCs w:val="20"/>
          <w:color w:val="auto"/>
        </w:rPr>
      </w:pPr>
    </w:p>
    <w:p>
      <w:pPr>
        <w:spacing w:after="0" w:line="268"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08/27/09</w:t>
      </w:r>
    </w:p>
    <w:p>
      <w:pPr>
        <w:sectPr>
          <w:pgSz w:w="11900" w:h="16838" w:orient="portrait"/>
          <w:cols w:equalWidth="0" w:num="2">
            <w:col w:w="7620" w:space="160"/>
            <w:col w:w="2460"/>
          </w:cols>
          <w:pgMar w:left="240" w:top="131"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3"/>
          </w:tcPr>
          <w:p>
            <w:pPr>
              <w:jc w:val="right"/>
              <w:ind w:right="307"/>
              <w:spacing w:after="0"/>
              <w:rPr>
                <w:sz w:val="20"/>
                <w:szCs w:val="20"/>
                <w:color w:val="auto"/>
              </w:rPr>
            </w:pPr>
            <w:r>
              <w:rPr>
                <w:rFonts w:ascii="Arial" w:cs="Arial" w:eastAsia="Arial" w:hAnsi="Arial"/>
                <w:sz w:val="14"/>
                <w:szCs w:val="14"/>
                <w:b w:val="1"/>
                <w:bCs w:val="1"/>
                <w:color w:val="auto"/>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Reference</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Filed-</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64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94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600" w:type="dxa"/>
            <w:vAlign w:val="bottom"/>
          </w:tcPr>
          <w:p>
            <w:pPr>
              <w:jc w:val="right"/>
              <w:ind w:right="61"/>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7"/>
                <w:szCs w:val="17"/>
                <w:color w:val="auto"/>
              </w:rPr>
            </w:pPr>
          </w:p>
        </w:tc>
        <w:tc>
          <w:tcPr>
            <w:tcW w:w="56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6"/>
              </w:rPr>
              <w:t>Third Amendment to First Lien Credit Agreement, dated as of October 16,</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10-Q</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09/27/09</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3"/>
              </w:rPr>
              <w:t>2009, among the Registrant, Key Bank National Association, as Administrative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Agent and Lender and other financial institutions parties thereto.</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10.24</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5"/>
              </w:rPr>
              <w:t>Third Amendment to Second Lien Credit Agreement, dated as of October 16,</w:t>
            </w:r>
          </w:p>
        </w:tc>
        <w:tc>
          <w:tcPr>
            <w:tcW w:w="600" w:type="dxa"/>
            <w:vAlign w:val="bottom"/>
          </w:tcPr>
          <w:p>
            <w:pPr>
              <w:jc w:val="right"/>
              <w:spacing w:after="0"/>
              <w:rPr>
                <w:sz w:val="20"/>
                <w:szCs w:val="20"/>
                <w:color w:val="auto"/>
              </w:rPr>
            </w:pPr>
            <w:r>
              <w:rPr>
                <w:rFonts w:ascii="Arial" w:cs="Arial" w:eastAsia="Arial" w:hAnsi="Arial"/>
                <w:sz w:val="18"/>
                <w:szCs w:val="18"/>
                <w:color w:val="auto"/>
              </w:rPr>
              <w:t>10-Q</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09/27/09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3"/>
              </w:rPr>
              <w:t>2009, among the Registrant, Key Bank National Association, as Administrative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Agent and Lender and other financial institutions parties thereto.</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2"/>
              </w:rPr>
              <w:t>Settlement Agreement and General Release of Claims, dated as of October 16,</w:t>
            </w:r>
          </w:p>
        </w:tc>
        <w:tc>
          <w:tcPr>
            <w:tcW w:w="600" w:type="dxa"/>
            <w:vAlign w:val="bottom"/>
          </w:tcPr>
          <w:p>
            <w:pPr>
              <w:jc w:val="right"/>
              <w:spacing w:after="0"/>
              <w:rPr>
                <w:sz w:val="20"/>
                <w:szCs w:val="20"/>
                <w:color w:val="auto"/>
              </w:rPr>
            </w:pPr>
            <w:r>
              <w:rPr>
                <w:rFonts w:ascii="Arial" w:cs="Arial" w:eastAsia="Arial" w:hAnsi="Arial"/>
                <w:sz w:val="18"/>
                <w:szCs w:val="18"/>
                <w:color w:val="auto"/>
              </w:rPr>
              <w:t>10-Q</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09/27/09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2009, among the Registrant, Key Bank National Association, Field Point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III, Ltd., and SPF CDO I, Ltd.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2"/>
              </w:rPr>
              <w:t>Sublease Agreement, dated as of December 17, 2009, by and between Amylin</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1"/>
              </w:rPr>
              <w:t>Pharmaceuticals, Inc. (Sublessor) and Kratos Defense &amp; Security Solutions, Inc.</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(Sublessee)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List of Subsidiaries.</w:t>
            </w:r>
          </w:p>
        </w:tc>
        <w:tc>
          <w:tcPr>
            <w:tcW w:w="6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08/27/09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31.1</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2"/>
              </w:rPr>
              <w:t>Certification of Chief Executive Officer pursuant to Section 302 of the Sarbanes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Oxley Act of 2002.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w w:val="93"/>
              </w:rPr>
              <w:t>Certification of Chief Financial Officer pursuant to Section 302 of the Sarbanes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Oxley Act of 2002.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 for Eric M. DeMarco.</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98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 for Deanna Lund.</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required to be filed as an exhibit to this form.</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2010</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ind w:left="552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c>
          <w:tcPr>
            <w:tcW w:w="392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2"/>
              </w:rPr>
              <w:t>Eric M. DeMarco</w:t>
            </w:r>
          </w:p>
        </w:tc>
        <w:tc>
          <w:tcPr>
            <w:tcW w:w="39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DEANNA H. LUND</w:t>
            </w:r>
          </w:p>
        </w:tc>
        <w:tc>
          <w:tcPr>
            <w:tcW w:w="3920" w:type="dxa"/>
            <w:vAlign w:val="bottom"/>
          </w:tcPr>
          <w:p>
            <w:pPr>
              <w:ind w:left="160"/>
              <w:spacing w:after="0"/>
              <w:rPr>
                <w:sz w:val="20"/>
                <w:szCs w:val="20"/>
                <w:color w:val="auto"/>
              </w:rPr>
            </w:pPr>
            <w:r>
              <w:rPr>
                <w:rFonts w:ascii="Arial" w:cs="Arial" w:eastAsia="Arial" w:hAnsi="Arial"/>
                <w:sz w:val="18"/>
                <w:szCs w:val="18"/>
                <w:color w:val="auto"/>
                <w:w w:val="96"/>
              </w:rPr>
              <w:t>Executive Vice President, Chief Financial Officer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vMerge w:val="restart"/>
          </w:tcPr>
          <w:p>
            <w:pPr>
              <w:ind w:left="160"/>
              <w:spacing w:after="0"/>
              <w:rPr>
                <w:sz w:val="20"/>
                <w:szCs w:val="20"/>
                <w:color w:val="auto"/>
              </w:rPr>
            </w:pPr>
            <w:r>
              <w:rPr>
                <w:rFonts w:ascii="Arial" w:cs="Arial" w:eastAsia="Arial" w:hAnsi="Arial"/>
                <w:sz w:val="18"/>
                <w:szCs w:val="18"/>
                <w:color w:val="auto"/>
              </w:rPr>
              <w:t>(Principal Financial Officer)</w:t>
            </w: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8"/>
              </w:rPr>
              <w:t>Deanna H. Lund</w:t>
            </w:r>
          </w:p>
        </w:tc>
        <w:tc>
          <w:tcPr>
            <w:tcW w:w="39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LAURA L. SIEGAL</w:t>
            </w:r>
          </w:p>
        </w:tc>
        <w:tc>
          <w:tcPr>
            <w:tcW w:w="3920" w:type="dxa"/>
            <w:vAlign w:val="bottom"/>
          </w:tcPr>
          <w:p>
            <w:pPr>
              <w:ind w:left="160"/>
              <w:spacing w:after="0"/>
              <w:rPr>
                <w:sz w:val="20"/>
                <w:szCs w:val="20"/>
                <w:color w:val="auto"/>
              </w:rPr>
            </w:pPr>
            <w:r>
              <w:rPr>
                <w:rFonts w:ascii="Arial" w:cs="Arial" w:eastAsia="Arial" w:hAnsi="Arial"/>
                <w:sz w:val="18"/>
                <w:szCs w:val="18"/>
                <w:color w:val="auto"/>
              </w:rPr>
              <w:t>Vice President and Corporate Controller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vMerge w:val="restart"/>
          </w:tcPr>
          <w:p>
            <w:pPr>
              <w:ind w:left="160"/>
              <w:spacing w:after="0"/>
              <w:rPr>
                <w:sz w:val="20"/>
                <w:szCs w:val="20"/>
                <w:color w:val="auto"/>
              </w:rPr>
            </w:pPr>
            <w:r>
              <w:rPr>
                <w:rFonts w:ascii="Arial" w:cs="Arial" w:eastAsia="Arial" w:hAnsi="Arial"/>
                <w:sz w:val="18"/>
                <w:szCs w:val="18"/>
                <w:color w:val="auto"/>
              </w:rPr>
              <w:t>(Principal Accounting Officer)</w:t>
            </w: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Laura L. Siegal</w:t>
            </w:r>
          </w:p>
        </w:tc>
        <w:tc>
          <w:tcPr>
            <w:tcW w:w="39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SCOTT ANDERSON</w:t>
            </w:r>
          </w:p>
        </w:tc>
        <w:tc>
          <w:tcPr>
            <w:tcW w:w="3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Scott Anderson</w:t>
            </w:r>
          </w:p>
        </w:tc>
        <w:tc>
          <w:tcPr>
            <w:tcW w:w="3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BANDEL CARANO</w:t>
            </w:r>
          </w:p>
        </w:tc>
        <w:tc>
          <w:tcPr>
            <w:tcW w:w="3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6"/>
              </w:rPr>
              <w:t>Bandel Carano</w:t>
            </w:r>
          </w:p>
        </w:tc>
        <w:tc>
          <w:tcPr>
            <w:tcW w:w="3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/s/ SCOT JARVIS</w:t>
            </w:r>
          </w:p>
        </w:tc>
        <w:tc>
          <w:tcPr>
            <w:tcW w:w="3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6"/>
              </w:rPr>
              <w:t>Scot Jarvis</w:t>
            </w:r>
          </w:p>
        </w:tc>
        <w:tc>
          <w:tcPr>
            <w:tcW w:w="3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SAM LIBERATORE</w:t>
            </w:r>
          </w:p>
        </w:tc>
        <w:tc>
          <w:tcPr>
            <w:tcW w:w="3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Sam Liberatore</w:t>
            </w:r>
          </w:p>
        </w:tc>
        <w:tc>
          <w:tcPr>
            <w:tcW w:w="3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/s/ WILLIAM HOGLUND</w:t>
            </w:r>
          </w:p>
        </w:tc>
        <w:tc>
          <w:tcPr>
            <w:tcW w:w="39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26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William Hoglund</w:t>
            </w:r>
          </w:p>
        </w:tc>
        <w:tc>
          <w:tcPr>
            <w:tcW w:w="3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20" w:type="dxa"/>
            <w:vAlign w:val="bottom"/>
          </w:tcPr>
          <w:p>
            <w:pPr>
              <w:ind w:left="880"/>
              <w:spacing w:after="0"/>
              <w:rPr>
                <w:sz w:val="20"/>
                <w:szCs w:val="20"/>
                <w:color w:val="auto"/>
              </w:rPr>
            </w:pPr>
            <w:r>
              <w:rPr>
                <w:rFonts w:ascii="Arial" w:cs="Arial" w:eastAsia="Arial" w:hAnsi="Arial"/>
                <w:sz w:val="18"/>
                <w:szCs w:val="18"/>
                <w:color w:val="auto"/>
              </w:rPr>
              <w:t>69</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Kratos Defense &amp; Security Solutions, Inc. as of December 28, 2008 and December 27, 2009, and the related consolidated statements of operations, stockholders' equity, and cash flows for each of the three years in the period ended December 27, 2009.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Kratos Defense &amp; Security Solutions, Inc. as of December 28, 2008 and December 27, 2009, and the results of its operations and its cash flows for each of the three years in the period ended December 27, 2009 in conformity with accounting principles generally accepted in the United States of America.</w:t>
      </w:r>
    </w:p>
    <w:p>
      <w:pPr>
        <w:spacing w:after="0" w:line="16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Kratos Defense &amp; Security Solutions, Inc.'s internal control over financial reporting as of December 27,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10, 2010 expressed an unqualified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December 28, 2008 and December 27, 2009</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 current assets of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Deferred income tax liability</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 for contingent acquisition consideration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Non current liabilities of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5,000,000 shares authorized Series B Convertible Preferred Stock, $.001 par value,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10,000 shares outstanding at December 28, 2008 and December 27, 2009 (liquidation preference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 million at December 27, 2009)</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w w:val="93"/>
              </w:rPr>
              <w:t>Common stock, $.001 par value, 195,000,000 shares authorized; 12,816,963 and 15,784,591 shares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issued and outstanding at December 28, 2008 and December 27, 2009, respectively</w:t>
            </w: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(356.6)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(398.1)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SECURITIES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Years ended December 31, 2007, December 28, 2008, and December 27, 2009</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0"/>
              </w:rPr>
              <w:t>Recovery of unauthorized issuance of stock options, stock option investigation and related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fees, and litigation settlement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Impairments and adjustments to the liability for unused office space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loss from continuing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Impairment of investments in unconsolidated affiliates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vMerge w:val="restart"/>
          </w:tcPr>
          <w:p>
            <w:pPr>
              <w:ind w:left="260"/>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loss per common share:</w:t>
            </w: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continuing operations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 per common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loss per common share:</w:t>
            </w: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continuing operations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 per common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Years ended December 31, 2007, December 28, 2008, and December 27, 2009</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6"/>
              </w:rPr>
              <w:t>Preferred Stock</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106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jc w:val="right"/>
              <w:ind w:right="952"/>
              <w:spacing w:after="0"/>
              <w:rPr>
                <w:sz w:val="20"/>
                <w:szCs w:val="20"/>
                <w:color w:val="auto"/>
              </w:rPr>
            </w:pPr>
            <w:r>
              <w:rPr>
                <w:rFonts w:ascii="Arial" w:cs="Arial" w:eastAsia="Arial" w:hAnsi="Arial"/>
                <w:sz w:val="18"/>
                <w:szCs w:val="18"/>
                <w:b w:val="1"/>
                <w:bCs w:val="1"/>
                <w:color w:val="auto"/>
                <w:w w:val="85"/>
              </w:rPr>
              <w:t>Balance, December 31, 2006</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5"/>
              </w:rPr>
              <w:t>Issuance of common stock for exercise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of stock options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Common stock issued for acquisitions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Paid-in capital for contingent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acquisition consideration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 xml:space="preserve">Adjustment for initial adoption of </w:t>
            </w:r>
            <w:r>
              <w:rPr>
                <w:rFonts w:ascii="Arial" w:cs="Arial" w:eastAsia="Arial" w:hAnsi="Arial"/>
                <w:sz w:val="18"/>
                <w:szCs w:val="18"/>
                <w:i w:val="1"/>
                <w:iCs w:val="1"/>
                <w:color w:val="auto"/>
                <w:w w:val="96"/>
              </w:rPr>
              <w:t>FASB</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ASC 740 Income Taxes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Net loss and total comprehensive loss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jc w:val="right"/>
              <w:ind w:right="952"/>
              <w:spacing w:after="0"/>
              <w:rPr>
                <w:sz w:val="20"/>
                <w:szCs w:val="20"/>
                <w:color w:val="auto"/>
              </w:rPr>
            </w:pPr>
            <w:r>
              <w:rPr>
                <w:rFonts w:ascii="Arial" w:cs="Arial" w:eastAsia="Arial" w:hAnsi="Arial"/>
                <w:sz w:val="18"/>
                <w:szCs w:val="18"/>
                <w:b w:val="1"/>
                <w:bCs w:val="1"/>
                <w:color w:val="auto"/>
                <w:w w:val="86"/>
              </w:rPr>
              <w:t>Balance, December 31, 2007</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Stock issued for Employee Stock</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 Plan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8"/>
              </w:rPr>
              <w:t>Common stock issued for acquisitions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issued for acquisitions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Paid in capital and common stock</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issued for contingent consideration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w w:val="98"/>
              </w:rPr>
              <w:t>Net loss and total comprehensive loss</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jc w:val="right"/>
              <w:ind w:right="952"/>
              <w:spacing w:after="0"/>
              <w:rPr>
                <w:sz w:val="20"/>
                <w:szCs w:val="20"/>
                <w:color w:val="auto"/>
              </w:rPr>
            </w:pPr>
            <w:r>
              <w:rPr>
                <w:rFonts w:ascii="Arial" w:cs="Arial" w:eastAsia="Arial" w:hAnsi="Arial"/>
                <w:sz w:val="18"/>
                <w:szCs w:val="18"/>
                <w:b w:val="1"/>
                <w:bCs w:val="1"/>
                <w:color w:val="auto"/>
                <w:w w:val="85"/>
              </w:rPr>
              <w:t>Balance, December 28, 2008</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vMerge w:val="restart"/>
          </w:tcPr>
          <w:p>
            <w:pPr>
              <w:ind w:left="120"/>
              <w:spacing w:after="0"/>
              <w:rPr>
                <w:sz w:val="20"/>
                <w:szCs w:val="20"/>
                <w:color w:val="auto"/>
              </w:rPr>
            </w:pPr>
            <w:r>
              <w:rPr>
                <w:rFonts w:ascii="Arial" w:cs="Arial" w:eastAsia="Arial" w:hAnsi="Arial"/>
                <w:sz w:val="18"/>
                <w:szCs w:val="18"/>
                <w:color w:val="auto"/>
              </w:rPr>
              <w:t>Stock issued for Employee Stock</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Purchase Plan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Issuance of common stock for exercise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stock options and warrants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Paid in capital and common stock</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issued for contingent consideration</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Net loss and total comprehensive loss</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jc w:val="right"/>
              <w:ind w:right="952"/>
              <w:spacing w:after="0"/>
              <w:rPr>
                <w:sz w:val="20"/>
                <w:szCs w:val="20"/>
                <w:color w:val="auto"/>
              </w:rPr>
            </w:pPr>
            <w:r>
              <w:rPr>
                <w:rFonts w:ascii="Arial" w:cs="Arial" w:eastAsia="Arial" w:hAnsi="Arial"/>
                <w:sz w:val="18"/>
                <w:szCs w:val="18"/>
                <w:b w:val="1"/>
                <w:bCs w:val="1"/>
                <w:color w:val="auto"/>
                <w:w w:val="86"/>
              </w:rPr>
              <w:t>Balance, December 27, 2009</w:t>
            </w: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20" w:type="dxa"/>
            <w:vAlign w:val="bottom"/>
          </w:tcPr>
          <w:p>
            <w:pPr>
              <w:jc w:val="right"/>
              <w:ind w:right="242"/>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420" w:type="dxa"/>
            <w:vAlign w:val="bottom"/>
          </w:tcPr>
          <w:p>
            <w:pPr>
              <w:jc w:val="right"/>
              <w:ind w:right="242"/>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2007, December 28, 2008, and December 27, 2009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(40.8)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(111.1)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Loss from discontinued operations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820" w:type="dxa"/>
            <w:vAlign w:val="bottom"/>
            <w:vMerge w:val="restart"/>
          </w:tcPr>
          <w:p>
            <w:pPr>
              <w:ind w:left="120"/>
              <w:spacing w:after="0"/>
              <w:rPr>
                <w:sz w:val="20"/>
                <w:szCs w:val="20"/>
                <w:color w:val="auto"/>
              </w:rPr>
            </w:pPr>
            <w:r>
              <w:rPr>
                <w:rFonts w:ascii="Arial" w:cs="Arial" w:eastAsia="Arial" w:hAnsi="Arial"/>
                <w:sz w:val="18"/>
                <w:szCs w:val="18"/>
                <w:color w:val="auto"/>
              </w:rPr>
              <w:t>Loss from continuing operations</w:t>
            </w: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Adjustments to reconcile loss from continuing operations to net cash provided by (used in)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activities from continuing operations: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Accrual for litigation settlement</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 impairment charges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Asset impairment charges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Disposal of property and equipment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Accelerated amortization of deferred financing costs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doubtful accounts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 to market on swaps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Change in accrual for unused office space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asset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Deferred income tax liability</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 for contingent acquisition consideration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Income tax receivable and payable</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 for unused office space</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8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Investing activities:</w:t>
            </w: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9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Sale/maturity of short-term investments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transferred (to) from restricted cash</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80" w:type="dxa"/>
            <w:vAlign w:val="bottom"/>
            <w:gridSpan w:val="2"/>
            <w:vMerge w:val="restart"/>
          </w:tcPr>
          <w:p>
            <w:pPr>
              <w:jc w:val="right"/>
              <w:ind w:right="2092"/>
              <w:spacing w:after="0"/>
              <w:rPr>
                <w:sz w:val="20"/>
                <w:szCs w:val="20"/>
                <w:color w:val="auto"/>
              </w:rPr>
            </w:pPr>
            <w:r>
              <w:rPr>
                <w:rFonts w:ascii="Arial" w:cs="Arial" w:eastAsia="Arial" w:hAnsi="Arial"/>
                <w:sz w:val="18"/>
                <w:szCs w:val="18"/>
                <w:color w:val="auto"/>
              </w:rPr>
              <w:t>74</w:t>
            </w: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79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Years ended December 31, 2007, December 28, 2008, and December 27, 2009</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Proceeds from exercise of restricted stock units, employee stock options, and employee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purchase plan</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Repayments under credit facility</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Net cash flows from continuing operations</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Operating cash flows</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cash flows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Financing cash flows</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vMerge w:val="restart"/>
          </w:tcPr>
          <w:p>
            <w:pPr>
              <w:ind w:left="260"/>
              <w:spacing w:after="0"/>
              <w:rPr>
                <w:sz w:val="20"/>
                <w:szCs w:val="20"/>
                <w:color w:val="auto"/>
              </w:rPr>
            </w:pPr>
            <w:r>
              <w:rPr>
                <w:rFonts w:ascii="Arial" w:cs="Arial" w:eastAsia="Arial" w:hAnsi="Arial"/>
                <w:sz w:val="18"/>
                <w:szCs w:val="18"/>
                <w:color w:val="auto"/>
              </w:rPr>
              <w:t>Net cash flows from discontinued operations</w:t>
            </w: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during the year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Net cash (received) paid during the year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Common stock and stock options issued for acquisitions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Paid in capital for contingent acquisition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Liability for contingent cash consideration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transactions: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Fair value of assets acquired in acquisitions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111.1</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assets financed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Liabilities assumed in acquisitions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Kratos Defense &amp; Security Solutions, Inc. (Kratos or the Company) was initially incorporated in the state of New York on December 19, 1994, commenced operations in March 1995 and was reincorporated in Delaware in 1998. The Company is an innovative provider of mission critical engineering, information technology (IT) services and warfighter solutions. It works primarily for the U.S. government and federal government agencies, but it also performs work for state and local agencies and commercial customers. Its principal services are related to, but are not limited to, Command, Control, Communications, Computing, Combat Systems, Intelligence, Surveillance and Reconnaissance (C5ISR);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systems; and advanced network engineering and information technology services. The Company offers its customers solutions and expertise to support their mission critical needs by leveraging its skills across its core service areas.</w:t>
      </w:r>
    </w:p>
    <w:p>
      <w:pPr>
        <w:spacing w:after="0" w:line="17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Company's business consists of two reportable segments: (1) Kratos Government Solutions (KGS) which provides engineering, information technology and weapons systems to federal, state, and local government agencies, but primarily the DoD; and (2) Public Safety and Security (PSS), which provides system design, deployment, integration, monitoring and support services for public safety, security and surveillance networks for state and local governments and commercial customers.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Prior to 2008, the Company was also an independent provider of outsourced engineering and network deployment services, security systems engineering and integration services and other technical services for the wireless communications industry, the U.S. government and enterprise customers. In 2006 and 2007, the Company undertook a transformation strategy whereby it divested its commercial wireless-related businesses and chose to pursue business with the federal government, primarily the DoD, through strategic acquisitions.</w:t>
      </w:r>
    </w:p>
    <w:p>
      <w:pPr>
        <w:spacing w:after="0" w:line="19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On September 12, 2007, the Company changed its name from Wireless Facilities, Inc. to Kratos Defense &amp; Security Solutions, Inc. The Company's new name reflects its revised focus as a defense contractor and security systems integrator for the federal government and for state and local agencies. In connection with its name change, the Company changed its NASDAQ Global Market trading symbol to "KTOS". All previous financial statements prior to September 12, 2007 were issued under the Company's previous name, Wireless Facilities,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has no significant influence over the affiliates.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32" w:lineRule="exact"/>
        <w:rPr>
          <w:sz w:val="20"/>
          <w:szCs w:val="20"/>
          <w:color w:val="auto"/>
        </w:rPr>
      </w:pPr>
    </w:p>
    <w:p>
      <w:pPr>
        <w:ind w:right="80" w:firstLine="348"/>
        <w:spacing w:after="0" w:line="228" w:lineRule="auto"/>
        <w:rPr>
          <w:sz w:val="20"/>
          <w:szCs w:val="20"/>
          <w:color w:val="auto"/>
        </w:rPr>
      </w:pPr>
      <w:r>
        <w:rPr>
          <w:rFonts w:ascii="Arial" w:cs="Arial" w:eastAsia="Arial" w:hAnsi="Arial"/>
          <w:sz w:val="18"/>
          <w:szCs w:val="18"/>
          <w:color w:val="auto"/>
        </w:rPr>
        <w:t>The Company's year end was on the last day of the year,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with interim fiscal periods ending on the last day of the calendar month of each quarter for the fiscal year 2007. In 2008 and 2009, the Company's year end was the last Sunday of the year with interim fiscal periods ending on the last Sunday of the last month of each calendar quarter. The fiscal years ended December 31, 2007, December 28, 2008, and December 27, 2009 all contained 52 calendar weeks.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Reclassifications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balance sheets and statements of operations and cash flows have been reclassified to present the discontinued operations of the Company's Southeast division of the Public Safety &amp; Security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Use of Estimates</w:t>
      </w:r>
    </w:p>
    <w:p>
      <w:pPr>
        <w:spacing w:after="0" w:line="231"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and uncertain tax positions,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53"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On September 10, 2009, the Company completed a 1-for-10 reverse split of its common stock. All common stock, stock options, and warrants to purchase common stock and earnings per share amounts have been retroactively restated as if the reverse stock split occurred at the beginning of the periods presented.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Revenue Recognition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generates almost all of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Staff Accounting Bulletin 104 "</w:t>
      </w:r>
      <w:r>
        <w:rPr>
          <w:rFonts w:ascii="Arial" w:cs="Arial" w:eastAsia="Arial" w:hAnsi="Arial"/>
          <w:sz w:val="18"/>
          <w:szCs w:val="18"/>
          <w:i w:val="1"/>
          <w:iCs w:val="1"/>
          <w:color w:val="auto"/>
        </w:rPr>
        <w:t>Revenue Recognition</w:t>
      </w:r>
      <w:r>
        <w:rPr>
          <w:rFonts w:ascii="Arial" w:cs="Arial" w:eastAsia="Arial" w:hAnsi="Arial"/>
          <w:sz w:val="18"/>
          <w:szCs w:val="18"/>
          <w:color w:val="auto"/>
        </w:rPr>
        <w:t>" (SAB 104). SAB 104 generally requires revenue to be deferred until all of the following have occurred: (1) there is a contract in place, (2) delivery has occurred, (3) the price is fixed or determinable, and (4) collectability is reasonably assured. Revenues on fixed- 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20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 xml:space="preserve">A portion of the fixed price-completion contracts are within the scope of the Financial Accounting Standards Board Accounting Standards Codification </w:t>
      </w:r>
      <w:r>
        <w:rPr>
          <w:rFonts w:ascii="Arial" w:cs="Arial" w:eastAsia="Arial" w:hAnsi="Arial"/>
          <w:sz w:val="16"/>
          <w:szCs w:val="16"/>
          <w:i w:val="1"/>
          <w:iCs w:val="1"/>
          <w:color w:val="auto"/>
        </w:rPr>
        <w:t>(FASB ASC) Topic 605 Revenue Recognition (Topic 605)</w:t>
      </w:r>
      <w:r>
        <w:rPr>
          <w:rFonts w:ascii="Arial" w:cs="Arial" w:eastAsia="Arial" w:hAnsi="Arial"/>
          <w:sz w:val="16"/>
          <w:szCs w:val="16"/>
          <w:color w:val="auto"/>
        </w:rPr>
        <w:t>. For these contracts, revenue is recognized using the percentage-of-completion method based on the ratio</w:t>
      </w:r>
      <w:r>
        <w:rPr>
          <w:rFonts w:ascii="Arial" w:cs="Arial" w:eastAsia="Arial" w:hAnsi="Arial"/>
          <w:sz w:val="16"/>
          <w:szCs w:val="16"/>
          <w:i w:val="1"/>
          <w:iCs w:val="1"/>
          <w:color w:val="auto"/>
        </w:rPr>
        <w:t xml:space="preserve"> </w:t>
      </w:r>
      <w:r>
        <w:rPr>
          <w:rFonts w:ascii="Arial" w:cs="Arial" w:eastAsia="Arial" w:hAnsi="Arial"/>
          <w:sz w:val="16"/>
          <w:szCs w:val="16"/>
          <w:color w:val="auto"/>
        </w:rPr>
        <w:t>of total costs incurred to date compared to estimated total costs to complete the contract. Estimates of costs to complete include material, direct labor, overhead, and allowable indirect expenses for government contracts. These cost estimates are reviewed and, if necessary, revised monthly on a contract-by-contract basis. If, as a result of this review, management determines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the funded contract value, the Company may defer those costs until the associated contract value has been funded by the customer. Once the final estimate of the outcome of the project margin is determined, the Company will record revenue using the percentage-of-completion method of accounting based on the ratio of total costs incurred to date compared to the estimated total costs to complete the project.</w:t>
      </w:r>
    </w:p>
    <w:p>
      <w:pPr>
        <w:spacing w:after="0" w:line="18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our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our revenue for any period if management made different judgments or utilized different estimates.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985 Software (Topic 985). </w:t>
      </w:r>
      <w:r>
        <w:rPr>
          <w:rFonts w:ascii="Arial" w:cs="Arial" w:eastAsia="Arial" w:hAnsi="Arial"/>
          <w:sz w:val="16"/>
          <w:szCs w:val="16"/>
          <w:color w:val="auto"/>
        </w:rPr>
        <w:t>Under the provisions of</w:t>
      </w:r>
      <w:r>
        <w:rPr>
          <w:rFonts w:ascii="Arial" w:cs="Arial" w:eastAsia="Arial" w:hAnsi="Arial"/>
          <w:sz w:val="16"/>
          <w:szCs w:val="16"/>
          <w:i w:val="1"/>
          <w:iCs w:val="1"/>
          <w:color w:val="auto"/>
        </w:rPr>
        <w:t xml:space="preserve"> Topic 985 </w:t>
      </w:r>
      <w:r>
        <w:rPr>
          <w:rFonts w:ascii="Arial" w:cs="Arial" w:eastAsia="Arial" w:hAnsi="Arial"/>
          <w:sz w:val="16"/>
          <w:szCs w:val="16"/>
          <w:color w:val="auto"/>
        </w:rPr>
        <w:t>the Company reviews the contract value of software deliverables and services and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allocations of the contract value based on Vendor Specific Objective Evidence (VSOE) or fair value for each of the elements.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67"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In these situations, the Company applies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Under certain of the Company's contractual arrangements, the Company may also recognize revenue for out-of-pocket expenses in accordance with </w:t>
      </w:r>
      <w:r>
        <w:rPr>
          <w:rFonts w:ascii="Arial" w:cs="Arial" w:eastAsia="Arial" w:hAnsi="Arial"/>
          <w:sz w:val="16"/>
          <w:szCs w:val="16"/>
          <w:i w:val="1"/>
          <w:iCs w:val="1"/>
          <w:color w:val="auto"/>
        </w:rPr>
        <w:t>Topic</w:t>
      </w:r>
    </w:p>
    <w:p>
      <w:pPr>
        <w:spacing w:after="0" w:line="38"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Depending on the contractual arrangement, these expenses may be reimbursed with or without a fee.</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specific circumstances of the arrangement. The Company considers the following criteria, among others, for recording revenue on a gross or net basis:</w:t>
      </w:r>
    </w:p>
    <w:p>
      <w:pPr>
        <w:spacing w:after="0" w:line="20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 (DCAA).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of December 28, 2008 and December 27, 2009, approximately $0.9 million and $6.8 million, respectively, of the Company's unbilled accounts receivable balance were under an authorization to proceed or work order from its customers where a formal purchase order had not yet been received.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Derivative Instruments</w:t>
      </w:r>
    </w:p>
    <w:p>
      <w:pPr>
        <w:spacing w:after="0" w:line="231"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 xml:space="preserve">In managing interest rate risk exposure, the Company entered into interest rate swap agreements. An interest rate swap is a contractual exchange of interest payments between two parties. A standard interest rate swap involves the payment of a fixed rate times a notational amount by one party in exchange for a floating rate times the same notational amount from another party. As interest rates change, the difference to be paid or received is accrued and recognized as interest expense or income over the life of the agreement. These instruments are not entered into for trading purposes. Counterparties to the Company's interest rate swap agreements are major financial institutions. In accordance with </w:t>
      </w:r>
      <w:r>
        <w:rPr>
          <w:rFonts w:ascii="Arial" w:cs="Arial" w:eastAsia="Arial" w:hAnsi="Arial"/>
          <w:sz w:val="15"/>
          <w:szCs w:val="15"/>
          <w:i w:val="1"/>
          <w:iCs w:val="1"/>
          <w:color w:val="auto"/>
        </w:rPr>
        <w:t>FASB ASC Topic 815 Derivatives and Hedging</w:t>
      </w:r>
      <w:r>
        <w:rPr>
          <w:rFonts w:ascii="Arial" w:cs="Arial" w:eastAsia="Arial" w:hAnsi="Arial"/>
          <w:sz w:val="15"/>
          <w:szCs w:val="15"/>
          <w:color w:val="auto"/>
        </w:rPr>
        <w:t>, the Company recognizes interest rate swap agreements on the consolidated balance sheet at fair value. The interest rate swap agreements are marked to market with changes in fair value recognized in either other comprehensive income (loss) or in the carrying value of the hedged portions of fixed rate debt, as applicable (hedge accounting).</w:t>
      </w:r>
    </w:p>
    <w:p>
      <w:pPr>
        <w:spacing w:after="0" w:line="15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Hedge accounting is discontinued when it is determined that a derivative instrument is not highly effective as a hedge. Hedge accounting is also discontinued when: (1) the derivative instrument expires; is sold, terminated or exercised; or is no longer designated as a hedge instrument because it is unlikely that a forecasted transaction will occur; (2) a hedged firm commitment no longer meets the definition of a firm commitment; or (3) management determines that designation of the derivative as a hedging instrument is no longer appropriate.</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When hedge accounting is discontinued, the derivative instrument will be either terminated, continue to be carried on the balance sheet at fair value, or redesignated as the hedging instrument in either a cash flow or fair value hedge, if the relationship meets all applicable hedging criteria. Any asset or liability that was previously recorded as a result of recognizing the value of a firm commitment will be removed from the balance sheet and recognized as a gain or loss in current period earnings. Any gains or losses that were accumulated in other comprehensive income from hedging a forecasted transaction will be recognized immediately in current period earnings, if it is probable that the forecasted transaction will not occur. (See Note 9 for additional information with respect to derivative instruments.)</w:t>
      </w:r>
    </w:p>
    <w:p>
      <w:pPr>
        <w:spacing w:after="0" w:line="19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Costs incurred in research and development activities are expensed as incurred in accordance with </w:t>
      </w:r>
      <w:r>
        <w:rPr>
          <w:rFonts w:ascii="Arial" w:cs="Arial" w:eastAsia="Arial" w:hAnsi="Arial"/>
          <w:sz w:val="18"/>
          <w:szCs w:val="18"/>
          <w:i w:val="1"/>
          <w:iCs w:val="1"/>
          <w:color w:val="auto"/>
        </w:rPr>
        <w:t>FASB ASC Topic 985 Software.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25"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accordance with the recognition standards established by </w:t>
      </w:r>
      <w:r>
        <w:rPr>
          <w:rFonts w:ascii="Arial" w:cs="Arial" w:eastAsia="Arial" w:hAnsi="Arial"/>
          <w:sz w:val="16"/>
          <w:szCs w:val="16"/>
          <w:i w:val="1"/>
          <w:iCs w:val="1"/>
          <w:color w:val="auto"/>
        </w:rPr>
        <w:t>FASB ASC Topic 740 Income Taxes</w:t>
      </w:r>
      <w:r>
        <w:rPr>
          <w:rFonts w:ascii="Arial" w:cs="Arial" w:eastAsia="Arial" w:hAnsi="Arial"/>
          <w:sz w:val="16"/>
          <w:szCs w:val="16"/>
          <w:color w:val="auto"/>
        </w:rPr>
        <w:t>,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statements of financial position.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Stock-Based Compensation</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 xml:space="preserve">The Company accounts for stock-based compensation in accordance with </w:t>
      </w:r>
      <w:r>
        <w:rPr>
          <w:rFonts w:ascii="Arial" w:cs="Arial" w:eastAsia="Arial" w:hAnsi="Arial"/>
          <w:sz w:val="16"/>
          <w:szCs w:val="16"/>
          <w:i w:val="1"/>
          <w:iCs w:val="1"/>
          <w:color w:val="auto"/>
        </w:rPr>
        <w:t>FASB ASC Topic 718 Compensation-Stock Compensation (Topic 718)</w:t>
      </w:r>
      <w:r>
        <w:rPr>
          <w:rFonts w:ascii="Arial" w:cs="Arial" w:eastAsia="Arial" w:hAnsi="Arial"/>
          <w:sz w:val="16"/>
          <w:szCs w:val="16"/>
          <w:color w:val="auto"/>
        </w:rPr>
        <w:t xml:space="preserve">. All of the Company's stock compensation plans are considered equity plans under </w:t>
      </w:r>
      <w:r>
        <w:rPr>
          <w:rFonts w:ascii="Arial" w:cs="Arial" w:eastAsia="Arial" w:hAnsi="Arial"/>
          <w:sz w:val="16"/>
          <w:szCs w:val="16"/>
          <w:i w:val="1"/>
          <w:iCs w:val="1"/>
          <w:color w:val="auto"/>
        </w:rPr>
        <w:t>Topic 718</w:t>
      </w:r>
      <w:r>
        <w:rPr>
          <w:rFonts w:ascii="Arial" w:cs="Arial" w:eastAsia="Arial" w:hAnsi="Arial"/>
          <w:sz w:val="16"/>
          <w:szCs w:val="16"/>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and is expensed on a straight-line basis over the vesting period of the options, which is generally four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four to ten years. The Company has no awards with market or performance conditions. Compensation expense for stock issued under our employee stock purchase plan is estimated on the beginning date of the offering period using a Black-Scholes option-pricing model and is expensed on a straight-line basis over the period of the offering, which is generally 6 months.</w:t>
      </w:r>
    </w:p>
    <w:p>
      <w:pPr>
        <w:spacing w:after="0" w:line="17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For the years ended December 31, 2007, December 28, 2008 and December 27, 2009, there was no incremental tax benefit from stock options exercised in the period due to expected tax losses for the year. The Company recorded cash received from the exercise of stock options of $0.2 million in 2009, respectively. No stock options were exercised in 2007 or 2008. The following table shows the amounts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recognized in the Consolidated Financial Statements for 2007, 2008 and 2009 for share-based compensation expense related to stock options, stock awards and to stock options offered under our employee stock purchase plan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Total cost of employee stock-based compensation included in operating loss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from continuing operations, before income tax</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Amount charged to loss from discontinued operations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charged against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Impact on net loss per common share:</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The Company calculates net income (loss) per share in accordance with </w:t>
      </w:r>
      <w:r>
        <w:rPr>
          <w:rFonts w:ascii="Arial" w:cs="Arial" w:eastAsia="Arial" w:hAnsi="Arial"/>
          <w:sz w:val="16"/>
          <w:szCs w:val="16"/>
          <w:i w:val="1"/>
          <w:iCs w:val="1"/>
          <w:color w:val="auto"/>
        </w:rPr>
        <w:t>FASB ASC Topic 260 Earnings Per Share (Topic 260).</w:t>
      </w:r>
      <w:r>
        <w:rPr>
          <w:rFonts w:ascii="Arial" w:cs="Arial" w:eastAsia="Arial" w:hAnsi="Arial"/>
          <w:sz w:val="16"/>
          <w:szCs w:val="16"/>
          <w:color w:val="auto"/>
        </w:rPr>
        <w:t xml:space="preserve"> Under </w:t>
      </w:r>
      <w:r>
        <w:rPr>
          <w:rFonts w:ascii="Arial" w:cs="Arial" w:eastAsia="Arial" w:hAnsi="Arial"/>
          <w:sz w:val="16"/>
          <w:szCs w:val="16"/>
          <w:i w:val="1"/>
          <w:iCs w:val="1"/>
          <w:color w:val="auto"/>
        </w:rPr>
        <w:t>Topic 260</w:t>
      </w:r>
      <w:r>
        <w:rPr>
          <w:rFonts w:ascii="Arial" w:cs="Arial" w:eastAsia="Arial" w:hAnsi="Arial"/>
          <w:sz w:val="16"/>
          <w:szCs w:val="16"/>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01"/>
        </w:trPr>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Anti-dilutive weighted shares from stock options excluded from</w:t>
            </w: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08"/>
        </w:trPr>
        <w:tc>
          <w:tcPr>
            <w:tcW w:w="5060" w:type="dxa"/>
            <w:vAlign w:val="bottom"/>
          </w:tcPr>
          <w:p>
            <w:pPr>
              <w:spacing w:after="0"/>
              <w:rPr>
                <w:sz w:val="20"/>
                <w:szCs w:val="20"/>
                <w:color w:val="auto"/>
              </w:rPr>
            </w:pPr>
            <w:r>
              <w:rPr>
                <w:rFonts w:ascii="Arial" w:cs="Arial" w:eastAsia="Arial" w:hAnsi="Arial"/>
                <w:sz w:val="18"/>
                <w:szCs w:val="18"/>
                <w:color w:val="auto"/>
                <w:w w:val="98"/>
              </w:rPr>
              <w:t>Anti-dilutive weighted shares from preferred stock excluded from</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5060" w:type="dxa"/>
            <w:vAlign w:val="bottom"/>
          </w:tcPr>
          <w:p>
            <w:pPr>
              <w:ind w:left="180"/>
              <w:spacing w:after="0"/>
              <w:rPr>
                <w:sz w:val="20"/>
                <w:szCs w:val="20"/>
                <w:color w:val="auto"/>
              </w:rPr>
            </w:pPr>
            <w:r>
              <w:rPr>
                <w:rFonts w:ascii="Arial" w:cs="Arial" w:eastAsia="Arial" w:hAnsi="Arial"/>
                <w:sz w:val="18"/>
                <w:szCs w:val="18"/>
                <w:color w:val="auto"/>
              </w:rPr>
              <w:t>calculation</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Allowance for Doubtful Accounts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13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outlines the balance of the Company's Allowance for Doubtful Accounts for 2007, 2008 and 2009. The table identifies the additional provisions each year as well as the write-offs that utilized the allowance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61"/>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20" w:type="dxa"/>
            <w:vAlign w:val="bottom"/>
          </w:tcPr>
          <w:p>
            <w:pPr>
              <w:spacing w:after="0"/>
              <w:rPr>
                <w:sz w:val="14"/>
                <w:szCs w:val="14"/>
                <w:color w:val="auto"/>
              </w:rPr>
            </w:pPr>
          </w:p>
        </w:tc>
        <w:tc>
          <w:tcPr>
            <w:tcW w:w="78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Provisions</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Recoveries</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End of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Year ended December 28,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27, 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Company's cash equivalents consist of its highly liquid investments with an original maturity of three months or less when purchased by the Company.</w:t>
      </w:r>
    </w:p>
    <w:p>
      <w:pPr>
        <w:spacing w:after="0" w:line="24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 has restricted cash accounts of approximately $0.4 million at December 28, 2008 and December 27, 2009, which are required to collateralize a credit card program and a deposit relating to the run out of a now terminated self-insured workers compensation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Inventory</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28, 2008 and December 27, 2009, the Company had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$1.7 million and $1.9 million, respectively, of inventories which were reflected in other current assets of continuing operations on the consolidated balance sheets.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Property and Equipment, Net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Property and equipment consists primarily of computer equipment, software, leasehold improvements and office-related equipment and is recorded at cost. Equipment acquired under capital leases is recorded at the present value of the future minimum lease payments. Depreciation is calculated using the straight-line method over the estimated useful life of each asset, which is one to three years for computer equipment, five years for furniture and office equipment, and five to ten years for software for the Company's enterprise systems. Equipment and facilities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FASB ASC Topic 350 Intangibles—Goodwill and Other</w:t>
      </w:r>
      <w:r>
        <w:rPr>
          <w:rFonts w:ascii="Arial" w:cs="Arial" w:eastAsia="Arial" w:hAnsi="Arial"/>
          <w:sz w:val="18"/>
          <w:szCs w:val="18"/>
          <w:color w:val="auto"/>
        </w:rPr>
        <w:t>, the Company expenses all internal-use software costs incurred in the preliminary project stage and capitalizes certain direct costs associated with the development and purchase of internal-use software within property and equipment. Capitalized costs are amortized on a straight-line basis over the estimated useful lives of the software.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Leases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Most lease agreements contain incentives for tenant improvements, rent holidays, or rent escalation clauses. For incentives for tenant improvements, the Company records a deferred rent liability and amortizes the deferred rent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Acquisitions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Acquisitions are accounted for using the purchase method and the results of acquired businesses are included in the financial statements from the dates of acquisition. Under the purchase method of accounting, the cost, including transaction costs, are allocated to the underlying net tangible and identifiable intangible assets, based on their respective estimated fair values. The excess of the purchase price over the estimated fair values of the net assets acquired is recorded as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Goodwill and Other Intangible Assets, Net</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 xml:space="preserve">In accordance with the provisions of </w:t>
      </w:r>
      <w:r>
        <w:rPr>
          <w:rFonts w:ascii="Arial" w:cs="Arial" w:eastAsia="Arial" w:hAnsi="Arial"/>
          <w:sz w:val="18"/>
          <w:szCs w:val="18"/>
          <w:i w:val="1"/>
          <w:iCs w:val="1"/>
          <w:color w:val="auto"/>
        </w:rPr>
        <w:t>FASB ASC Topic 350 Intangibles—Goodwill and Other (Topic 350)</w:t>
      </w:r>
      <w:r>
        <w:rPr>
          <w:rFonts w:ascii="Arial" w:cs="Arial" w:eastAsia="Arial" w:hAnsi="Arial"/>
          <w:sz w:val="18"/>
          <w:szCs w:val="18"/>
          <w:color w:val="auto"/>
        </w:rPr>
        <w:t>, the Company performs impairment tests for goodwill as of the last day of each fiscal year, or when evidence of potential impairment exists. When it is determined that impairment has occurred, a charge to operations is recorded. Goodwill and other purchased intangible asset balances are included in the identifiable assets of the business segment to which they have been assigned. Any goodwill impairment, as well as the amortization of other purchased intangible assets, is charged against the respective business segments' operating income.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the Company classifies intangible assets into three categories: (1) intangible assets with finite lives subject to amortization,</w:t>
      </w:r>
    </w:p>
    <w:p>
      <w:pPr>
        <w:spacing w:after="0" w:line="38" w:lineRule="exact"/>
        <w:rPr>
          <w:sz w:val="20"/>
          <w:szCs w:val="20"/>
          <w:color w:val="auto"/>
        </w:rPr>
      </w:pPr>
    </w:p>
    <w:p>
      <w:pPr>
        <w:ind w:right="100" w:firstLine="8"/>
        <w:spacing w:after="0" w:line="254"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intangible assets with indefinite lives not subject to amortization, and (3) goodwill.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1 to 12 years.</w:t>
      </w:r>
    </w:p>
    <w:p>
      <w:pPr>
        <w:spacing w:after="0" w:line="191"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Long-Lived Assets to Be Disposed Of</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Long-lived assets and certain identifiable intangibles are reviewed for impairment in accordance with </w:t>
      </w:r>
      <w:r>
        <w:rPr>
          <w:rFonts w:ascii="Arial" w:cs="Arial" w:eastAsia="Arial" w:hAnsi="Arial"/>
          <w:sz w:val="16"/>
          <w:szCs w:val="16"/>
          <w:i w:val="1"/>
          <w:iCs w:val="1"/>
          <w:color w:val="auto"/>
        </w:rPr>
        <w:t>FASB ASC Topic</w:t>
      </w:r>
      <w:r>
        <w:rPr>
          <w:rFonts w:ascii="Arial" w:cs="Arial" w:eastAsia="Arial" w:hAnsi="Arial"/>
          <w:sz w:val="16"/>
          <w:szCs w:val="16"/>
          <w:color w:val="auto"/>
        </w:rPr>
        <w:t xml:space="preserve">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Fair Value of Financial Instruments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FASB ASC Topic 825 Financial Instruments </w:t>
      </w:r>
      <w:r>
        <w:rPr>
          <w:rFonts w:ascii="Arial" w:cs="Arial" w:eastAsia="Arial" w:hAnsi="Arial"/>
          <w:sz w:val="18"/>
          <w:szCs w:val="18"/>
          <w:color w:val="auto"/>
        </w:rPr>
        <w:t>requires that fair values be disclosed for the Company's financial instruments. The carrying amounts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accounts receivable, accounts payable, accrued expenses, billings in excess of costs and earnings on uncompleted contracts, and income taxes payable, approximate fair value due to the short-term nature of these instruments. The fair value of the Company's long-term debt and capital lease obligations is estimated based on the quoted market prices for the same or similar issues or on the current rates offered to the Company for debt of the same remaining maturities.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Concentrations and Uncertainties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maintains cash balances at various financial institutions and such balances commonly exceed the $100,000 insured (temporarily increased to $250,000 through December 31, 2013)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Collateral is not required. The accounts receivable are recorded at invoiced amount and do not bear interest. See Note 12 for a discussion of our significant customers.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March 3, 2010, the Company has $57.5 million of debt outstanding under the New Credit Facility (See Note 17 Subsequent Events) with debt service requirements of $3.5 million, excluding interest, in 2010. The Company intends to fund its cash requirements with cash flows from operating activities, and borrowings under the New Credit Facility, and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its control. If the conditions in its industry deteriorate or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Debt Issuance Costs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Fees paid to obtain debt financing or amendments under such debt financing are treated as debt issuance costs and are capitalized and amortized over the expected term of the related debt. These payments are shown as a financing activity in the consolidated statements of cash flows.</w:t>
      </w:r>
    </w:p>
    <w:p>
      <w:pPr>
        <w:spacing w:after="0" w:line="13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Interest expense, net in the Consolidated Statements of Operations is summarized in the following table (in millions):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r>
      <w:tr>
        <w:trPr>
          <w:trHeight w:val="201"/>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Interest expense incurred primarily on the Company's Credit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Miscellaneous interest income</w:t>
            </w: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7"/>
        </w:trPr>
        <w:tc>
          <w:tcPr>
            <w:tcW w:w="4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  Recent Accounting Pronouncements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than as described below, no new accounting pronouncement issued or effective during the fiscal year has had or is expected to have a material impact on the Consolidated Financial Statements.</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On July 1, 2009 the Financial Accounting Standards Board officially launched the Accounting Standards Codification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as the authoritative source of generally accepted accounting principles in the United States. Rules and interpretive releases of the Securities and Exchange Commission (SEC) under federal securities laws are also sources of authoritative GAAP for SEC registrants. </w:t>
      </w:r>
      <w:r>
        <w:rPr>
          <w:rFonts w:ascii="Arial" w:cs="Arial" w:eastAsia="Arial" w:hAnsi="Arial"/>
          <w:sz w:val="16"/>
          <w:szCs w:val="16"/>
          <w:i w:val="1"/>
          <w:iCs w:val="1"/>
          <w:color w:val="auto"/>
        </w:rPr>
        <w:t>FASB ASC Topic 105 Generally Accepted Accounting Principles</w:t>
      </w:r>
      <w:r>
        <w:rPr>
          <w:rFonts w:ascii="Arial" w:cs="Arial" w:eastAsia="Arial" w:hAnsi="Arial"/>
          <w:sz w:val="16"/>
          <w:szCs w:val="16"/>
          <w:color w:val="auto"/>
        </w:rPr>
        <w:t xml:space="preserve"> is effective for financial statements issued for interim and annual periods ending after September 15, 2009. The adoption of this standard did not have a material impact on our consolidated financial position, results of operations or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31"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 xml:space="preserve">In August 2009, the SEC issued </w:t>
      </w:r>
      <w:r>
        <w:rPr>
          <w:rFonts w:ascii="Arial" w:cs="Arial" w:eastAsia="Arial" w:hAnsi="Arial"/>
          <w:sz w:val="16"/>
          <w:szCs w:val="16"/>
          <w:i w:val="1"/>
          <w:iCs w:val="1"/>
          <w:color w:val="auto"/>
        </w:rPr>
        <w:t>Interpretive Release No. 33-9062, "Commission Guidance Regarding the Financial Accounting Standards Board's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Standards Codification" </w:t>
      </w:r>
      <w:r>
        <w:rPr>
          <w:rFonts w:ascii="Arial" w:cs="Arial" w:eastAsia="Arial" w:hAnsi="Arial"/>
          <w:sz w:val="16"/>
          <w:szCs w:val="16"/>
          <w:color w:val="auto"/>
        </w:rPr>
        <w:t>regarding the impact of the FASB Codification on certain SEC rules, regulations, and interpretive releases and staff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bulletins. The SEC advised that references to FASB standards in current SEC text should correspond to the rules in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does not supersede any SEC rules or regulations. The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should not be considered the authoritative source for SEC guidance.</w:t>
      </w:r>
    </w:p>
    <w:p>
      <w:pPr>
        <w:spacing w:after="0" w:line="167"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 xml:space="preserve">The disclosure requirements of </w:t>
      </w:r>
      <w:r>
        <w:rPr>
          <w:rFonts w:ascii="Arial" w:cs="Arial" w:eastAsia="Arial" w:hAnsi="Arial"/>
          <w:sz w:val="18"/>
          <w:szCs w:val="18"/>
          <w:i w:val="1"/>
          <w:iCs w:val="1"/>
          <w:color w:val="auto"/>
        </w:rPr>
        <w:t>FASB ASC Topic 820 Fair Value Measurements and Disclosures (Topic 820)</w:t>
      </w:r>
      <w:r>
        <w:rPr>
          <w:rFonts w:ascii="Arial" w:cs="Arial" w:eastAsia="Arial" w:hAnsi="Arial"/>
          <w:sz w:val="18"/>
          <w:szCs w:val="18"/>
          <w:color w:val="auto"/>
        </w:rPr>
        <w:t xml:space="preserve">, which took effect on January 1, 2008, are presented in Note 9. On January 1, 2009, the Company implemented the previously deferred provisions of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for nonfinancial assets and liabilities recorded at fair value, as required.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disclosure requirements of </w:t>
      </w:r>
      <w:r>
        <w:rPr>
          <w:rFonts w:ascii="Arial" w:cs="Arial" w:eastAsia="Arial" w:hAnsi="Arial"/>
          <w:sz w:val="16"/>
          <w:szCs w:val="16"/>
          <w:i w:val="1"/>
          <w:iCs w:val="1"/>
          <w:color w:val="auto"/>
        </w:rPr>
        <w:t>FASB ASC Topic 815 Derivatives and Hedging</w:t>
      </w:r>
      <w:r>
        <w:rPr>
          <w:rFonts w:ascii="Arial" w:cs="Arial" w:eastAsia="Arial" w:hAnsi="Arial"/>
          <w:sz w:val="16"/>
          <w:szCs w:val="16"/>
          <w:color w:val="auto"/>
        </w:rPr>
        <w:t>, which took effect on January 1, 2009, are presented in Note 9.</w:t>
      </w:r>
    </w:p>
    <w:p>
      <w:pPr>
        <w:spacing w:after="0" w:line="24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 xml:space="preserve">The accounting requirements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which took effect on January 1, 2009, were adopted but had no impact on the Company's Consolidated Financial Statements.</w:t>
      </w:r>
    </w:p>
    <w:p>
      <w:pPr>
        <w:spacing w:after="0" w:line="186"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 xml:space="preserve">The accounting and presentation requirements of </w:t>
      </w:r>
      <w:r>
        <w:rPr>
          <w:rFonts w:ascii="Arial" w:cs="Arial" w:eastAsia="Arial" w:hAnsi="Arial"/>
          <w:sz w:val="18"/>
          <w:szCs w:val="18"/>
          <w:i w:val="1"/>
          <w:iCs w:val="1"/>
          <w:color w:val="auto"/>
        </w:rPr>
        <w:t>FASB ASC Topic 810 Consolidation</w:t>
      </w:r>
      <w:r>
        <w:rPr>
          <w:rFonts w:ascii="Arial" w:cs="Arial" w:eastAsia="Arial" w:hAnsi="Arial"/>
          <w:sz w:val="18"/>
          <w:szCs w:val="18"/>
          <w:color w:val="auto"/>
        </w:rPr>
        <w:t>, which took effect on January 1, 2009, had no impact on the Consolidated Financial Statements as the Company's non-controlling interests are not material.</w:t>
      </w:r>
    </w:p>
    <w:p>
      <w:pPr>
        <w:spacing w:after="0" w:line="186"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 xml:space="preserve">As of September 27, 2009, the Company implemented </w:t>
      </w:r>
      <w:r>
        <w:rPr>
          <w:rFonts w:ascii="Arial" w:cs="Arial" w:eastAsia="Arial" w:hAnsi="Arial"/>
          <w:sz w:val="16"/>
          <w:szCs w:val="16"/>
          <w:i w:val="1"/>
          <w:iCs w:val="1"/>
          <w:color w:val="auto"/>
        </w:rPr>
        <w:t>FASB ASC Topic 825 Financial Instrument (Topic 825). Topic 825</w:t>
      </w:r>
      <w:r>
        <w:rPr>
          <w:rFonts w:ascii="Arial" w:cs="Arial" w:eastAsia="Arial" w:hAnsi="Arial"/>
          <w:sz w:val="16"/>
          <w:szCs w:val="16"/>
          <w:color w:val="auto"/>
        </w:rPr>
        <w:t xml:space="preserve"> amends previous accounting literature to require disclosures about fair value of financial instruments in interim as well as in annual financial statements. The amendment changes </w:t>
      </w:r>
      <w:r>
        <w:rPr>
          <w:rFonts w:ascii="Arial" w:cs="Arial" w:eastAsia="Arial" w:hAnsi="Arial"/>
          <w:sz w:val="16"/>
          <w:szCs w:val="16"/>
          <w:i w:val="1"/>
          <w:iCs w:val="1"/>
          <w:color w:val="auto"/>
        </w:rPr>
        <w:t>FASB ASC</w:t>
      </w:r>
      <w:r>
        <w:rPr>
          <w:rFonts w:ascii="Arial" w:cs="Arial" w:eastAsia="Arial" w:hAnsi="Arial"/>
          <w:sz w:val="16"/>
          <w:szCs w:val="16"/>
          <w:color w:val="auto"/>
        </w:rPr>
        <w:t xml:space="preserve"> </w:t>
      </w:r>
      <w:r>
        <w:rPr>
          <w:rFonts w:ascii="Arial" w:cs="Arial" w:eastAsia="Arial" w:hAnsi="Arial"/>
          <w:sz w:val="16"/>
          <w:szCs w:val="16"/>
          <w:i w:val="1"/>
          <w:iCs w:val="1"/>
          <w:color w:val="auto"/>
        </w:rPr>
        <w:t>Topic 270 Interim Reporting (Topic 270)</w:t>
      </w:r>
      <w:r>
        <w:rPr>
          <w:rFonts w:ascii="Arial" w:cs="Arial" w:eastAsia="Arial" w:hAnsi="Arial"/>
          <w:sz w:val="16"/>
          <w:szCs w:val="16"/>
          <w:color w:val="auto"/>
        </w:rPr>
        <w:t>, to require those disclosures in all interim financial statements.</w:t>
      </w:r>
      <w:r>
        <w:rPr>
          <w:rFonts w:ascii="Arial" w:cs="Arial" w:eastAsia="Arial" w:hAnsi="Arial"/>
          <w:sz w:val="16"/>
          <w:szCs w:val="16"/>
          <w:i w:val="1"/>
          <w:iCs w:val="1"/>
          <w:color w:val="auto"/>
        </w:rPr>
        <w:t xml:space="preserve"> Topic 825 </w:t>
      </w:r>
      <w:r>
        <w:rPr>
          <w:rFonts w:ascii="Arial" w:cs="Arial" w:eastAsia="Arial" w:hAnsi="Arial"/>
          <w:sz w:val="16"/>
          <w:szCs w:val="16"/>
          <w:color w:val="auto"/>
        </w:rPr>
        <w:t>is effective for periods ending after June 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2009. In the second quarter of 2009, the Company implemented </w:t>
      </w:r>
      <w:r>
        <w:rPr>
          <w:rFonts w:ascii="Arial" w:cs="Arial" w:eastAsia="Arial" w:hAnsi="Arial"/>
          <w:sz w:val="16"/>
          <w:szCs w:val="16"/>
          <w:i w:val="1"/>
          <w:iCs w:val="1"/>
          <w:color w:val="auto"/>
        </w:rPr>
        <w:t>Topic 825</w:t>
      </w:r>
      <w:r>
        <w:rPr>
          <w:rFonts w:ascii="Arial" w:cs="Arial" w:eastAsia="Arial" w:hAnsi="Arial"/>
          <w:sz w:val="16"/>
          <w:szCs w:val="16"/>
          <w:color w:val="auto"/>
        </w:rPr>
        <w:t xml:space="preserve"> and </w:t>
      </w:r>
      <w:r>
        <w:rPr>
          <w:rFonts w:ascii="Arial" w:cs="Arial" w:eastAsia="Arial" w:hAnsi="Arial"/>
          <w:sz w:val="16"/>
          <w:szCs w:val="16"/>
          <w:i w:val="1"/>
          <w:iCs w:val="1"/>
          <w:color w:val="auto"/>
        </w:rPr>
        <w:t>Topic 270</w:t>
      </w:r>
      <w:r>
        <w:rPr>
          <w:rFonts w:ascii="Arial" w:cs="Arial" w:eastAsia="Arial" w:hAnsi="Arial"/>
          <w:sz w:val="16"/>
          <w:szCs w:val="16"/>
          <w:color w:val="auto"/>
        </w:rPr>
        <w:t>. See Note 9, "Fair Value Measurement."</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In October 2009, the FASB issued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The new standard changes the requirements for establishing separate units of accounting in a multiple element arrangement and requires the allocation of arrangement consideration to each deliverable based on the relative selling price. The selling price for each deliverable is based on vendor-specific objective evidence (VSOE) if available, third-party evidence if VSOE is not available, or estimated selling price if neither VSOE or third-party evidence is available. ASU 2009-13 is effective for revenue arrangements entered into in fiscal years beginning on or after June 15, 2010. The Company does not expect that the provisions of the new guidance will have a material effect on its Consolidated Financial Statements.</w:t>
      </w:r>
    </w:p>
    <w:p>
      <w:pPr>
        <w:spacing w:after="0" w:line="19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 xml:space="preserve">In February 2010, the FASB issued ASU 2010-09, </w:t>
      </w:r>
      <w:r>
        <w:rPr>
          <w:rFonts w:ascii="Arial" w:cs="Arial" w:eastAsia="Arial" w:hAnsi="Arial"/>
          <w:sz w:val="16"/>
          <w:szCs w:val="16"/>
          <w:i w:val="1"/>
          <w:iCs w:val="1"/>
          <w:color w:val="auto"/>
        </w:rPr>
        <w:t>Subsequent Events (Topic 855), Amendments to Certain Recognition and Disclosure Requirements</w:t>
      </w:r>
      <w:r>
        <w:rPr>
          <w:rFonts w:ascii="Arial" w:cs="Arial" w:eastAsia="Arial" w:hAnsi="Arial"/>
          <w:sz w:val="16"/>
          <w:szCs w:val="16"/>
          <w:color w:val="auto"/>
        </w:rPr>
        <w:t xml:space="preserve">. The amendments to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included in the ASU, among other things, eliminate the requirement that an "SEC filer" (as defined) disclose the date through which subsequent events have been evaluated in both issued and revised financial statements. This does not change the requirement that SEC filers evaluate subsequent events through the date the financial statements are issued.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FASB ASC Topic 350 Intangibles—Goodwill and Other (Topic 350)</w:t>
      </w:r>
      <w:r>
        <w:rPr>
          <w:rFonts w:ascii="Arial" w:cs="Arial" w:eastAsia="Arial" w:hAnsi="Arial"/>
          <w:sz w:val="18"/>
          <w:szCs w:val="18"/>
          <w:color w:val="auto"/>
        </w:rPr>
        <w:t xml:space="preserve"> as of the last day of the fiscal year or when evidence of potential impairment exists.</w:t>
      </w:r>
    </w:p>
    <w:p>
      <w:pPr>
        <w:spacing w:after="0" w:line="18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Company's annual and interim impairment assessments, the Company has identified its reporting units to be its operating segments which are Kratos Government Solutions and Public Safety &amp; Security.</w:t>
      </w:r>
    </w:p>
    <w:p>
      <w:pPr>
        <w:spacing w:after="0" w:line="19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6"/>
          <w:szCs w:val="16"/>
          <w:i w:val="1"/>
          <w:iCs w:val="1"/>
          <w:color w:val="auto"/>
        </w:rPr>
        <w:t>FASB 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820 Fair Value Measurements and Disclosure</w:t>
      </w:r>
      <w:r>
        <w:rPr>
          <w:rFonts w:ascii="Arial" w:cs="Arial" w:eastAsia="Arial" w:hAnsi="Arial"/>
          <w:sz w:val="16"/>
          <w:szCs w:val="16"/>
          <w:color w:val="auto"/>
        </w:rPr>
        <w:t>). The Company also considers its market capitalization based upon an average of the stock price prior to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subsequent to the date the analysis is performed and reconciles the fair value of the Company's reporting units to the Company's market capitalization assuming a control premium. If the book value exceeds the estimated fair value for a business, a potential impairment is indicated and </w:t>
      </w:r>
      <w:r>
        <w:rPr>
          <w:rFonts w:ascii="Arial" w:cs="Arial" w:eastAsia="Arial" w:hAnsi="Arial"/>
          <w:sz w:val="16"/>
          <w:szCs w:val="16"/>
          <w:i w:val="1"/>
          <w:iCs w:val="1"/>
          <w:color w:val="auto"/>
        </w:rPr>
        <w:t>Topic 350</w:t>
      </w:r>
      <w:r>
        <w:rPr>
          <w:rFonts w:ascii="Arial" w:cs="Arial" w:eastAsia="Arial" w:hAnsi="Arial"/>
          <w:sz w:val="16"/>
          <w:szCs w:val="16"/>
          <w:color w:val="auto"/>
        </w:rPr>
        <w:t>, prescribes the approach for determining the impairment amount, if any.</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In December 2008, the Company concluded that the decision to exit three businesses acquired with the SYS merger and included in the KGS reporting segment met the criteria to be classified as held for sale. The Company also concluded this was a triggering event under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that required a review of the Company's goodwill and intangibles assets with indefinite lives. Because the three business units were never integrated into the KGS reporting unit, and as such, the benefits of the acquired goodwill were never realized by the rest of the reporting unit, the goodwill of the disposed businesses was not adjusted based upon the relative fair values of the businesses disposed and businesses retained. An impairment charge of $3.3 million related to the separately assigned goodwill of these businesses was recorded as part of the loss from discontinued operations (see Note 3 and 8).</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of the timing of the disposals mentioned above, the required impairment test of the KGS goodwill and intangible assets with indefinite lives was included with the Company's required annual impairment test of goodwill. The annual impairment test for goodwill was performed using a discounted cash flow analysis supported by comparative market multiples to determine the fair values of the Company's segments versus their book values. The test as of December 28, 2008, indicated that the book values for the KGS segment, excluding Digital Fusion, Inc. (DFI), which was purchased on December 24, 2008, exceeded the fair values of these businesses and resulted in the Company recording a charge totaling $105.8 million in its KGS segment for the impairment of goodwill.</w:t>
      </w:r>
    </w:p>
    <w:p>
      <w:pPr>
        <w:spacing w:after="0" w:line="17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impairment charge was primarily driven by adverse equity market conditions that caused a decrease in market multiples and the Company's average stock price as of December 28, 2008,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compared with the impairment test performed as of December 31, 2007. In the analysis, the Company used the income approach and validated its reasonableness by considering its market capitalization based upon an average of its stock price for a period prior to and subsequent to the date the analysis was performed. The average market price of the Company's stock as of December 28, 2008 was $12.90 which equated to a 45% drop in the average stock price and corresponding market capitalization from December 31, 2007 which had an average stock price of $23.50. The Company reconciled the fair value of its reporting units which was calculated using the income approach to its market capitalization. As a result of this reconciliation, it was noted that investors were requiring a higher rate of return, and therefore, the discount factor which was based upon an estimated market participant weighted average cost of capital (WACC) increased 250 basis points from 11.5% in the year end impairment test in 2007 compared to 14% in the year end impairment test in 2008. This change was the key factor contributing to the $105.8 million impairment charge that was recorded in the fourth quarter of 2008.</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Given the continued significant decline in the stock market in general and specifically the Company's stock price and market capitalization in the first quarter of 2009 which declined 39% from an average stock price of $12.90 as of December 28, 2008 to $7.80 as of February 28, 2009, the Company performed an impairment test for goodwill 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as of February 28, 2009. The test indicated that the book value for the Kratos Government Solutions (KGS) segment exceeded the fair values of these businesses and resulted in the Company recording a charge totaling $41.3 million in its KGS segment in the first quarter of 2009, for the impairment of goodwill. The impairment charge was primarily driven by adverse equity market conditions that caused a decrease in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 Company reconciled the fair value of its reporting units which was calculated using the income approach to the Company's market capitalization. As a result of this reconciliation, it was noted that investors were requiring a higher rate of return, and therefore, the discount factor which was based upon an estimated market participant weighted average cost of capital (WACC) increased 300 basis points from 14% in the Company's year 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7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In 2009, the annual test did not result in any impairment charge as there was an increase in current market multiples and market capitalization as of December 27, 2009 compared to the 2008 annual test and the test as of February 28, 2009. If an event occurs or circumstances change that would more likely than not reduce the fair value of a reporting unit below its carrying value, the Company will evaluate goodwill for impairment between annual tests in accordance with </w:t>
      </w:r>
      <w:r>
        <w:rPr>
          <w:rFonts w:ascii="Arial" w:cs="Arial" w:eastAsia="Arial" w:hAnsi="Arial"/>
          <w:sz w:val="18"/>
          <w:szCs w:val="18"/>
          <w:i w:val="1"/>
          <w:iCs w:val="1"/>
          <w:color w:val="auto"/>
        </w:rPr>
        <w:t>Topic 350.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changes in the carrying amounts of goodwill by operating segment for the years ended December 31, 2007, December 28, 2008 and December 27, 2009, are as follows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Public</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Safety &amp;</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7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Balance as of December 31, 2007</w:t>
            </w: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Acquisitions and purchase accounting adjustments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2"/>
        </w:trPr>
        <w:tc>
          <w:tcPr>
            <w:tcW w:w="4120" w:type="dxa"/>
            <w:vAlign w:val="bottom"/>
          </w:tcPr>
          <w:p>
            <w:pPr>
              <w:ind w:left="120"/>
              <w:spacing w:after="0"/>
              <w:rPr>
                <w:sz w:val="20"/>
                <w:szCs w:val="20"/>
                <w:color w:val="auto"/>
              </w:rPr>
            </w:pPr>
            <w:r>
              <w:rPr>
                <w:rFonts w:ascii="Arial" w:cs="Arial" w:eastAsia="Arial" w:hAnsi="Arial"/>
                <w:sz w:val="18"/>
                <w:szCs w:val="18"/>
                <w:color w:val="auto"/>
              </w:rPr>
              <w:t>Impairments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w w:val="98"/>
              </w:rPr>
              <w:t>Acquisitions and purchase accounting adjustments</w:t>
            </w:r>
          </w:p>
        </w:tc>
        <w:tc>
          <w:tcPr>
            <w:tcW w:w="120" w:type="dxa"/>
            <w:vAlign w:val="bottom"/>
          </w:tcPr>
          <w:p>
            <w:pPr>
              <w:spacing w:after="0"/>
              <w:rPr>
                <w:sz w:val="18"/>
                <w:szCs w:val="18"/>
                <w:color w:val="auto"/>
              </w:rPr>
            </w:pPr>
          </w:p>
        </w:tc>
        <w:tc>
          <w:tcPr>
            <w:tcW w:w="7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Balance as of December 27, 2009</w:t>
            </w: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As of December 28, 2008</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27, 2009</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44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4"/>
                <w:szCs w:val="14"/>
                <w:b w:val="1"/>
                <w:bCs w:val="1"/>
                <w:color w:val="auto"/>
                <w:w w:val="8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Acquired finite-lived intangible assets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Non-compete agreements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aggregate amortization expense for finite-lived intangible assets was $2.7 million, $4.9 million and $5.7 million for the years ended December 31, 2007, December 28, 2008, and December 27, 2009,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Information about estimated amortization expense for intangible assets subject to amortization for the five years succeeding December 27, 2009, is as follows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r>
      <w:tr>
        <w:trPr>
          <w:trHeight w:val="161"/>
        </w:trPr>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r>
      <w:tr>
        <w:trPr>
          <w:trHeight w:val="27"/>
        </w:trPr>
        <w:tc>
          <w:tcPr>
            <w:tcW w:w="5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December 24, 2008, the Company acquired 100% of the voting equity interests of Huntsville, Alabama based Digital Fusion, Inc. (DFI) in a stock for stock transaction for approximately $37.0 million. DFI provides Command, Control, Communications, Computing, Intelligence, Surveillance, and Reconnaissance (C4ISR) and technical engineering services, Unmanned Aerial Vehicle (UAV) products and technology and has significant engineering, modeling and simulation capabilities. The acquisition of DFI provides Kratos with new customers and an expanded contract vehicle portfolio, in addition to expanding the range of service offerings to existing Kratos customers. Principal customers of DFI include the Army Aviation and Missile Research, Development and Engineering Center (AMRDEC), Army Space and Missile Defense Command/Army Forces Strategic Command (ARSTRAT), NASA Marshall Space Flight Center, and certain classified customers. The aforementioned factors are the primary reason for the acquisition and the amount subsequently assigned to goodwill.</w:t>
      </w:r>
    </w:p>
    <w:p>
      <w:pPr>
        <w:spacing w:after="0" w:line="172"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 purchase price of $37.0 million includes direct transaction costs of $0.9 million. The Company issued 2.3 million shares to DFI shareholders and assumed DFI options which were exercisable for approximately 1.0 million shares of Kratos common stock. The value of the purchase price related to the common stock issued was derived from the number of shares of Kratos common stock issued of 2.3 million, based on 12.8 million shares of DFI common stock outstanding and the exchange ratio of 0.17933 for each DFI share, at a price of $12.70 per share, the average closing price of Kratos shares of common stock on the announcement date and for the two days prior to and two days subsequent to the public announcement of the merger on November 24, 2008. The Company assumed DFI options valued at the exchange ratio of 0.17933 for each DFI option. The fair value of the assumed options that was allocated to goodwill based upon the Black-Scholes pricing model was $7.0 million. The fair value of unvested options which are related to future service will be expensed as the service is performed over the weighted average vesting period of 1.2 years. The results of operations of DFI are included in the accompanying Consolidated Financial Statements for the year ended December 27, 2009.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$0.9 million, to the fair value of the assets acquired and liabilities assumed at the date of acquisition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$3.6 million which was tax deductible to DFI.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On June 28, 2008, the Company acquired 100% of the voting equity interests of San Diego-based SYS Technologies (SYS). SYS provides a range of C4ISR and net-centric solutions to federal, state, local and other customers. The combination of SYS and Kratos creates a broad, complementary set of offerings, and positions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 The amount of goodwill assigned in the allocation of purchase price is primarily attributable to the aforementioned advantages of this acquisition.</w:t>
      </w:r>
    </w:p>
    <w:p>
      <w:pPr>
        <w:spacing w:after="0" w:line="1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purchase price of $55.9 million includes direct transaction costs of $2.4 million and estimated restructuring costs to be paid by Kratos. The value of the purchase price related to the common stock issued was derived from the number of shares of Kratos common stock issued of 2.5 million, based on 20.1 million shares of SYS common stock outstanding and the exchange ratio of 0.12582 for each SYS share, at a price of $20.22 per share, the average closing price of Kratos common stock on the announcement date and for the two days prior to and two days subsequent to the public announcement of the merger on February 21, 2008.</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Consolidated Statements of Operations for the years ended December 28, 2008 and December 27, 2009, includes the results of SYS's operations from the date of acquisition, June 28, 2008.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$2.4 million, to the fair value of the assets acquired and liabilities assumed at the date of acquisition (in millions):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$6.7 million which was tax deductible to SYS.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Haverstick Consulting, Inc.</w:t>
      </w:r>
    </w:p>
    <w:p>
      <w:pPr>
        <w:spacing w:after="0" w:line="225" w:lineRule="exact"/>
        <w:rPr>
          <w:sz w:val="20"/>
          <w:szCs w:val="20"/>
          <w:color w:val="auto"/>
        </w:rPr>
      </w:pPr>
    </w:p>
    <w:p>
      <w:pPr>
        <w:jc w:val="both"/>
        <w:ind w:right="420" w:firstLine="351"/>
        <w:spacing w:after="0" w:line="298" w:lineRule="auto"/>
        <w:rPr>
          <w:sz w:val="20"/>
          <w:szCs w:val="20"/>
          <w:color w:val="auto"/>
        </w:rPr>
      </w:pPr>
      <w:r>
        <w:rPr>
          <w:rFonts w:ascii="Arial" w:cs="Arial" w:eastAsia="Arial" w:hAnsi="Arial"/>
          <w:sz w:val="16"/>
          <w:szCs w:val="16"/>
          <w:color w:val="auto"/>
        </w:rPr>
        <w:t>On December 31, 2007, the Company acquired 100% of the voting equity interests of Indianapolis, Indiana headquartered Haverstick Consulting, Inc. (Haverstick) as part of the Company's KGS segment. Haverstick provides rocket and missile test and evaluation, weapons systems support, and professional services to the U.S. Army, U.S. Air Force, U.S. Navy, NASA, and other federal, state and local agencies. Through the Haverstick acquisition, the Company expanded its customer relationship within the DoD and enhanced its presence with the U.S. Air Force, a key growth area for Haverstick.</w:t>
      </w:r>
    </w:p>
    <w:p>
      <w:pPr>
        <w:spacing w:after="0" w:line="167" w:lineRule="exact"/>
        <w:rPr>
          <w:sz w:val="20"/>
          <w:szCs w:val="20"/>
          <w:color w:val="auto"/>
        </w:rPr>
      </w:pPr>
    </w:p>
    <w:p>
      <w:pPr>
        <w:ind w:firstLine="348"/>
        <w:spacing w:after="0" w:line="252" w:lineRule="auto"/>
        <w:rPr>
          <w:sz w:val="20"/>
          <w:szCs w:val="20"/>
          <w:color w:val="auto"/>
        </w:rPr>
      </w:pPr>
      <w:r>
        <w:rPr>
          <w:rFonts w:ascii="Arial" w:cs="Arial" w:eastAsia="Arial" w:hAnsi="Arial"/>
          <w:sz w:val="18"/>
          <w:szCs w:val="18"/>
          <w:color w:val="auto"/>
        </w:rPr>
        <w:t>The total purchase price for the Haverstick acquisition was $92.0 million, including transaction costs incurred of $0.8 million. The purchase price paid to Haverstick of $91.2 million was paid in a combination of $70.3 million of cash and common stock valued at $19.4 million based on 748,000 shares at a price of $26.00 per share, the average closing price of Kratos shares of common stock for the two days prior to, including, and the two days subsequent to the public announcement of the acquisition on November 5, 2007, and a working capital adjustment of $1.5 million. The Company held back $8.6 million, $1.2 million in cash and $7.4 million in stock, to secure any negative working capital adjustments required by the merger agreement and its indemnity rights. The holdback consideration, which accrued interest in accordance with the terms of the agreement until paid, was to be initially released on the 12th month and 21st month after the date of the acquisition. As a result of a claims notice the Company filed in relation to an indemnity claim which could have exceeded the amount of the holdback consideration payable due to Haverstick, the Company did not make the December 2008 holdback payment. In March 2009, the indemnity claim against Haverstick was resolved and the December holdback payment of $4.3 million was paid. The final holdback payment of $4.3 million was made in October 2009.</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31"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In addition to the indemnity holdback, the agreement also called for a post closing working capital adjustment. In February 2008, the Company and Haverstick agreed on the working capital calculation called for in the agreement. The calculation resulted in a working capital adjustment due to Haverstick in an amount of $1.5 million. The working capital adjustment was paid in April 2008 with 69,731 shares of common stock valued at $1.3 million and cash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$0.2 million. To fund the acquisition, the Company secured a new credit facility of $85.0 million arranged by KeyBanc Capital Markets. The credit facility, which includes a $25.0 million line of credit and $60.0 million in term notes, replaced the Company's previous credit facility, which had an outstanding principal balance of $6.0 million on December 31, 2007. Until the date on which the shares of stock issued to Haverstick became saleable, interest accrued on the value of the closing stock at a floating rate of one-month LIBOR plus four percent (4%) per annum. The shares became saleable on June 30, 2008 and 16,769 additional shares were issued in satisfaction of the accrued interest.</w:t>
      </w:r>
    </w:p>
    <w:p>
      <w:pPr>
        <w:spacing w:after="0" w:line="19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Consolidated Statements of Operations for the year ended December 28, 2008 and December 27, 2009 includes the results of Haverstick's operations for the entire two years. The results of Haverstick's operations are not included in the accompanying Consolidated Statement of Operations for the year ended December 31, 2007.</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w w:val="91"/>
              </w:rPr>
              <w:t>The purchase price which includes transaction costs of $0.8 million was accounted for as follows (in millions):</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4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000" w:type="dxa"/>
            <w:vAlign w:val="bottom"/>
            <w:gridSpan w:val="2"/>
            <w:vMerge w:val="restart"/>
          </w:tcPr>
          <w:p>
            <w:pPr>
              <w:ind w:left="194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tables summarize the supplemental statements of operations information on an unaudited pro forma basis as if the acquisitions of DFI, SYS, and Haverstick had occurred on January 1, 2007, and include adjustments that were directly attributable to the transactions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they indicative of results of operations which may occur in the future (all amounts, except per share amounts are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 forma</w:t>
            </w:r>
          </w:p>
        </w:tc>
        <w:tc>
          <w:tcPr>
            <w:tcW w:w="120" w:type="dxa"/>
            <w:vAlign w:val="bottom"/>
          </w:tcPr>
          <w:p>
            <w:pPr>
              <w:spacing w:after="0"/>
              <w:rPr>
                <w:sz w:val="14"/>
                <w:szCs w:val="1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Pro forma</w:t>
            </w:r>
          </w:p>
        </w:tc>
      </w:tr>
      <w:tr>
        <w:trPr>
          <w:trHeight w:val="161"/>
        </w:trPr>
        <w:tc>
          <w:tcPr>
            <w:tcW w:w="37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Reported</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 forma net loss</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or issued for acquisition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Basic and diluted pro forma net loss per share</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778"/>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 forma</w:t>
            </w:r>
          </w:p>
        </w:tc>
        <w:tc>
          <w:tcPr>
            <w:tcW w:w="120" w:type="dxa"/>
            <w:vAlign w:val="bottom"/>
          </w:tcPr>
          <w:p>
            <w:pPr>
              <w:spacing w:after="0"/>
              <w:rPr>
                <w:sz w:val="24"/>
                <w:szCs w:val="2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24"/>
                <w:szCs w:val="24"/>
                <w:color w:val="auto"/>
              </w:rPr>
            </w:pPr>
          </w:p>
        </w:tc>
      </w:tr>
      <w:tr>
        <w:trPr>
          <w:trHeight w:val="149"/>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Pro forma</w:t>
            </w:r>
          </w:p>
        </w:tc>
      </w:tr>
      <w:tr>
        <w:trPr>
          <w:trHeight w:val="161"/>
        </w:trPr>
        <w:tc>
          <w:tcPr>
            <w:tcW w:w="37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Reported</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 forma net loss</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or issued for acquisition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Basic and diluted pro forma net loss per share</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In connection with two prior business acquisitions, Madison Research Corporation (MRC) and Haverstick, the Company agreed to make additional future payments to sellers contingent upon achievement of specific performance-based milestones by the acquired entities. Pursuant to the provisions of </w:t>
      </w:r>
      <w:r>
        <w:rPr>
          <w:rFonts w:ascii="Arial" w:cs="Arial" w:eastAsia="Arial" w:hAnsi="Arial"/>
          <w:sz w:val="18"/>
          <w:szCs w:val="18"/>
          <w:i w:val="1"/>
          <w:iCs w:val="1"/>
          <w:color w:val="auto"/>
        </w:rPr>
        <w:t>FASB ASC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805 Business Combinations </w:t>
      </w:r>
      <w:r>
        <w:rPr>
          <w:rFonts w:ascii="Arial" w:cs="Arial" w:eastAsia="Arial" w:hAnsi="Arial"/>
          <w:sz w:val="18"/>
          <w:szCs w:val="18"/>
          <w:color w:val="auto"/>
        </w:rPr>
        <w:t>such amounts are accrued, and therefore, recorded by the Company when the contingency is resolved beyond a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doubt and the additional consideration becomes payable.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contingent acquisition consideration as of December 28, 2008 and December 27, 2009 is summarized in the following table (in millions):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Haverstick</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MRC</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Issuance of stock</w:t>
            </w:r>
          </w:p>
        </w:tc>
        <w:tc>
          <w:tcPr>
            <w:tcW w:w="3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and interest cash payments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22"/>
        </w:trPr>
        <w:tc>
          <w:tcPr>
            <w:tcW w:w="4520" w:type="dxa"/>
            <w:vAlign w:val="bottom"/>
          </w:tcPr>
          <w:p>
            <w:pPr>
              <w:ind w:left="120"/>
              <w:spacing w:after="0"/>
              <w:rPr>
                <w:sz w:val="20"/>
                <w:szCs w:val="20"/>
                <w:color w:val="auto"/>
              </w:rPr>
            </w:pPr>
            <w:r>
              <w:rPr>
                <w:rFonts w:ascii="Arial" w:cs="Arial" w:eastAsia="Arial" w:hAnsi="Arial"/>
                <w:sz w:val="18"/>
                <w:szCs w:val="18"/>
                <w:color w:val="auto"/>
              </w:rPr>
              <w:t>Post acquisition adjustments and interest accruals</w:t>
            </w: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2009, all remaining hold-back amounts of $3.6 million in cash and $7.4 million in stock due to the former shareholders of Madison Research Corporation and Haverstick were paid.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As of December 27, 2009, the Company had no short-term investments. The cash and cash equivalents at December 28, 2008 and December 27, 2009 were as follows (in millions):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5"/>
              </w:rPr>
              <w:t>December 28, 2008</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w w:val="95"/>
              </w:rPr>
              <w:t>December 27, 2009</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16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Amortized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Amortized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9.9</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gains and realized gains recorded during the years ended December 28, 2008 and December 27, 2009 were immaterial.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breakdown of certain assets in the consolidated balance sheets consists of the following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Billed, current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 current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accounts receivable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accounts receivable, net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 long-term (included in other long term assets)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accounts receivable,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Government contract receivables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28,</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Government contract receivables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Retainages receivable are $4.1 million as of December 28, 2008 and December 27, 2009.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00" w:type="dxa"/>
            <w:vAlign w:val="bottom"/>
          </w:tcPr>
          <w:p>
            <w:pPr>
              <w:spacing w:after="0"/>
              <w:rPr>
                <w:sz w:val="19"/>
                <w:szCs w:val="19"/>
                <w:color w:val="auto"/>
              </w:rPr>
            </w:pPr>
          </w:p>
        </w:tc>
        <w:tc>
          <w:tcPr>
            <w:tcW w:w="4600" w:type="dxa"/>
            <w:vAlign w:val="bottom"/>
          </w:tcPr>
          <w:p>
            <w:pPr>
              <w:ind w:left="2700"/>
              <w:spacing w:after="0"/>
              <w:rPr>
                <w:sz w:val="20"/>
                <w:szCs w:val="20"/>
                <w:color w:val="auto"/>
              </w:rPr>
            </w:pPr>
            <w:r>
              <w:rPr>
                <w:rFonts w:ascii="Arial" w:cs="Arial" w:eastAsia="Arial" w:hAnsi="Arial"/>
                <w:sz w:val="18"/>
                <w:szCs w:val="18"/>
                <w:b w:val="1"/>
                <w:bCs w:val="1"/>
                <w:color w:val="auto"/>
              </w:rPr>
              <w:t>December 27, 2009</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Details (Continued)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 net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23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28,</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27,</w:t>
            </w:r>
          </w:p>
        </w:tc>
      </w:tr>
      <w:tr>
        <w:trPr>
          <w:trHeight w:val="161"/>
        </w:trPr>
        <w:tc>
          <w:tcPr>
            <w:tcW w:w="2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r>
      <w:tr>
        <w:trPr>
          <w:trHeight w:val="216"/>
        </w:trPr>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16"/>
        </w:trPr>
        <w:tc>
          <w:tcPr>
            <w:tcW w:w="23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Facility under capital lease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22"/>
        </w:trPr>
        <w:tc>
          <w:tcPr>
            <w:tcW w:w="23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r>
      <w:tr>
        <w:trPr>
          <w:trHeight w:val="27"/>
        </w:trPr>
        <w:tc>
          <w:tcPr>
            <w:tcW w:w="2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Depreciation expense was $1.6 million, $2.4 million and $2.6 million for the years ended December 31, 2007, December 28, 2008, and December 27, 2009,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During fiscal year 2008 and 2009, the Company had a credit facility of $85.0 million with KeyBank National Association (KeyBank) as administrative agent. This credit facility provided for two term loans consisting of a first lien term note of $50.0 million and a second lien term note of $10.0 million, as well as a first lien $25.0 million revolving line of credit, and was collateralized by the assets of the Company and its subsidiaries. KeyBank holds the revolving line of credit and the second lien term note. Field Point III, Ltd. and SPF CDO I, Ltd., both affiliates of Silverpoint Capital LP (Silverpoint), hold the first lien term note. The $10.0 million term loan had a five and one half-year term with principal payments of $25,000 required quarterly from March 31, 2008 through March 31, 2013 with the final balance of $9.5 million due on June 30, 2013. The $50.0 million term loan had a five-year term with principal payments of $0.6 million required quarterly beginning on March 31, 2008, $1.3 million in 2009, $2.5 million in 2010, and $4.1 million in 2011 and 2012. The term loans had a provision which states that once the full amount of the note has been borrowed, the notes cannot be paid down and reborrowed again. The revolving line of credit had a five-year term which expires on December 31, 2012. All loans under the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are subject to a LIBOR floor of 4.25% and a "prime rate" floor of 5.25%.</w:t>
      </w:r>
    </w:p>
    <w:p>
      <w:pPr>
        <w:spacing w:after="0" w:line="178"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credit agreements contained covenants which impose certain restrictions on the Company's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agreements contained certain financial covenants which are defined by the terms of the agreements. These financial covenants included a maximum first lien leverage ratio, a maximum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total leverage ratio, a minimum liquidity ratio, a minimum fixed charge coverage ratio, and a minimum consolidated EBITDA at various dates for the $50.0 million term loan and the $25.0 million revolver as outlined in the following table.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Maximum First</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Minimum Fixed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Lien Leverage</w:t>
            </w:r>
          </w:p>
        </w:tc>
        <w:tc>
          <w:tcPr>
            <w:tcW w:w="160" w:type="dxa"/>
            <w:vAlign w:val="bottom"/>
          </w:tcPr>
          <w:p>
            <w:pPr>
              <w:spacing w:after="0"/>
              <w:rPr>
                <w:sz w:val="12"/>
                <w:szCs w:val="12"/>
                <w:color w:val="auto"/>
              </w:rPr>
            </w:pPr>
          </w:p>
        </w:tc>
        <w:tc>
          <w:tcPr>
            <w:tcW w:w="136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rPr>
              <w:t>Maximum Total</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Minimum</w:t>
            </w:r>
          </w:p>
        </w:tc>
        <w:tc>
          <w:tcPr>
            <w:tcW w:w="1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Charge Coverage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EBITDA</w:t>
            </w:r>
          </w:p>
        </w:tc>
        <w:tc>
          <w:tcPr>
            <w:tcW w:w="0" w:type="dxa"/>
            <w:vAlign w:val="bottom"/>
          </w:tcPr>
          <w:p>
            <w:pPr>
              <w:spacing w:after="0"/>
              <w:rPr>
                <w:sz w:val="1"/>
                <w:szCs w:val="1"/>
                <w:color w:val="auto"/>
              </w:rPr>
            </w:pPr>
          </w:p>
        </w:tc>
      </w:tr>
      <w:tr>
        <w:trPr>
          <w:trHeight w:val="161"/>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60" w:type="dxa"/>
            <w:vAlign w:val="bottom"/>
          </w:tcPr>
          <w:p>
            <w:pPr>
              <w:spacing w:after="0"/>
              <w:rPr>
                <w:sz w:val="14"/>
                <w:szCs w:val="14"/>
                <w:color w:val="auto"/>
              </w:rPr>
            </w:pPr>
          </w:p>
        </w:tc>
        <w:tc>
          <w:tcPr>
            <w:tcW w:w="1360" w:type="dxa"/>
            <w:vAlign w:val="bottom"/>
          </w:tcPr>
          <w:p>
            <w:pPr>
              <w:jc w:val="right"/>
              <w:ind w:right="166"/>
              <w:spacing w:after="0"/>
              <w:rPr>
                <w:sz w:val="20"/>
                <w:szCs w:val="20"/>
                <w:color w:val="auto"/>
              </w:rPr>
            </w:pPr>
            <w:r>
              <w:rPr>
                <w:rFonts w:ascii="Arial" w:cs="Arial" w:eastAsia="Arial" w:hAnsi="Arial"/>
                <w:sz w:val="14"/>
                <w:szCs w:val="14"/>
                <w:b w:val="1"/>
                <w:bCs w:val="1"/>
                <w:color w:val="auto"/>
              </w:rPr>
              <w:t>Leverage Ratio</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Liquidity Ratio</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Ratio</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 to 2.00:1.00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 to 2.50:1.00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1.33 to 1.17:1.00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 to 1.06:1.00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21.5 to $23.4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2011</w:t>
            </w:r>
          </w:p>
        </w:tc>
        <w:tc>
          <w:tcPr>
            <w:tcW w:w="1340" w:type="dxa"/>
            <w:vAlign w:val="bottom"/>
          </w:tcPr>
          <w:p>
            <w:pPr>
              <w:jc w:val="right"/>
              <w:spacing w:after="0"/>
              <w:rPr>
                <w:sz w:val="20"/>
                <w:szCs w:val="20"/>
                <w:color w:val="auto"/>
              </w:rPr>
            </w:pPr>
            <w:r>
              <w:rPr>
                <w:rFonts w:ascii="Arial" w:cs="Arial" w:eastAsia="Arial" w:hAnsi="Arial"/>
                <w:sz w:val="18"/>
                <w:szCs w:val="18"/>
                <w:color w:val="auto"/>
              </w:rPr>
              <w:t>1.75:1.00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2.25:1.00</w:t>
            </w:r>
          </w:p>
        </w:tc>
        <w:tc>
          <w:tcPr>
            <w:tcW w:w="16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w w:val="87"/>
              </w:rPr>
              <w:t>1.17 to 1.04:1.00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1.10:1.00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24.4 to $26.5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1.04 to 1.42:1.00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26.7 to $27.6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$10.0 million subordinated term loan also contained similar financial covenants.</w:t>
      </w:r>
    </w:p>
    <w:p>
      <w:pPr>
        <w:spacing w:after="0" w:line="225" w:lineRule="exact"/>
        <w:rPr>
          <w:sz w:val="20"/>
          <w:szCs w:val="20"/>
          <w:color w:val="auto"/>
        </w:rPr>
      </w:pPr>
    </w:p>
    <w:p>
      <w:pPr>
        <w:ind w:right="140" w:firstLine="341"/>
        <w:spacing w:after="0" w:line="286" w:lineRule="auto"/>
        <w:rPr>
          <w:sz w:val="20"/>
          <w:szCs w:val="20"/>
          <w:color w:val="auto"/>
        </w:rPr>
      </w:pPr>
      <w:r>
        <w:rPr>
          <w:rFonts w:ascii="Arial" w:cs="Arial" w:eastAsia="Arial" w:hAnsi="Arial"/>
          <w:sz w:val="16"/>
          <w:szCs w:val="16"/>
          <w:color w:val="auto"/>
        </w:rPr>
        <w:t>As of December 28, 2008, and December 27, 2009, the Company's outstanding balance on the facility was $78.8 million and $54.4 million with a weighted average interest rate of 10.66% and 10.12%, respectively. As of December 27, 2009, the unused line of credit under the revolving line of credit, net of</w:t>
      </w:r>
    </w:p>
    <w:p>
      <w:pPr>
        <w:ind w:right="40"/>
        <w:spacing w:after="0" w:line="254" w:lineRule="auto"/>
        <w:rPr>
          <w:sz w:val="20"/>
          <w:szCs w:val="20"/>
          <w:color w:val="auto"/>
        </w:rPr>
      </w:pPr>
      <w:r>
        <w:rPr>
          <w:rFonts w:ascii="Arial" w:cs="Arial" w:eastAsia="Arial" w:hAnsi="Arial"/>
          <w:sz w:val="18"/>
          <w:szCs w:val="18"/>
          <w:color w:val="auto"/>
        </w:rPr>
        <w:t>$1.5 million in outstanding letters of credit, was approximately $3.8 million. The only restriction on the use of these funds is that the Company was required to be in compliance with covenants of this credit facility through September 27, 2009. This credit agreement was replaced on March 3, 2010 as discussed in Note 17 Subsequent Events and the debt covenant compliance for the quarter and year ended December 27, 2009 was not required as a result of the termination of the credit facility.</w:t>
      </w:r>
    </w:p>
    <w:p>
      <w:pPr>
        <w:spacing w:after="0" w:line="198"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March 2008, the Company entered into a tentative agreement to settle its 2004 and 2007 securities class action litigation actions and, as a result, the Company recorded a $4.9 million charge in the quarter ended December 31, 2007 to accrue its share of the settlement amounts and an estimate for a contingent liability associated with legal proceedings related to the derivative actions, net of the amounts to be covered by the Company's insurance carriers. As a consequence of recording this legal settlement, the Company did not meet certain of the financial covenants in accordance with the credit facility. Accordingly, on March 27, 2008, the Company obtained an amendment and waiver from its lenders to waive the impact of the legal settlement amounts on its financial covenants as of December 31, 2007 and the affected future periods. The amendment also amended the credit facility to provide for an increase in the LIBOR floor rate to</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4.25% and to require that the Company set aside in a restricted account approximately 50% of the proceeds of the recovery from the theft of stock options by its former stock option administrator, or approximately $1.7 million, to fund these settlement amounts. In April 2008, $1.7 million was transferred to a restricted cash account and in July 2008, an additional $0.6 million was transferred for the amount received from the insurance carriers as settlement on the theft of stock options. In July 2008, the funding of the 2007 Securities Litigation Settlement included the use of $1.2 million of the cash from the restricted account. The lenders have also reserved the right to require the Company to utilize the entire amount of the $3.4 million in proceeds received from the theft of stock options to permanently pay down indebtedness. This right can be exercised no earlier than 60 days from March 27, 2008 and expired upon the Company's compliance with financial covenants under the credit facility for the four consecutive quarters commencing after January 1, 2008. The cost of the amendment, which was approximately $0.5 million, was recorded as deferred financing costs in current assets on the accompanying consolidated balance sheet which will be amortized over the remaining life of the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26, 2008, the Company entered into a second amendment to its credit facility in order to complete the merger with SYS. The amendment specifically approves that certain unsecured subordinated convertible notes issued by SYS be treated as subordinated debt under the credit facility, provided that a Subordination Agreement is obtained from the note holders representing no less than 95% of the aggregate principal amount of all subordinated notes, which was obtained in July 2008. In addition, the amendment provides for an add-back for amounts representing actual transaction costs incurred by an acquired entity in the computation of Consolidated EBITDA, as defined in the credit agreement, in any acquisition in which 100% of the purchase price is paid in equity securities of the Company.</w:t>
      </w:r>
    </w:p>
    <w:p>
      <w:pPr>
        <w:spacing w:after="0" w:line="19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February 11, 2008, the Company entered into three derivative financial instruments with Key Bank to reduce the Company's exposure to its variable interest rates on its outstanding debt. These instruments initially hedged $70.0 million of its LIBOR-based floating rate debt with the amounts hedged decreasing over time. The derivatives mature on March 31, 2010 and March 31, 2011 and result in an average fixed rate of 3.16% for the term of the agreements. The Company designated these instruments as cash flow hedges. In March 2008, as a result of the amendment to the Company's credit facility, which included a LIBOR floor rate of 4.25%, the Company determined that these instruments were no longer highly effective as a hedge. The net adjustment associated with marking the derivative financial instruments to market for the years ended December 28, 2008 and December 27, 2009, was a $1.7 million loss and a $0.4 million gain and has been reflected in other income (expense) in the Company's Consolidated Statements of Operations. See Note 9.</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2008, the Company paid approximately $1.8 million related to the 2007 securities litigation and $3.0 million related to the 2004 securities litigation settlements in 2008. This amount was partially funded by $2.2 million from the restricted cash account which was funded as a result of the first amendment to the current credit facility. The Company was reimbursed for $0.6 million of the payment related to the 2004 securities litigation settlement by the Company's insurance in March 2009. The Company paid $0.1 million in January 2010 related to the derivative settlement.</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June 4, 2009, the Company filed a complaint in the United States District Court for the Northern District of Ohio against the lenders under its credit agreement, Field Point III, Ltd. and SPF CDO I, Ltd., both affiliates of Silverpoint, and KeyBank seeking equitable relief in the form of reformation of an error in a contract schedule, declaratory relief and damages. The error resulted from the erroneous preparation of a schedule to the loan documents consisting of calculations relating to a financial covenant. The Company was specifically seeking reformation of the error in the Minimum Liquidity Ratio covenant.</w:t>
      </w:r>
    </w:p>
    <w:p>
      <w:pPr>
        <w:spacing w:after="0" w:line="16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On October 16, 2009, the Company and the lenders under its credit agreement executed a Settlement Agreement related to this complaint and executed a Third Amendment to its Credit Agreement. Under the Settlement Agreement, the parties dismissed the action and a related action with prejudice. Among other things, the Settlement Agreement and Third Amendment:</w:t>
      </w:r>
    </w:p>
    <w:p>
      <w:pPr>
        <w:spacing w:after="0" w:line="20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reformed the error in the minimum liquidity ratio in accordance with the Company's request;</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that the net proceeds from the Company's registered direct public offering on September 2, 2009 must be used to reduce the first term loan at par with no prepayment penalty or make whole payments;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45" w:lineRule="exact"/>
        <w:rPr>
          <w:sz w:val="20"/>
          <w:szCs w:val="20"/>
          <w:color w:val="auto"/>
        </w:rPr>
      </w:pPr>
    </w:p>
    <w:p>
      <w:pPr>
        <w:ind w:left="1080" w:right="1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provided that if the Company refinances the remaining balance of the first lien term loan by March 12, 2010, the extinguishment of the term loan will be at par with no prepayment penalty or make whole payments;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extended the term on the revolving line of credit by one year to December 31, 2012;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required the Company to pay a $0.5 million fee to its lenders.</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In September 2009, $17.5 million of the net proceeds from the Company's registered direct public offering was used to reduce the balance on the Company's revolving line of credit. In October 2009, the Company borrowed $17.5 million from its revolving line of credit to make the payment of $17.5 million on the first lien term loan in accordance with the terms of the Settlement Agreement and the Third Amendment to its Credit Agreement and also made a payment $0.5 million in fees to the lenders.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3, 2010, the Company entered into a new secured credit agreement. See Note 17 Subsequent Events for further details.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Subordinated Notes</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December 28, 2008, the Company had outstanding convertible notes payable totaling $3.1 million which were acquired as a result of the SYS acquisition, of which $0.8 million was payable to related parties. The convertible notes payable are unsecured and subordinated to the Company's bank debt and bear interest at 10% per annum payable quarterly. Principal was due February 14, 2009 and the notes were convertible at any time into shares of common stock at a conversion rate of $28.60 per share. In February 2009, in the interest of preserving cash due to the current macroeconomic conditions, the Company provided each note holder with the option to:</w:t>
      </w:r>
    </w:p>
    <w:p>
      <w:pPr>
        <w:spacing w:after="0" w:line="210"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$28.60 per share or the Kratos closing share value on February 13, 2009; or</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 the principal balance into Kratos shares at the lower of the existing conversion price of $28.60 or the Kratos closing share value on February 13, 2009 less a 10% discount.</w:t>
      </w:r>
    </w:p>
    <w:p>
      <w:pPr>
        <w:spacing w:after="0" w:line="186" w:lineRule="exact"/>
        <w:rPr>
          <w:sz w:val="20"/>
          <w:szCs w:val="20"/>
          <w:color w:val="auto"/>
        </w:rPr>
      </w:pPr>
    </w:p>
    <w:p>
      <w:pPr>
        <w:jc w:val="both"/>
        <w:ind w:right="80" w:firstLine="341"/>
        <w:spacing w:after="0" w:line="298" w:lineRule="auto"/>
        <w:rPr>
          <w:sz w:val="20"/>
          <w:szCs w:val="20"/>
          <w:color w:val="auto"/>
        </w:rPr>
      </w:pPr>
      <w:r>
        <w:rPr>
          <w:rFonts w:ascii="Arial" w:cs="Arial" w:eastAsia="Arial" w:hAnsi="Arial"/>
          <w:sz w:val="16"/>
          <w:szCs w:val="16"/>
          <w:color w:val="auto"/>
        </w:rPr>
        <w:t>As of December 27, 2009, $2.1 million of the notes had been paid and $1.0 million of the notes had been extended to August 14, 2010, $25,000 of which is payable to a related party. The balance of the outstanding notes of $1.0 million, which is potentially convertible into common stock of Kratos at $10.20 per share or approximately 94,000 shares, is reflected in the current portion of long-term debt in the accompanying Consolidated Balance Sheet as of December 27, 2009. Interest expense on the convertible notes for the year ended December 27, 2009 was $0.1 million.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maturities of long-term debt reflect the Company's refinancing in March 2010. See Note 17 Subsequent Events.</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40" w:type="dxa"/>
            <w:vAlign w:val="bottom"/>
            <w:shd w:val="clear" w:color="auto" w:fill="CCEEFF"/>
          </w:tcPr>
          <w:p>
            <w:pPr>
              <w:jc w:val="right"/>
              <w:ind w:right="5712"/>
              <w:spacing w:after="0"/>
              <w:rPr>
                <w:sz w:val="20"/>
                <w:szCs w:val="20"/>
                <w:color w:val="auto"/>
              </w:rPr>
            </w:pPr>
            <w:r>
              <w:rPr>
                <w:rFonts w:ascii="Arial" w:cs="Arial" w:eastAsia="Arial" w:hAnsi="Arial"/>
                <w:sz w:val="18"/>
                <w:szCs w:val="18"/>
                <w:color w:val="auto"/>
                <w:w w:val="79"/>
              </w:rPr>
              <w:t>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r>
      <w:tr>
        <w:trPr>
          <w:trHeight w:val="216"/>
        </w:trPr>
        <w:tc>
          <w:tcPr>
            <w:tcW w:w="6140" w:type="dxa"/>
            <w:vAlign w:val="bottom"/>
          </w:tcPr>
          <w:p>
            <w:pPr>
              <w:jc w:val="right"/>
              <w:ind w:right="5712"/>
              <w:spacing w:after="0"/>
              <w:rPr>
                <w:sz w:val="20"/>
                <w:szCs w:val="20"/>
                <w:color w:val="auto"/>
              </w:rPr>
            </w:pPr>
            <w:r>
              <w:rPr>
                <w:rFonts w:ascii="Arial" w:cs="Arial" w:eastAsia="Arial" w:hAnsi="Arial"/>
                <w:sz w:val="18"/>
                <w:szCs w:val="18"/>
                <w:color w:val="auto"/>
                <w:w w:val="79"/>
              </w:rPr>
              <w:t>2011</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6140" w:type="dxa"/>
            <w:vAlign w:val="bottom"/>
            <w:shd w:val="clear" w:color="auto" w:fill="CCEEFF"/>
          </w:tcPr>
          <w:p>
            <w:pPr>
              <w:jc w:val="right"/>
              <w:ind w:right="5712"/>
              <w:spacing w:after="0"/>
              <w:rPr>
                <w:sz w:val="20"/>
                <w:szCs w:val="20"/>
                <w:color w:val="auto"/>
              </w:rPr>
            </w:pPr>
            <w:r>
              <w:rPr>
                <w:rFonts w:ascii="Arial" w:cs="Arial" w:eastAsia="Arial" w:hAnsi="Arial"/>
                <w:sz w:val="18"/>
                <w:szCs w:val="18"/>
                <w:color w:val="auto"/>
                <w:w w:val="79"/>
              </w:rPr>
              <w:t>2012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r>
      <w:tr>
        <w:trPr>
          <w:trHeight w:val="222"/>
        </w:trPr>
        <w:tc>
          <w:tcPr>
            <w:tcW w:w="6140" w:type="dxa"/>
            <w:vAlign w:val="bottom"/>
          </w:tcPr>
          <w:p>
            <w:pPr>
              <w:jc w:val="right"/>
              <w:ind w:right="5712"/>
              <w:spacing w:after="0"/>
              <w:rPr>
                <w:sz w:val="20"/>
                <w:szCs w:val="20"/>
                <w:color w:val="auto"/>
              </w:rPr>
            </w:pPr>
            <w:r>
              <w:rPr>
                <w:rFonts w:ascii="Arial" w:cs="Arial" w:eastAsia="Arial" w:hAnsi="Arial"/>
                <w:sz w:val="18"/>
                <w:szCs w:val="18"/>
                <w:color w:val="auto"/>
                <w:w w:val="79"/>
              </w:rPr>
              <w:t>2013</w:t>
            </w:r>
          </w:p>
        </w:tc>
        <w:tc>
          <w:tcPr>
            <w:tcW w:w="1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r>
      <w:tr>
        <w:trPr>
          <w:trHeight w:val="21"/>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r>
      <w:tr>
        <w:trPr>
          <w:trHeight w:val="27"/>
        </w:trPr>
        <w:tc>
          <w:tcPr>
            <w:tcW w:w="6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w:t>
      </w:r>
    </w:p>
    <w:p>
      <w:pPr>
        <w:spacing w:after="0" w:line="231"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Company leases certain facilities and equipment under operating and capital leases having terms expiring at various dates through 2018. Future minimum lease payments under capital and operating leases as of December 27, 2009 are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32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6900" w:type="dxa"/>
            <w:vAlign w:val="bottom"/>
            <w:gridSpan w:val="3"/>
          </w:tcPr>
          <w:p>
            <w:pPr>
              <w:ind w:left="230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5"/>
              </w:rPr>
              <w:t>Leases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2011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05"/>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future minimum lease payments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gridSpan w:val="3"/>
            <w:vMerge w:val="restart"/>
          </w:tcPr>
          <w:p>
            <w:pPr>
              <w:ind w:left="2300"/>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3"/>
            <w:vMerge w:val="restart"/>
          </w:tcPr>
          <w:p>
            <w:pPr>
              <w:jc w:val="right"/>
              <w:ind w:right="10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Present value of capital lease obligations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0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capital lease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gridSpan w:val="3"/>
            <w:vMerge w:val="restart"/>
          </w:tcPr>
          <w:p>
            <w:pPr>
              <w:ind w:left="360"/>
              <w:spacing w:after="0"/>
              <w:rPr>
                <w:sz w:val="20"/>
                <w:szCs w:val="20"/>
                <w:color w:val="auto"/>
              </w:rPr>
            </w:pPr>
            <w:r>
              <w:rPr>
                <w:rFonts w:ascii="Arial" w:cs="Arial" w:eastAsia="Arial" w:hAnsi="Arial"/>
                <w:sz w:val="18"/>
                <w:szCs w:val="18"/>
                <w:color w:val="auto"/>
                <w:w w:val="94"/>
              </w:rPr>
              <w:t>The following is an analysis of the leased property under capital leases by major class:</w:t>
            </w: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December 28,</w:t>
            </w:r>
          </w:p>
        </w:tc>
        <w:tc>
          <w:tcPr>
            <w:tcW w:w="33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Classes of Property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gridSpan w:val="3"/>
            <w:vMerge w:val="restart"/>
          </w:tcPr>
          <w:p>
            <w:pPr>
              <w:ind w:left="23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00" w:type="dxa"/>
            <w:vAlign w:val="bottom"/>
            <w:gridSpan w:val="3"/>
            <w:vMerge w:val="continue"/>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80" w:type="dxa"/>
            <w:vAlign w:val="bottom"/>
            <w:tcBorders>
              <w:top w:val="single" w:sz="8" w:color="auto"/>
            </w:tcBorders>
          </w:tcPr>
          <w:p>
            <w:pPr>
              <w:jc w:val="right"/>
              <w:ind w:right="398"/>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00" w:type="dxa"/>
            <w:vAlign w:val="bottom"/>
            <w:gridSpan w:val="3"/>
            <w:vMerge w:val="restart"/>
          </w:tcPr>
          <w:p>
            <w:pPr>
              <w:ind w:left="5580"/>
              <w:spacing w:after="0"/>
              <w:rPr>
                <w:sz w:val="20"/>
                <w:szCs w:val="20"/>
                <w:color w:val="auto"/>
              </w:rPr>
            </w:pPr>
            <w:r>
              <w:rPr>
                <w:rFonts w:ascii="Arial" w:cs="Arial" w:eastAsia="Arial" w:hAnsi="Arial"/>
                <w:sz w:val="18"/>
                <w:szCs w:val="18"/>
                <w:color w:val="auto"/>
              </w:rPr>
              <w:t>101</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 Commitments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related to capital leases was $0.2 and $0.2 for the years ended December 28, 2008, and December 27, 2009,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Gross rent expense under operating leases for the years ended December 31, 2007, December 28, 2008, and December 27, 2009 was $4.1 million,</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$6.4 million, and $7.3 million, respectively. Total sublease income for the years ended December 31, 2007, December 28, 2008, and December 27, 2009, totaling $0.2 million, $0.4 million, and $0.2, respectively, has been netted against rent expense.</w:t>
      </w:r>
    </w:p>
    <w:p>
      <w:pPr>
        <w:spacing w:after="0" w:line="192"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Based on management's assessment of assumptions considering existing market conditions, sublease rental rates and recoverability of operating lease expenses for the Company's vacant properties and due to the Company's actions to consolidate facilities, the Company reevaluated its accrual for unused office space and determined that a portion of its corporate facility would no longer be utilized to the extent previously expected. As a result, the Company calculated the estimated loss on unused office space to increase by approximately $0.8 million in 2007 for obligations under facility leases that were unfavorably impacted by the Company's recent divestitures of its wireless network services businesses which resulted in unused office space. In 2008, the Company recorded an additional $0.1 million for an excess facility accrual as a result of the consolidation of space that occurred as the Company has integrated its recent acquisitions. In addition, in 2009, the Company consolidated additional space at its Corporate Headquarters which resulted in an additional excess facility accrual of $0.6 million.</w:t>
      </w:r>
    </w:p>
    <w:p>
      <w:pPr>
        <w:spacing w:after="0" w:line="15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accrual for loss on unused office space was $1.2 million and $0.7 million as of December 28, 2008 and December 27, 2009, respectively. The Company estimates that the remaining accrual will be paid through 2012. These amounts are included in asset impairment and other charges on the Company's statements of operations and in other current liabilities and other liabilities in the consolidated balance sheet. 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liabilities in the consolidated balance sheets, of $0.4 million and $0.1 million at December 28, 2008 and December 27, 2009, respectively, to reflect the excess of rent expense over cash payments since inception of the respective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The Company adopted the provisions </w:t>
      </w:r>
      <w:r>
        <w:rPr>
          <w:rFonts w:ascii="Arial" w:cs="Arial" w:eastAsia="Arial" w:hAnsi="Arial"/>
          <w:sz w:val="16"/>
          <w:szCs w:val="16"/>
          <w:i w:val="1"/>
          <w:iCs w:val="1"/>
          <w:color w:val="auto"/>
        </w:rPr>
        <w:t>of FASB ASC Topic 740 Income Taxes (Topic 740)</w:t>
      </w:r>
      <w:r>
        <w:rPr>
          <w:rFonts w:ascii="Arial" w:cs="Arial" w:eastAsia="Arial" w:hAnsi="Arial"/>
          <w:sz w:val="16"/>
          <w:szCs w:val="16"/>
          <w:color w:val="auto"/>
        </w:rPr>
        <w:t xml:space="preserve"> regarding uncertainty in income taxes on January 1, 2007. The total liability for unrecognized tax benefits as of the date of adoption was $4.7 million. Additionally, the Company has a tax refund claim of $2.4 million for which it has not recorded any benefit under </w:t>
      </w:r>
      <w:r>
        <w:rPr>
          <w:rFonts w:ascii="Arial" w:cs="Arial" w:eastAsia="Arial" w:hAnsi="Arial"/>
          <w:sz w:val="16"/>
          <w:szCs w:val="16"/>
          <w:i w:val="1"/>
          <w:iCs w:val="1"/>
          <w:color w:val="auto"/>
        </w:rPr>
        <w:t>Topic 740</w:t>
      </w:r>
      <w:r>
        <w:rPr>
          <w:rFonts w:ascii="Arial" w:cs="Arial" w:eastAsia="Arial" w:hAnsi="Arial"/>
          <w:sz w:val="16"/>
          <w:szCs w:val="16"/>
          <w:color w:val="auto"/>
        </w:rPr>
        <w:t xml:space="preserve"> or prior standards. As a result of the implementation of </w:t>
      </w:r>
      <w:r>
        <w:rPr>
          <w:rFonts w:ascii="Arial" w:cs="Arial" w:eastAsia="Arial" w:hAnsi="Arial"/>
          <w:sz w:val="16"/>
          <w:szCs w:val="16"/>
          <w:i w:val="1"/>
          <w:iCs w:val="1"/>
          <w:color w:val="auto"/>
        </w:rPr>
        <w:t>Topic 740</w:t>
      </w:r>
      <w:r>
        <w:rPr>
          <w:rFonts w:ascii="Arial" w:cs="Arial" w:eastAsia="Arial" w:hAnsi="Arial"/>
          <w:sz w:val="16"/>
          <w:szCs w:val="16"/>
          <w:color w:val="auto"/>
        </w:rPr>
        <w:t>, the Company recognized a $0.7 million increase in the liability for unrecognized tax benefits, with $0.2 million net decrease in valuation allowance, $0.1 million charged to retained earnings, and $0.4 million recorded to goodwill. In addition, the Company reduced its gross deferred tax assets by $10.8 million for unrecognized tax benefits, which was offset by a reduction in its valuation allowance by the same amount.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activity related to the Company's unrecognized tax benefits (in millions):</w:t>
      </w:r>
    </w:p>
    <w:p>
      <w:pPr>
        <w:spacing w:after="0" w:line="298" w:lineRule="exact"/>
        <w:rPr>
          <w:sz w:val="20"/>
          <w:szCs w:val="20"/>
          <w:color w:val="auto"/>
        </w:rPr>
      </w:pPr>
    </w:p>
    <w:p>
      <w:pPr>
        <w:jc w:val="right"/>
        <w:ind w:right="25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0</wp:posOffset>
            </wp:positionV>
            <wp:extent cx="3346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Increases related to prior periods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Decreases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Expiration of applicable statutes of limitations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31, 2007</w:t>
      </w:r>
    </w:p>
    <w:p>
      <w:pPr>
        <w:spacing w:after="0" w:line="5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Increases related to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5"/>
          <w:szCs w:val="15"/>
          <w:color w:val="auto"/>
        </w:rPr>
        <w:t>Decreases related to current year tax positions</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Expiration of applicable statutes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-114935</wp:posOffset>
            </wp:positionV>
            <wp:extent cx="434784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1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Foreign currency translation</w:t>
      </w:r>
    </w:p>
    <w:p>
      <w:pPr>
        <w:spacing w:after="0" w:line="4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Increases related to prior periods</w:t>
      </w:r>
    </w:p>
    <w:p>
      <w:pPr>
        <w:spacing w:after="0" w:line="15"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Decreases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Expiration of applicable statutes of limitations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December 27, 2009</w:t>
      </w:r>
    </w:p>
    <w:p>
      <w:pPr>
        <w:spacing w:after="0" w:line="20" w:lineRule="exact"/>
        <w:rPr>
          <w:sz w:val="20"/>
          <w:szCs w:val="20"/>
          <w:color w:val="auto"/>
        </w:rPr>
      </w:pPr>
      <w:r>
        <w:rPr>
          <w:sz w:val="20"/>
          <w:szCs w:val="20"/>
          <w:color w:val="auto"/>
        </w:rPr>
        <w:br w:type="column"/>
      </w:r>
    </w:p>
    <w:p>
      <w:pPr>
        <w:jc w:val="right"/>
        <w:ind w:right="2440"/>
        <w:spacing w:after="0"/>
        <w:rPr>
          <w:sz w:val="20"/>
          <w:szCs w:val="20"/>
          <w:color w:val="auto"/>
        </w:rPr>
      </w:pPr>
      <w:r>
        <w:rPr>
          <w:rFonts w:ascii="Arial" w:cs="Arial" w:eastAsia="Arial" w:hAnsi="Arial"/>
          <w:sz w:val="16"/>
          <w:szCs w:val="16"/>
          <w:color w:val="auto"/>
        </w:rPr>
        <w:t>$  16.4</w:t>
      </w:r>
    </w:p>
    <w:p>
      <w:pPr>
        <w:spacing w:after="0" w:line="31"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5.5</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24130</wp:posOffset>
            </wp:positionV>
            <wp:extent cx="3346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3346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24130</wp:posOffset>
            </wp:positionV>
            <wp:extent cx="3346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3346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(0.3)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24130</wp:posOffset>
            </wp:positionV>
            <wp:extent cx="3346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334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wp:posOffset>
            </wp:positionV>
            <wp:extent cx="3346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960"/>
          </w:cols>
          <w:pgMar w:left="240" w:top="131" w:right="239" w:bottom="1440" w:gutter="0" w:footer="0" w:header="0"/>
          <w:type w:val="continuous"/>
        </w:sectPr>
      </w:pPr>
    </w:p>
    <w:p>
      <w:pPr>
        <w:spacing w:after="0" w:line="93"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Included in the balance of unrecognized tax benefits at December 27, 2009, are $12.6 million of tax benefits that, if recognized, would affect the effective tax rate. Included in this amount is $8.9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years ended December 31, 2007, December 28, 2008 and December 27, 2009, the Company recorded $0.2 million, $0.1 million and $0.1 million, respectively, in interest or penalties. These amounts are netted by a benefit for interest and penalties related to the reversal of prior positions as noted above of $0.5 million, $0.5 million, and $0.2 million for the years ended December 31, 2007, December 28, 2008, and December 27, 2009, respectively. As of December 28, 2008 and December 27, 2009, the Company had recorded total interest and penalties of $0.8 million and $0.7 million, respectively.</w:t>
      </w:r>
    </w:p>
    <w:p>
      <w:pPr>
        <w:spacing w:after="0" w:line="170" w:lineRule="exact"/>
        <w:rPr>
          <w:sz w:val="20"/>
          <w:szCs w:val="20"/>
          <w:color w:val="auto"/>
        </w:rPr>
      </w:pPr>
    </w:p>
    <w:p>
      <w:pPr>
        <w:ind w:right="980" w:firstLine="348"/>
        <w:spacing w:after="0" w:line="332" w:lineRule="auto"/>
        <w:rPr>
          <w:sz w:val="20"/>
          <w:szCs w:val="20"/>
          <w:color w:val="auto"/>
        </w:rPr>
      </w:pPr>
      <w:r>
        <w:rPr>
          <w:rFonts w:ascii="Arial" w:cs="Arial" w:eastAsia="Arial" w:hAnsi="Arial"/>
          <w:sz w:val="16"/>
          <w:szCs w:val="16"/>
          <w:color w:val="auto"/>
        </w:rPr>
        <w:t xml:space="preserve">The Company believes that it is reasonably possible that as much as $3.3 million of the </w:t>
      </w:r>
      <w:r>
        <w:rPr>
          <w:rFonts w:ascii="Arial" w:cs="Arial" w:eastAsia="Arial" w:hAnsi="Arial"/>
          <w:sz w:val="16"/>
          <w:szCs w:val="16"/>
          <w:i w:val="1"/>
          <w:iCs w:val="1"/>
          <w:color w:val="auto"/>
        </w:rPr>
        <w:t>Topic 740</w:t>
      </w:r>
      <w:r>
        <w:rPr>
          <w:rFonts w:ascii="Arial" w:cs="Arial" w:eastAsia="Arial" w:hAnsi="Arial"/>
          <w:sz w:val="16"/>
          <w:szCs w:val="16"/>
          <w:color w:val="auto"/>
        </w:rPr>
        <w:t xml:space="preserve"> tax liabilities will expire within 12 months of December 27, 2009 due to the expiration of various applicable statutes of limitations and possible settlement of a pending income tax refund claim.</w:t>
      </w:r>
    </w:p>
    <w:p>
      <w:pPr>
        <w:spacing w:after="0" w:line="13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existence of net operating loss carryforwards. Generally, the Company's tax years for 2002 and forward are subject to examination by various foreign tax authorities.</w:t>
      </w:r>
    </w:p>
    <w:p>
      <w:pPr>
        <w:spacing w:after="0" w:line="18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deferred tax asset.</w:t>
      </w:r>
    </w:p>
    <w:p>
      <w:pPr>
        <w:spacing w:after="0" w:line="197"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As of December 27, 2009, the Company had a net deferred tax asset and deferred tax liability of zero. The deferred tax assets and liabilities are allocated based upon the underlying asset or liability that produced the deferred taxes. As of December 27, 2009, the net deferred tax assets or liabilities allocated to discontinued operations were zero.</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provision (benefit) for income taxes from continuing operations for the years ended December 31, 2007, December 28, 2008, and December 27, 2009 are comprised of the following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260"/>
              <w:spacing w:after="0"/>
              <w:rPr>
                <w:sz w:val="20"/>
                <w:szCs w:val="20"/>
                <w:color w:val="auto"/>
              </w:rPr>
            </w:pPr>
            <w:r>
              <w:rPr>
                <w:rFonts w:ascii="Arial" w:cs="Arial" w:eastAsia="Arial" w:hAnsi="Arial"/>
                <w:sz w:val="18"/>
                <w:szCs w:val="18"/>
                <w:color w:val="auto"/>
              </w:rPr>
              <w:t>Total current</w:t>
            </w:r>
          </w:p>
        </w:tc>
        <w:tc>
          <w:tcPr>
            <w:tcW w:w="1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940" w:type="dxa"/>
            <w:vAlign w:val="bottom"/>
            <w:vMerge w:val="restart"/>
          </w:tcPr>
          <w:p>
            <w:pPr>
              <w:ind w:left="260"/>
              <w:spacing w:after="0"/>
              <w:rPr>
                <w:sz w:val="20"/>
                <w:szCs w:val="20"/>
                <w:color w:val="auto"/>
              </w:rPr>
            </w:pPr>
            <w:r>
              <w:rPr>
                <w:rFonts w:ascii="Arial" w:cs="Arial" w:eastAsia="Arial" w:hAnsi="Arial"/>
                <w:sz w:val="18"/>
                <w:szCs w:val="18"/>
                <w:color w:val="auto"/>
              </w:rPr>
              <w:t>Total deferred</w:t>
            </w:r>
          </w:p>
        </w:tc>
        <w:tc>
          <w:tcPr>
            <w:tcW w:w="1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reconciliation of total income tax provision (benefit) to the amount computed by applying the statutory federal income tax rate of 35% to loss from continuing operations before income tax provision (benefit) for the years ended December 31, 2007, December 28, 2008 and December 27, 2009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4"/>
              </w:rPr>
              <w:t>State taxes, net of federal tax benefit and valuation allowance</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federal valuation allowance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Nondeductible expense</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jc w:val="right"/>
              <w:ind w:right="10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28, 2008 and December 27, 2009 are as follows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Sundry accruals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Vacation accrual</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w w:val="93"/>
              </w:rPr>
              <w:t>Property and equipment, principally due to differences in depreciation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carryforward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Tax credit carryforwards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5280" w:type="dxa"/>
            <w:vAlign w:val="bottom"/>
          </w:tcPr>
          <w:p>
            <w:pPr>
              <w:ind w:left="120"/>
              <w:spacing w:after="0"/>
              <w:rPr>
                <w:sz w:val="20"/>
                <w:szCs w:val="20"/>
                <w:color w:val="auto"/>
              </w:rPr>
            </w:pPr>
            <w:r>
              <w:rPr>
                <w:rFonts w:ascii="Arial" w:cs="Arial" w:eastAsia="Arial" w:hAnsi="Arial"/>
                <w:sz w:val="18"/>
                <w:szCs w:val="18"/>
                <w:color w:val="auto"/>
              </w:rPr>
              <w:t>Reserves and other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2"/>
        </w:trPr>
        <w:tc>
          <w:tcPr>
            <w:tcW w:w="528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deferred tax assets, net of allowance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28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Unearned revenue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Property and equipment, principally due to differences in depreciation</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deferred tax asset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December 27, 2009, the Company had federal tax loss carryforwards of $205.5 million and various state tax loss carryforwards of $182.0 million including net operating losses resulting from stock options of approximately $14.4 million for federal and state, which if recognized would result in additional paid-in capital. The federal tax loss carryforwards expire beginning in 2020, and the various state tax loss carryforwards expire beginning in 2012. Federal and state tax laws impose restrictions on the utilization of net operating loss and tax credit carryforwards in the event of an "ownership change" for tax purposes as defined by Section 382 of the Internal Revenue Code. At December 27, 2009, the Company does not believe that it has incurred any "ownership changes" which could materially limit the utilization of the loss carryforwards. If an "ownership change" does occur, utilization of the net operating loss or credit carryforward amounts may be limited. As discussed elsewhere, deferred tax assets relating to the net operating loss and credit carryforwards are offset by a full valuation allowance. In addition, utilization of state tax loss carryforwards is dependent upon sufficient taxable income apportioned to the states.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 (Continued)</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During fiscal 2009, the Company recorded a net decrease in its valuation allowance of $0.2 million. Of this amount, a $1.7 million increase relates to current year operations, and a $1.9 million decrease is related to a reduction in prior deferred taxes and valuation allowance for the expiration of certain state net operating loss carryforwards. The increase was required based on the Company's overall assessment of the risks and uncertainties related to its future ability to realize and utilize the Company's deferred tax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 xml:space="preserve">On December 28, 2006, the Board of Directors of the Company approved a plan to divest portions of the Company's business where critical mass had not been achieved. This plan involved the divestiture of the Company's EMEA (Europe, Middle East and Asia) operations and its remaining South American operations. The Company determined that these operations met the criteria to be classified as held for sale. Accordingly, these operations were reflected as discontinued operations in accordance with </w:t>
      </w:r>
      <w:r>
        <w:rPr>
          <w:rFonts w:ascii="Arial" w:cs="Arial" w:eastAsia="Arial" w:hAnsi="Arial"/>
          <w:sz w:val="18"/>
          <w:szCs w:val="18"/>
          <w:i w:val="1"/>
          <w:iCs w:val="1"/>
          <w:color w:val="auto"/>
        </w:rPr>
        <w:t>FASB ASC Topic 205 Presentation of Financial Statements (Topic 205)</w:t>
      </w:r>
      <w:r>
        <w:rPr>
          <w:rFonts w:ascii="Arial" w:cs="Arial" w:eastAsia="Arial" w:hAnsi="Arial"/>
          <w:sz w:val="18"/>
          <w:szCs w:val="18"/>
          <w:color w:val="auto"/>
        </w:rPr>
        <w:t xml:space="preserve"> in the accompanying Consolidated Financial Statements.</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EMEA operations were sold to LCC International, Inc. (LCC) on March 9, 2007 for $4.0 million in cash, $3.3 million of which was received on that date. We also received approximately $1.8 million from our EMEA operations, prior and subsequent to the closing date as payment on outstanding intercompany debt. The balance of the $0.7 million sales price was withheld as security for the satisfaction of certain indemnification obligations and was payable on a date that is the earlier of March 31, 2008 or the date that the buyer files its 10-K for the fiscal year ended December 31, 2007. The sale of EMEA generated a gain on disposition of $3.3 million. In the fourth quarter of 2007, the Company recorded a reserve of $0.7 million on the remaining sales price holdback based on the Company's assessment of LCC's available liquidity and ability to pay following the Company's review of LCC's most recently filed financial statements, thereby reducing the net estimated gain on this transaction to $2.6 million.</w:t>
      </w:r>
    </w:p>
    <w:p>
      <w:pPr>
        <w:spacing w:after="0" w:line="172"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The Company recorded an impairment charge of approximately $5.2 million as of December 31, 2006 to reduce the current carrying value of the Brazil operations to their estimated fair value based upon current indications of interest. In the second quarter of 2007, when this business was sold, a gain on disposition of $0.2 million was recorded primarily due to lower than expected selling costs.</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May 29, 2007, the Company entered into an Asset Purchase Agreement with LCC pursuant to which the Company agreed to sell to LCC all of the assets used in the conduct of the operation of the Company's Wireless Network Services business segment that provides engineering services to the non-government wireless communications industry in the United States.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 (Continued)</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transaction was completed on June 4, 2007. The aggregate consideration paid by LCC in connection with the Acquisition was $46.0 million. LCC delivered a subordinated promissory note for the principal amount of $21.6 million (the Subordinated Promissory Note), paid $17.0 million at closing and paid final working capital adjustments of $2.4 million through an amendment to the Subordinated Promissory Note, and the Company retained an estimated $5.0 million in net working capital of the business.</w:t>
      </w:r>
    </w:p>
    <w:p>
      <w:pPr>
        <w:spacing w:after="0" w:line="197"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On July 5, 2007, the Company announced that it had sold the $21.6 million Subordinated Promissory Note in a transaction arranged by KeyBanc Capital Markets. The Company received approximately $19.6 million in net cash proceeds, reflecting a discount from par value of less than five percent and aggregate transaction fees of approximately $1.0 million, which includes a $0.8 million fee to KeyBanc, an affiliate of the Company's lender. The note was acquired by a fund affiliated with Silver Point Capital, L.P. The Company did not provide any guaranty for LCC's payment obligations. Post closing adjustments were also covered by the note.</w:t>
      </w:r>
    </w:p>
    <w:p>
      <w:pPr>
        <w:spacing w:after="0" w:line="19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On August 10, 2007, in accordance with the terms of the acquisition agreement, the Company provided the closing balance sheet working capital calculation, which indicated a $2.6 million working capital adjustment was due to the Company as an increase to the balance of the Subordinated Promissory Note. LCC had thirty days to review the calculation and notify the Company of any dispute. The Company and LCC agreed to a final working capital calculation of $2.4 million. The Company collected $2.3 million in January 2008, net of a $0.1 million discount from Silver Point in accordance with the terms of the note agreement.</w:t>
      </w:r>
    </w:p>
    <w:p>
      <w:pPr>
        <w:spacing w:after="0" w:line="15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July 7, 2007, the Company entered into a definitive agreement with an affiliate of Platinum Equity to sell the Company's wireless deployment business. Platinum Equity is a Los Angeles based private equity firm whose portfolio includes service and distribution businesses in a number of equity sectors. The total consideration for the acquisition was $24.0 million including $18.0 million in cash at closing, subject to post closing working capital adjustments, and an aggregate $6.0 million in a three-year earn-out arrangement through 2010. The transaction included a Transition Services Agreement for the transition of certain services for a period of nine months. The assets sold to an affiliate of Platinum Equity include all of the Company's wireless deployment business, and the Wireless Facilities name. The transaction closed on July 24, 2007.</w:t>
      </w:r>
    </w:p>
    <w:p>
      <w:pPr>
        <w:spacing w:after="0" w:line="17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was to be paid in installments with the first amount of $2.5 million due on July 31, 2008 and payments of</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$0.5 million monthly thereafter until paid in full in December 2008. The Company did not make the scheduled $2.5 million payment due as of July 31, 2008. Payments of $1.0 million were made in August and September of 2008, with an additional $0.5 million paid in December 2008. In March of 2009, the Company paid $1.5 million of the working capital adjustment. On August 4, 2009, the Company paid $1.3 million in full settlement of all amounts due to Platinum Equity.</w:t>
      </w:r>
    </w:p>
    <w:p>
      <w:pPr>
        <w:spacing w:after="0" w:line="163"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determined that the U.S. engineering and U.S. deployment operations met the criteria to be classified as held for sale in the first quarter of 2007. Accordingly, the Company has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reflected these operations as discontinued and assessed these assets for impairment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The Company determined that the assets of the U.S. deployment operations were impaired and recorded an impairment charge of approximately $13.4 million in the first quarter of 2007. The fair value of the assets was determined by utilizing the sale price less estimated costs to sell the business. The Company recorded a gain in discontinued operations from the sale of the U.S. engineering operations of $14.8 million in the second quarter of 2007. Upon the divestiture of the deployment business on July 24, 2007, the Company recorded a loss from disposal of $1.9 million, reflecting the closing working capital adjustment and final closing balance sheet. In addition, the Company recorded a charge in the third quarter of 2007 for an excess facility accrual of approximately $1.1 million related to certain facility leases of Deployment field offices that were not assumed by Platinum.</w:t>
      </w:r>
    </w:p>
    <w:p>
      <w:pPr>
        <w:spacing w:after="0" w:line="17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determination that the U.S. engineering business and U.S. deployment operations met the criteria to be classified as held for sale in the first quarter of 2007 was also a triggering event under </w:t>
      </w:r>
      <w:r>
        <w:rPr>
          <w:rFonts w:ascii="Arial" w:cs="Arial" w:eastAsia="Arial" w:hAnsi="Arial"/>
          <w:sz w:val="18"/>
          <w:szCs w:val="18"/>
          <w:i w:val="1"/>
          <w:iCs w:val="1"/>
          <w:color w:val="auto"/>
        </w:rPr>
        <w:t>FASB ASC Topic 350 Intangibles—Goodwill and Other (Topic 350)</w:t>
      </w:r>
      <w:r>
        <w:rPr>
          <w:rFonts w:ascii="Arial" w:cs="Arial" w:eastAsia="Arial" w:hAnsi="Arial"/>
          <w:sz w:val="18"/>
          <w:szCs w:val="18"/>
          <w:color w:val="auto"/>
        </w:rPr>
        <w:t xml:space="preserve"> that resulted in an accelerated review of the Company's goodwill and intangibles assets with indefinite lives.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 approximately $7.2 million related to goodwill for this reporting unit which was recorded in the first quarter of 2007.</w:t>
      </w:r>
    </w:p>
    <w:p>
      <w:pPr>
        <w:spacing w:after="0" w:line="19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During the due diligence process related to the acquisition of SYS, senior management identified three business units of SYS which were non-core to Kratos' base national security and public security businesses. These businesses provided video surveillance and information analysis products, digital broadcasting products and incident response management systems. In December 2008, after evaluating these businesses further, a decision was made to dispose of and sell all three business units.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these business units were classified as held for sale and reported in discontinued operations as of and for the years ended December 28, 2008 and December 27, 2009. The Company recorded a $4.5 million impairment charge in the fourth quarter of 2008 primarily related to the impairment of goodwill allocated to these businesses. In the first quarter of 2009, all three of the businesses were sold for an aggregate cash consideration of approximately $0.4 million.</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the plan to sell these businesses included a comprehensive assessment of personnel, relocation of personnel, facility consolidation and exit strategies for certain lines of business. The plan provided for approximately $2.0 million of restructuring costs associated with personnel, and additional costs of $0.6 million for facilities consolidation. The restructuring costs are primarily associated with the businesses sold and are accounted for in discontinued operations in the accompanying Consolidated Financial Statements. As of December 27, 2009, approximately $1.1 million of severance costs and $0.5 million of facilities costs have been paid. In addition, the liability related to severance costs was reduced by approximately $0.1 million, to reflect a revised estimate, which was recognized in the net loss of discontinued operations. The remaining liabilities for severance and facilities are $0.8 million and $0.1 million, respectively, and are included in current liabilities of discontinued operations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 The following table shows a reconciliation of the beginning accrual to the remaining balance as of December 27, 2009 (in millions):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240" w:type="dxa"/>
            <w:vAlign w:val="bottom"/>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1"/>
              </w:rPr>
              <w:t>Severance</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Original accrual recorded in 2008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Payments in 2008</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 in 2009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27, 2009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7"/>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 xml:space="preserve">On June 24, 2009, as a result of the continued operating losses in the Southeast division of the Company's Public Safety &amp; Security segment, the Company's Board of Directors approved a plan to sell and dispose of the Southeast division.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this business unit was classified as held for sale and reported in discontinued operations in the accompanying Consolidated Financial Statements. The Company recorded a $2.0 million impairment charge in the second quarter of 2009 related to management's estimate of the fair value of the business. The Company continues to operate the Southeast division while simultaneously seeking a buyer. The negative cash flow from discontinued operations is primarily a result of this division's continuing business activities which will substantially end with the sale of this business in 2010. The Company has taken significant cost reduction actions throughout 2009 to improve the operating margins and operating cash flows of this business.</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In addition, in accordance with </w:t>
      </w:r>
      <w:r>
        <w:rPr>
          <w:rFonts w:ascii="Arial" w:cs="Arial" w:eastAsia="Arial" w:hAnsi="Arial"/>
          <w:sz w:val="16"/>
          <w:szCs w:val="16"/>
          <w:i w:val="1"/>
          <w:iCs w:val="1"/>
          <w:color w:val="auto"/>
        </w:rPr>
        <w:t>Topic 205</w:t>
      </w:r>
      <w:r>
        <w:rPr>
          <w:rFonts w:ascii="Arial" w:cs="Arial" w:eastAsia="Arial" w:hAnsi="Arial"/>
          <w:sz w:val="16"/>
          <w:szCs w:val="16"/>
          <w:color w:val="auto"/>
        </w:rPr>
        <w:t>, interest expense incurred on the debt that was required to be repaid as a result of the sales of our discontinued businesses was allocated to discontinued operations. During the years ended December 31, 2007, December 28, 2008, and December 27, 2009, interest expense allocated to discontinued operations was approximately $2.2 million, $0.0 million and $0.0 million, respectively. The following table presents the results of discontinued operations including gain and loss on disposals which is included in Loss before taxes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328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2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28,</w:t>
            </w:r>
          </w:p>
        </w:tc>
        <w:tc>
          <w:tcPr>
            <w:tcW w:w="3400" w:type="dxa"/>
            <w:vAlign w:val="bottom"/>
            <w:gridSpan w:val="4"/>
          </w:tcPr>
          <w:p>
            <w:pPr>
              <w:jc w:val="center"/>
              <w:ind w:right="2460"/>
              <w:spacing w:after="0" w:line="149" w:lineRule="exact"/>
              <w:rPr>
                <w:sz w:val="20"/>
                <w:szCs w:val="20"/>
                <w:color w:val="auto"/>
              </w:rPr>
            </w:pPr>
            <w:r>
              <w:rPr>
                <w:rFonts w:ascii="Arial" w:cs="Arial" w:eastAsia="Arial" w:hAnsi="Arial"/>
                <w:sz w:val="14"/>
                <w:szCs w:val="14"/>
                <w:b w:val="1"/>
                <w:bCs w:val="1"/>
                <w:color w:val="auto"/>
                <w:w w:val="85"/>
              </w:rPr>
              <w:t>December 27,</w:t>
            </w:r>
          </w:p>
        </w:tc>
      </w:tr>
      <w:tr>
        <w:trPr>
          <w:trHeight w:val="161"/>
        </w:trPr>
        <w:tc>
          <w:tcPr>
            <w:tcW w:w="2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Loss before taxes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 (Continued)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Following is a summary of the assets and liabilities of discontinued operations as of December 28, 2008 and December 27, 2009 (in millions) for each of the operations: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28,</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assets of discontinued operations</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unrecognized tax benefits</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 xml:space="preserve">The Company adopted </w:t>
      </w:r>
      <w:r>
        <w:rPr>
          <w:rFonts w:ascii="Arial" w:cs="Arial" w:eastAsia="Arial" w:hAnsi="Arial"/>
          <w:sz w:val="18"/>
          <w:szCs w:val="18"/>
          <w:i w:val="1"/>
          <w:iCs w:val="1"/>
          <w:color w:val="auto"/>
        </w:rPr>
        <w:t>FASB ASC Topic 820 Fair Value Measurements and Disclosures (Topic 820)</w:t>
      </w:r>
      <w:r>
        <w:rPr>
          <w:rFonts w:ascii="Arial" w:cs="Arial" w:eastAsia="Arial" w:hAnsi="Arial"/>
          <w:sz w:val="18"/>
          <w:szCs w:val="18"/>
          <w:color w:val="auto"/>
        </w:rPr>
        <w:t xml:space="preserve"> as of January 1, 2008, with the exception of the application of the statement to non-recurring nonfinancial assets and nonfinancial liabilities. Non-recurring nonfinancial assets and nonfinancial liabilities for which it has not applied the provisions of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Topic 820 establishes </w:t>
      </w:r>
      <w:r>
        <w:rPr>
          <w:rFonts w:ascii="Arial" w:cs="Arial" w:eastAsia="Arial" w:hAnsi="Arial"/>
          <w:sz w:val="18"/>
          <w:szCs w:val="18"/>
          <w:color w:val="auto"/>
        </w:rPr>
        <w:t>a valuation hierarchy for disclosure of the inputs to valuation used to measure fair value. This hierarchy prioritizes the inputs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 (Continued)</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only asset or liability carried and measured at fair value on a recurring basis is an interest rate swap agreement not qualified as a hedging instrument carried in other long-term liabilities on the Consolidated Balance Sheet. Gains and losses resulting from marking to market the interest rate swap are recorded in other income (expenses), net in the Consolidated Statement of Operations. The total gain or loss on the interest rate swap as of December 28, 2008 and December 27, 2009, was a loss of $1.7 million and a gain of $0.3 million, respectively. The following table provides the fair value measurement of the interest rate swap (in millions):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other observable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in active 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December 27, 2009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December 28, 2008</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is validated with the use of a nationally recognized financial reporting service.</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 December 28, 2008 and December 27, 2009 are presented in the following table. The carrying value of all other financial instruments, including cash and cash equivalents and short-term debt, approximated their estimated fair values at December 28, 2008, and December 27, 2009.</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82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c>
          <w:tcPr>
            <w:tcW w:w="8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Carrying</w:t>
            </w: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Long-Term Debt—The fair value of the long-term debt was calculated based on interest rates available for debt with terms and due dates similar to the Company's existing debt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3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September 2, 2009, the Company sold 2.6 million shares of its common stock to institutional investors at a purchase price of $7.20 in a registered direct public offering. The Company received gross proceeds of $18.7 million. After deducting placement agent fees and other offering expenses, the Company received $17.5 million in net proceeds. The Company used the net proceeds from this transaction to repay existing indebtedness.</w:t>
      </w:r>
    </w:p>
    <w:p>
      <w:pPr>
        <w:spacing w:after="0" w:line="16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On September 10, 2009, the Company completed a 1-for-10 reverse split of its common stock which was approved at the Company's Annual Meeting on June 4, 2009. The reverse split reduced the number of shares of the Company's common stock outstanding from 156,274,383 to 15,627,031. Proportional adjustments were made to the Company's stock options and other equity incentive awards,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equity compensation plans, and convertible notes. The total number of authorized shares of the Company's capital stock was not affected by the reverse stock split.</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connection with the SYS acquisition, the Company issued approximately 64,000 warrants to purchase common stock at per share prices ranging from $17.88 per share to $31.79 per share. The expiration dates of the warrants are from June 2010 to September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Preferred Stock</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 xml:space="preserve">There was no issuance, redemption or conversion of the Series B Convertible Preferred Stock in the most recent fiscal years ended December 31, 2007, December 28, 2008, and December 27, 2009. At December 27, 2009, the total liquidation preference equaled $5.0 million. In accordance with </w:t>
      </w:r>
      <w:r>
        <w:rPr>
          <w:rFonts w:ascii="Arial" w:cs="Arial" w:eastAsia="Arial" w:hAnsi="Arial"/>
          <w:sz w:val="15"/>
          <w:szCs w:val="15"/>
          <w:i w:val="1"/>
          <w:iCs w:val="1"/>
          <w:color w:val="auto"/>
        </w:rPr>
        <w:t>FASB ASC Topic</w:t>
      </w:r>
      <w:r>
        <w:rPr>
          <w:rFonts w:ascii="Arial" w:cs="Arial" w:eastAsia="Arial" w:hAnsi="Arial"/>
          <w:sz w:val="15"/>
          <w:szCs w:val="15"/>
          <w:color w:val="auto"/>
        </w:rPr>
        <w:t xml:space="preserve"> </w:t>
      </w:r>
      <w:r>
        <w:rPr>
          <w:rFonts w:ascii="Arial" w:cs="Arial" w:eastAsia="Arial" w:hAnsi="Arial"/>
          <w:sz w:val="15"/>
          <w:szCs w:val="15"/>
          <w:i w:val="1"/>
          <w:iCs w:val="1"/>
          <w:color w:val="auto"/>
        </w:rPr>
        <w:t>260 Earnings Per Share</w:t>
      </w:r>
      <w:r>
        <w:rPr>
          <w:rFonts w:ascii="Arial" w:cs="Arial" w:eastAsia="Arial" w:hAnsi="Arial"/>
          <w:sz w:val="15"/>
          <w:szCs w:val="15"/>
          <w:color w:val="auto"/>
        </w:rPr>
        <w:t>, the Company's Series B Preferred Stock was considered a participating security for purposes of computing basic earnings per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 Option Plans and Restricted Stock Unit Plans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Board of Directors may grant options or restricted stock units to selected employees, directors and consultants to the Company to purchase shares of the Company's common stock at a price not less than the fair market value of the stock at the date of grant. In July 2004, the Board of Directors resolved that all future stock option grants under all of the Company's stock option plans would be non-statutory stock options, until such further determination by the Board of Directors. In February 2005, the Board of Directors approved the 2005 Equity Incentive Plan (the 2005 Plan). The 2005 Plan was subsequently approved by a majority of the Company's stockholders on May 18, 2005. If any shares covered by an award under the 2005 Plan are not purchased or are forfeited, or if an award otherwise is terminated, cancelled or retired, such shares are again made available for awards under the 2005 Plan. The 2000 Non-statutory Stock Option Plan, 1999 Equity Incentive Plan and all prior plans have expired and shares that are not purchased, are forfeited, or are subject to awards that have terminated are not available for grant under those or any other plan. As of December 27, 2009 there are approximately 153,000 shares reserved for issuance for future grant under the 2005 Plan. The Board of Directors of the Company may amend or terminate the 2005 Plan at any time. Certain amendments, including an increase in the share reserve, require stockholder approval. Generally, options and restricted stock units outstanding vest over periods not exceeding ten years. Options are exercisable for up to ten years from the grant date.</w:t>
      </w:r>
    </w:p>
    <w:p>
      <w:pPr>
        <w:spacing w:after="0" w:line="181"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i w:val="1"/>
          <w:iCs w:val="1"/>
          <w:color w:val="auto"/>
        </w:rPr>
        <w:t xml:space="preserve">Digital Fusion Inc. Stock Option and Stock Incentive Plans. </w:t>
      </w:r>
      <w:r>
        <w:rPr>
          <w:rFonts w:ascii="Arial" w:cs="Arial" w:eastAsia="Arial" w:hAnsi="Arial"/>
          <w:sz w:val="15"/>
          <w:szCs w:val="15"/>
          <w:color w:val="auto"/>
        </w:rPr>
        <w:t>Digital Fusion, Inc.'s Stock Option and Stock Incentive Plans acquired through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of DFI were terminated on December 24, 2008, and no further grants may be made under these plans after that date. Award grants that were outstanding under these plans on December 24, 2008 will continue to be governed by their existing terms and may be exercised for shares of the Company's common stock at any time prior to the expiration of the ten-year option term or any earlier termination of those options in connection with the option holder's cessation of service with the Company. Stock options granted under these plans included incentive stock options or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had certain options granted outside of its qualified stock option plans. These non-qualified "out of plan" stock options expire 10 years from grant date.</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January 10, 2007, the Compensation Committee of the Board approved a form of Restricted Stock Unit Agreement (the RSU Agreement) to govern the issuance of restricted stock units (RSU) to executive officers under the Company's 2005 Plan. Each RSU represents the right to receive a share of common stock (a Share) on the vesting date. Unless and until the RSUs vest, the Employee will have no right to receive Shares under such RSUs. Prior to actual distribution of Shares pursuant to any vested RSUs, such RSUs will represent an unsecured obligation of the Company, payable (if at all) only from the general assets of the Company. The RSUs that may be awarded to executive officers under the RSU Agreement will vest according to vesting schedules specified in the notice of grant accompanying each grant. The Company recognizes compensation expense on a straight-line basis over the vesting periods based on the market price of the Company's stock on the grant date. The awards granted in 2007, 2008, and 2009 had vesting periods ranging from 11 months to 10 years; 1 to ten years; and 4 to ten years, respectively. Some of the grants for these years have accelerated vesting occurring upon change of control or termination. Upon exercise of the RSU, the Company issues new shares of common stock.</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with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40" w:type="dxa"/>
            <w:vAlign w:val="bottom"/>
            <w:gridSpan w:val="2"/>
          </w:tcPr>
          <w:p>
            <w:pPr>
              <w:jc w:val="center"/>
              <w:ind w:left="3557"/>
              <w:spacing w:after="0"/>
              <w:rPr>
                <w:sz w:val="20"/>
                <w:szCs w:val="20"/>
                <w:color w:val="auto"/>
              </w:rPr>
            </w:pPr>
            <w:r>
              <w:rPr>
                <w:rFonts w:ascii="Arial" w:cs="Arial" w:eastAsia="Arial" w:hAnsi="Arial"/>
                <w:sz w:val="14"/>
                <w:szCs w:val="14"/>
                <w:b w:val="1"/>
                <w:bCs w:val="1"/>
                <w:color w:val="auto"/>
                <w:w w:val="89"/>
              </w:rPr>
              <w:t>2007</w:t>
            </w:r>
          </w:p>
        </w:tc>
        <w:tc>
          <w:tcPr>
            <w:tcW w:w="1320" w:type="dxa"/>
            <w:vAlign w:val="bottom"/>
            <w:gridSpan w:val="3"/>
          </w:tcPr>
          <w:p>
            <w:pPr>
              <w:jc w:val="center"/>
              <w:ind w:left="57"/>
              <w:spacing w:after="0"/>
              <w:rPr>
                <w:sz w:val="20"/>
                <w:szCs w:val="20"/>
                <w:color w:val="auto"/>
              </w:rPr>
            </w:pPr>
            <w:r>
              <w:rPr>
                <w:rFonts w:ascii="Arial" w:cs="Arial" w:eastAsia="Arial" w:hAnsi="Arial"/>
                <w:sz w:val="14"/>
                <w:szCs w:val="14"/>
                <w:b w:val="1"/>
                <w:bCs w:val="1"/>
                <w:color w:val="auto"/>
                <w:w w:val="83"/>
              </w:rPr>
              <w:t>2008</w:t>
            </w:r>
          </w:p>
        </w:tc>
        <w:tc>
          <w:tcPr>
            <w:tcW w:w="1320" w:type="dxa"/>
            <w:vAlign w:val="bottom"/>
            <w:gridSpan w:val="3"/>
          </w:tcPr>
          <w:p>
            <w:pPr>
              <w:jc w:val="center"/>
              <w:ind w:left="77"/>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life:(1)</w:t>
            </w:r>
          </w:p>
        </w:tc>
        <w:tc>
          <w:tcPr>
            <w:tcW w:w="36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366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w w:val="99"/>
              </w:rPr>
              <w:t>10.0 years</w:t>
            </w:r>
          </w:p>
        </w:tc>
        <w:tc>
          <w:tcPr>
            <w:tcW w:w="16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5.3 years</w:t>
            </w:r>
          </w:p>
        </w:tc>
        <w:tc>
          <w:tcPr>
            <w:tcW w:w="1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10.0 years</w:t>
            </w:r>
          </w:p>
        </w:tc>
      </w:tr>
      <w:tr>
        <w:trPr>
          <w:trHeight w:val="216"/>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3"/>
              </w:rPr>
              <w:t>Risk-free interest rate(2)</w:t>
            </w:r>
          </w:p>
        </w:tc>
        <w:tc>
          <w:tcPr>
            <w:tcW w:w="4640" w:type="dxa"/>
            <w:vAlign w:val="bottom"/>
            <w:gridSpan w:val="2"/>
            <w:shd w:val="clear" w:color="auto" w:fill="CCEEFF"/>
          </w:tcPr>
          <w:p>
            <w:pPr>
              <w:jc w:val="center"/>
              <w:ind w:left="3557"/>
              <w:spacing w:after="0"/>
              <w:rPr>
                <w:sz w:val="20"/>
                <w:szCs w:val="20"/>
                <w:color w:val="auto"/>
              </w:rPr>
            </w:pPr>
            <w:r>
              <w:rPr>
                <w:rFonts w:ascii="Arial" w:cs="Arial" w:eastAsia="Arial" w:hAnsi="Arial"/>
                <w:sz w:val="18"/>
                <w:szCs w:val="18"/>
                <w:color w:val="auto"/>
                <w:w w:val="89"/>
              </w:rPr>
              <w:t>4.3% - 4.7%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w:t>
            </w:r>
          </w:p>
        </w:tc>
      </w:tr>
      <w:tr>
        <w:trPr>
          <w:trHeight w:val="216"/>
        </w:trPr>
        <w:tc>
          <w:tcPr>
            <w:tcW w:w="1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Volatility(3)</w:t>
            </w:r>
          </w:p>
        </w:tc>
        <w:tc>
          <w:tcPr>
            <w:tcW w:w="4640" w:type="dxa"/>
            <w:vAlign w:val="bottom"/>
            <w:gridSpan w:val="2"/>
          </w:tcPr>
          <w:p>
            <w:pPr>
              <w:jc w:val="center"/>
              <w:ind w:left="3557"/>
              <w:spacing w:after="0"/>
              <w:rPr>
                <w:sz w:val="20"/>
                <w:szCs w:val="20"/>
                <w:color w:val="auto"/>
              </w:rPr>
            </w:pPr>
            <w:r>
              <w:rPr>
                <w:rFonts w:ascii="Arial" w:cs="Arial" w:eastAsia="Arial" w:hAnsi="Arial"/>
                <w:sz w:val="18"/>
                <w:szCs w:val="18"/>
                <w:color w:val="auto"/>
                <w:w w:val="86"/>
              </w:rPr>
              <w:t>56.8%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- 70.3%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- 63.3%</w:t>
            </w:r>
          </w:p>
        </w:tc>
      </w:tr>
      <w:tr>
        <w:trPr>
          <w:trHeight w:val="216"/>
        </w:trPr>
        <w:tc>
          <w:tcPr>
            <w:tcW w:w="116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rate(4)</w:t>
            </w:r>
          </w:p>
        </w:tc>
        <w:tc>
          <w:tcPr>
            <w:tcW w:w="4640" w:type="dxa"/>
            <w:vAlign w:val="bottom"/>
            <w:gridSpan w:val="2"/>
            <w:shd w:val="clear" w:color="auto" w:fill="CCEEFF"/>
          </w:tcPr>
          <w:p>
            <w:pPr>
              <w:jc w:val="center"/>
              <w:ind w:left="3557"/>
              <w:spacing w:after="0"/>
              <w:rPr>
                <w:sz w:val="20"/>
                <w:szCs w:val="20"/>
                <w:color w:val="auto"/>
              </w:rPr>
            </w:pPr>
            <w:r>
              <w:rPr>
                <w:rFonts w:ascii="Arial" w:cs="Arial" w:eastAsia="Arial" w:hAnsi="Arial"/>
                <w:sz w:val="18"/>
                <w:szCs w:val="18"/>
                <w:color w:val="auto"/>
                <w:w w:val="86"/>
              </w:rPr>
              <w:t>23.7%</w:t>
            </w:r>
          </w:p>
        </w:tc>
        <w:tc>
          <w:tcPr>
            <w:tcW w:w="1320" w:type="dxa"/>
            <w:vAlign w:val="bottom"/>
            <w:gridSpan w:val="3"/>
            <w:shd w:val="clear" w:color="auto" w:fill="CCEEFF"/>
          </w:tcPr>
          <w:p>
            <w:pPr>
              <w:jc w:val="center"/>
              <w:ind w:left="57"/>
              <w:spacing w:after="0"/>
              <w:rPr>
                <w:sz w:val="20"/>
                <w:szCs w:val="20"/>
                <w:color w:val="auto"/>
              </w:rPr>
            </w:pPr>
            <w:r>
              <w:rPr>
                <w:rFonts w:ascii="Arial" w:cs="Arial" w:eastAsia="Arial" w:hAnsi="Arial"/>
                <w:sz w:val="18"/>
                <w:szCs w:val="18"/>
                <w:color w:val="auto"/>
                <w:w w:val="90"/>
              </w:rPr>
              <w:t>10.6%</w:t>
            </w:r>
          </w:p>
        </w:tc>
        <w:tc>
          <w:tcPr>
            <w:tcW w:w="1320" w:type="dxa"/>
            <w:vAlign w:val="bottom"/>
            <w:gridSpan w:val="3"/>
            <w:shd w:val="clear" w:color="auto" w:fill="CCEEFF"/>
          </w:tcPr>
          <w:p>
            <w:pPr>
              <w:jc w:val="center"/>
              <w:ind w:left="77"/>
              <w:spacing w:after="0"/>
              <w:rPr>
                <w:sz w:val="20"/>
                <w:szCs w:val="20"/>
                <w:color w:val="auto"/>
              </w:rPr>
            </w:pPr>
            <w:r>
              <w:rPr>
                <w:rFonts w:ascii="Arial" w:cs="Arial" w:eastAsia="Arial" w:hAnsi="Arial"/>
                <w:sz w:val="18"/>
                <w:szCs w:val="18"/>
                <w:color w:val="auto"/>
                <w:w w:val="86"/>
              </w:rPr>
              <w:t>19.9%</w:t>
            </w:r>
          </w:p>
        </w:tc>
      </w:tr>
      <w:tr>
        <w:trPr>
          <w:trHeight w:val="222"/>
        </w:trPr>
        <w:tc>
          <w:tcPr>
            <w:tcW w:w="116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Dividend yield(5)</w:t>
            </w:r>
          </w:p>
        </w:tc>
        <w:tc>
          <w:tcPr>
            <w:tcW w:w="36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r>
      <w:tr>
        <w:trPr>
          <w:trHeight w:val="102"/>
        </w:trPr>
        <w:tc>
          <w:tcPr>
            <w:tcW w:w="1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221" w:lineRule="exact"/>
        <w:rPr>
          <w:sz w:val="20"/>
          <w:szCs w:val="20"/>
          <w:color w:val="auto"/>
        </w:rPr>
      </w:pPr>
    </w:p>
    <w:p>
      <w:pPr>
        <w:ind w:left="540" w:right="120" w:hanging="532"/>
        <w:spacing w:after="0" w:line="254"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life of stock options granted under the plan is the life of the option when the option is 100% vested at grant. No unvested options were granted in 2007 or 2009. In 2008, all unvested options granted related to the acquisition of DFI. As historically, the majority of options granted were part of the Company's now discontinued Wireless Network Services segment and not the Company's KGS segment, the Company did not have historical information related to the expected term of the options granted to DFI. The Company used market information from the Company's peers to estimate the expected life of these grants which was consistent with the methodology previously used by DFI. A majority of the options granted to DFI were 100% vested at grant.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45"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2007, 2008, and 2009 the Company estimated implied volatility based upon trailing volatility.</w:t>
      </w:r>
    </w:p>
    <w:p>
      <w:pPr>
        <w:spacing w:after="0" w:line="238" w:lineRule="exact"/>
        <w:rPr>
          <w:rFonts w:ascii="Arial" w:cs="Arial" w:eastAsia="Arial" w:hAnsi="Arial"/>
          <w:sz w:val="18"/>
          <w:szCs w:val="18"/>
          <w:color w:val="auto"/>
        </w:rPr>
      </w:pPr>
    </w:p>
    <w:p>
      <w:pPr>
        <w:ind w:left="540" w:right="140" w:hanging="532"/>
        <w:spacing w:after="0" w:line="33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Forfeitures are estimated at the time of grant based upon historical information. Forfeitures will be revised, if necessary, in subsequent periods if actual forfeitures differ from estimates. In 2008, the estimated forfeitures for the DFI options were based upon the historical information of DFI option holders.</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summary of the status of the Company's stock option plan as of December 27, 2009 and of changes in options outstanding under the plan for the year ended December 27, 2009 is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(000's)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28,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Options forfeited or expired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60.72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27,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December 27, 2009</w:t>
            </w: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29.29</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1,407</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December 27, 2009, there was $0.1 million of total unrecognized stock-based compensation expense related to nonvested shares which is expected to be recognized over a remaining weighted-average vesting period of 0.8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December 31, 2007, December 28, 2008, and December 27, 2009 the following activity occurred under our option plans: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15.40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7.10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5.69</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intrinsic value of options exercised (in thousands)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2280" w:type="dxa"/>
            <w:vAlign w:val="bottom"/>
          </w:tcPr>
          <w:p>
            <w:pPr>
              <w:spacing w:after="0"/>
              <w:rPr>
                <w:sz w:val="19"/>
                <w:szCs w:val="19"/>
                <w:color w:val="auto"/>
              </w:rPr>
            </w:pPr>
          </w:p>
        </w:tc>
      </w:tr>
      <w:tr>
        <w:trPr>
          <w:trHeight w:val="424"/>
        </w:trPr>
        <w:tc>
          <w:tcPr>
            <w:tcW w:w="6980" w:type="dxa"/>
            <w:vAlign w:val="bottom"/>
            <w:gridSpan w:val="2"/>
          </w:tcPr>
          <w:p>
            <w:pPr>
              <w:jc w:val="right"/>
              <w:ind w:right="1052"/>
              <w:spacing w:after="0"/>
              <w:rPr>
                <w:sz w:val="20"/>
                <w:szCs w:val="20"/>
                <w:color w:val="auto"/>
              </w:rPr>
            </w:pPr>
            <w:r>
              <w:rPr>
                <w:rFonts w:ascii="Arial" w:cs="Arial" w:eastAsia="Arial" w:hAnsi="Arial"/>
                <w:sz w:val="18"/>
                <w:szCs w:val="18"/>
                <w:color w:val="auto"/>
              </w:rPr>
              <w:t>114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Additional information about stock options outstanding at December 27, 2009 with exercise prices less than and greater than $10.20 per share, the exercise price at December 24, 2009, the last trading day of the period,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Unexercisable</w:t>
            </w:r>
          </w:p>
        </w:tc>
        <w:tc>
          <w:tcPr>
            <w:tcW w:w="160" w:type="dxa"/>
            <w:vAlign w:val="bottom"/>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Stock Options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(000's)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(000's)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$10.20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Above $10.20</w:t>
            </w:r>
          </w:p>
        </w:tc>
        <w:tc>
          <w:tcPr>
            <w:tcW w:w="720" w:type="dxa"/>
            <w:vAlign w:val="bottom"/>
          </w:tcPr>
          <w:p>
            <w:pPr>
              <w:jc w:val="right"/>
              <w:spacing w:after="0"/>
              <w:rPr>
                <w:sz w:val="20"/>
                <w:szCs w:val="20"/>
                <w:color w:val="auto"/>
              </w:rPr>
            </w:pPr>
            <w:r>
              <w:rPr>
                <w:rFonts w:ascii="Arial" w:cs="Arial" w:eastAsia="Arial" w:hAnsi="Arial"/>
                <w:sz w:val="18"/>
                <w:szCs w:val="18"/>
                <w:color w:val="auto"/>
              </w:rPr>
              <w:t>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8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8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8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(000's)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28, 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Grants</w:t>
            </w: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Forfeitures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15.95</w:t>
            </w:r>
          </w:p>
        </w:tc>
      </w:tr>
      <w:tr>
        <w:trPr>
          <w:trHeight w:val="21"/>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27,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19.12</w:t>
            </w:r>
          </w:p>
        </w:tc>
      </w:tr>
      <w:tr>
        <w:trPr>
          <w:trHeight w:val="27"/>
        </w:trPr>
        <w:tc>
          <w:tcPr>
            <w:tcW w:w="4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27, 2009, there was $5.9 million of total unrecognized stock-based compensation expense related to nonvested restricted stock units which is expected to be recognized over a remaining weighted-average vesting period of 6.4 years. The fair value of RSU awards that vested in 2007, 2008, and 2009 was $1.2 million, $0.3 million, and $0.2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 Stock Purchase Plan</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August 1999, the Board of Directors approved the 1999 Employee Stock Purchase Plan (ESPP). A total of 435,000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 On February 27, 2008, the Compensation Committee elected to reinstate offerings under the Purchase Plan effective April 1, 2008.</w:t>
      </w:r>
    </w:p>
    <w:p>
      <w:pPr>
        <w:spacing w:after="0" w:line="17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Unless otherwise determined by the Compensation Committee of the Board of Directors,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27, 2009, the cumulative number of shares of Common Stock that have been issued under the Purchase Plan is 314,000 and approximately 120,000 shares were available for future issuance. During fiscal 2008 and 2009 approximately 16,000 and 50,000 shares were issued under the plans at an average price of $15.56 and $9.73, respectively.</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fair value of Kratos's ESPP shares for 2009 was estimated using the Black-Scholes option pricing model. The assumptions and resulting fair values of options granted for 2009 were as follows: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r>
      <w:tr>
        <w:trPr>
          <w:trHeight w:val="149"/>
        </w:trPr>
        <w:tc>
          <w:tcPr>
            <w:tcW w:w="2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Periods</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49"/>
        </w:trPr>
        <w:tc>
          <w:tcPr>
            <w:tcW w:w="2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April 1 to</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January 1 to</w:t>
            </w:r>
          </w:p>
        </w:tc>
      </w:tr>
      <w:tr>
        <w:trPr>
          <w:trHeight w:val="149"/>
        </w:trPr>
        <w:tc>
          <w:tcPr>
            <w:tcW w:w="2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4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7"/>
              </w:rPr>
              <w:t>0.5</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0.85% - 1.53%</w:t>
            </w:r>
          </w:p>
        </w:tc>
        <w:tc>
          <w:tcPr>
            <w:tcW w:w="140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0.27% - 0.33%</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48.4% - 63.1%</w:t>
            </w:r>
          </w:p>
        </w:tc>
        <w:tc>
          <w:tcPr>
            <w:tcW w:w="14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61.5% - 121.0%</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Expected dividend yield(4)</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92"/>
              </w:rPr>
              <w:t>0%</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grant-date fair value per share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$5.60</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$4.39</w:t>
            </w:r>
          </w:p>
        </w:tc>
      </w:tr>
      <w:tr>
        <w:trPr>
          <w:trHeight w:val="108"/>
        </w:trPr>
        <w:tc>
          <w:tcPr>
            <w:tcW w:w="240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221" w:lineRule="exact"/>
        <w:rPr>
          <w:sz w:val="20"/>
          <w:szCs w:val="20"/>
          <w:color w:val="auto"/>
        </w:rPr>
      </w:pPr>
    </w:p>
    <w:p>
      <w:pPr>
        <w:ind w:left="2840" w:hanging="550"/>
        <w:spacing w:after="0"/>
        <w:tabs>
          <w:tab w:leader="none" w:pos="2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expected term is equivalent to the offering period.</w:t>
      </w:r>
    </w:p>
    <w:p>
      <w:pPr>
        <w:spacing w:after="0" w:line="252" w:lineRule="exact"/>
        <w:rPr>
          <w:rFonts w:ascii="Arial" w:cs="Arial" w:eastAsia="Arial" w:hAnsi="Arial"/>
          <w:sz w:val="18"/>
          <w:szCs w:val="18"/>
          <w:color w:val="auto"/>
        </w:rPr>
      </w:pPr>
    </w:p>
    <w:p>
      <w:pPr>
        <w:ind w:left="2840" w:right="80" w:hanging="550"/>
        <w:spacing w:after="0" w:line="268" w:lineRule="auto"/>
        <w:tabs>
          <w:tab w:leader="none" w:pos="2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w:t>
      </w:r>
    </w:p>
    <w:p>
      <w:pPr>
        <w:spacing w:after="0" w:line="199" w:lineRule="exact"/>
        <w:rPr>
          <w:rFonts w:ascii="Arial" w:cs="Arial" w:eastAsia="Arial" w:hAnsi="Arial"/>
          <w:sz w:val="18"/>
          <w:szCs w:val="18"/>
          <w:color w:val="auto"/>
        </w:rPr>
      </w:pPr>
    </w:p>
    <w:p>
      <w:pPr>
        <w:ind w:left="2840" w:hanging="550"/>
        <w:spacing w:after="0"/>
        <w:tabs>
          <w:tab w:leader="none" w:pos="2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238" w:lineRule="exact"/>
        <w:rPr>
          <w:rFonts w:ascii="Arial" w:cs="Arial" w:eastAsia="Arial" w:hAnsi="Arial"/>
          <w:sz w:val="18"/>
          <w:szCs w:val="18"/>
          <w:color w:val="auto"/>
        </w:rPr>
      </w:pPr>
    </w:p>
    <w:p>
      <w:pPr>
        <w:ind w:left="2840" w:hanging="550"/>
        <w:spacing w:after="0"/>
        <w:tabs>
          <w:tab w:leader="none" w:pos="2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27, 2009, there was no unrecognized compensation expense related to the Employee Stock Purchase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Stockholder Rights Agreement</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December 16, 2004, the Company entered into a Stockholder Right Agreement (the Rights Agreement). Under the terms of the Rights Agreement, initially, the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(the date of such announcement being the Stock Acquisition Date) that person or group of affiliated or associated persons has acquired or obtained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right to acquire beneficial ownership of 15% or more of the then-outstanding common stock (an Acquiring Person), or (ii) ten business days (or such later date as may be determined by action of the Board of Directors prior to such time as any person becomes an Acquiring Person following the commencement of a tender offer or exchange offer that would result in a person or group becoming an Acquiring Person. An Acquiring Person does not include certain persons specified in the Rights Agreement.</w:t>
      </w:r>
    </w:p>
    <w:p>
      <w:pPr>
        <w:spacing w:after="0" w:line="197"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December 16, 2004, the Company's Board of Directors authorized and declared a dividend of one right (a Right) to purchase one one-hundredth of a share of the Company's Series C Preferred Stock (Series C Preferred) for each outstanding share of common stock, par value $0.001 (Common Stock), to stockholders of record as of the close of business December 27, 2004 (the Record Date). Each Right entitles the registered holder, subject to the terms of the Rights Agreement, to purchase from the Company one one-hundredth of a share of Series C Preferred at a purchase price of $54.00, subject to adjustment (the Purchase Price).</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1996, the Company implemented a 401(k) savings plan pursuant to Section 401(k) of the Internal Revenue Code (the Code), covering substantially all employees. Participants in the plan may contribute a percentage of compensation, but not in excess of the maximum allowed under the Code. The Company may make contributions at the discretion of its Board of Directors. The Company made contributions of $2.1 million in 2007, $2.7 million in 2008 and $6.0 million in 2009.</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November 18, 2004, the Board of Directors adopted the Wireless Facilities, Inc. Nonqualified Deferred Compensation Plan, effective as of January 1, 2005 (the Plan). The Plan provides executive officers and other eligible highly compensated employees with the opportunity to enter into agreements to defer up to eighty percent (80%) of their cash compensation derived from base salary, bonus awards and/or commissions. In addition, the Company may, in its sole and absolute discretion, award any participant under the Plan an additional employer contribution. Deferrals are adjusted for gain or loss based on the performance of one or more investment options selected by the participant from among investment funds chosen by the committee appointed to administer the Plan. Participants may elect that distribution of deferred amounts be paid in the form of either a lump sum or in annual installments if the participant terminates employment as a result of his or her retirement. However, all other distributions under the Plan will be made in a single lump sum. Distributions occur upon termination of service or upon such other dates that may be elected by the participant in accordance with the terms of the Plan. The Company, in its sole discretion, may suspend or terminate the Plan or revise or amend it in any respect whatsoever; provided, however, that no such action may reduce amounts credited to deferral accounts and such accounts will continue to be owed to the participants or beneficiaries and will continue to be a liability of the Company.</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years presented and the percentage of net sales made to such customers (in millions):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 of Total</w:t>
            </w: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2"/>
              </w:rPr>
              <w:t>Key Customer</w:t>
            </w:r>
          </w:p>
        </w:tc>
        <w:tc>
          <w:tcPr>
            <w:tcW w:w="4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Revenue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4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3"/>
              </w:rPr>
              <w:t>U.S. Navy</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U.S. Army</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2008</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U.S. Navy</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2"/>
              </w:rPr>
              <w:t>U.S. Army</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3"/>
              </w:rPr>
              <w:t>U.S. Navy</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U.S. Army</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top five customers accounted for approximately 62%, 65% and 62% of our total revenue in 2007, 2008 and 2009,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net accounts receivable for customers with significant concentrations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Accounts</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 of Total accounts</w:t>
            </w:r>
          </w:p>
        </w:tc>
      </w:t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2"/>
              </w:rPr>
              <w:t>Key Customer</w:t>
            </w:r>
          </w:p>
        </w:tc>
        <w:tc>
          <w:tcPr>
            <w:tcW w:w="3280" w:type="dxa"/>
            <w:vAlign w:val="bottom"/>
          </w:tcPr>
          <w:p>
            <w:pPr>
              <w:spacing w:after="0"/>
              <w:rPr>
                <w:sz w:val="14"/>
                <w:szCs w:val="14"/>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receivable, net</w:t>
            </w: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receivable, net</w:t>
            </w: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3"/>
              </w:rPr>
              <w:t>U.S. Navy</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3"/>
              </w:rPr>
              <w:t>U.S. Navy</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U.S. Army</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operates in two principal business segments: Kratos Government Solutions (KGS) and Public Safety and Security (PSS). The Company organizes its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This presentation is consistent with the Company's operating structure. Certain income and charges that are not allocated to segments in the Company's management reports because they are not considered in evaluating the segments' operating performance are categorized as reconciling items in the table below.</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operating income (loss) and assets provided by the Company's segments for the years ended December 31, 2007, December 28,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27, 2009, are as follows (in millions):</w:t>
      </w:r>
    </w:p>
    <w:p>
      <w:pPr>
        <w:spacing w:after="0" w:line="2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142.5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 from continuing operations: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4480" w:type="dxa"/>
            <w:vAlign w:val="bottom"/>
          </w:tcPr>
          <w:p>
            <w:pPr>
              <w:ind w:left="120"/>
              <w:spacing w:after="0"/>
              <w:rPr>
                <w:sz w:val="20"/>
                <w:szCs w:val="20"/>
                <w:color w:val="auto"/>
              </w:rPr>
            </w:pPr>
            <w:r>
              <w:rPr>
                <w:rFonts w:ascii="Arial" w:cs="Arial" w:eastAsia="Arial" w:hAnsi="Arial"/>
                <w:sz w:val="18"/>
                <w:szCs w:val="18"/>
                <w:color w:val="auto"/>
              </w:rPr>
              <w:t>Corporate activities</w:t>
            </w: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Unallocated charges are related to corporate expenses previously allocated to the discontinued wireless network services segment prior to the disposal of those businesses, stock based compensation charges and related tax adjustments, impairment and restructuring charges and expenses related to the stock option investigation conducted in 2007. As a result of the divestiture of the WNS businesses, the corporate expenses allocated to the PSS and KGS segments has increased in 2007, negatively impacting the operating income (loss) for these continuing operations.</w:t>
      </w:r>
    </w:p>
    <w:p>
      <w:pPr>
        <w:spacing w:after="0" w:line="16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Amounts related to corporate activities were impacted by the following items in 2007, 2008 and 2009. In 2007, there were $10.6 million in costs of the stock option investigation and related costs as well as the recovery from the former stock option administrator. In 2008, there was a benefit of $4.5 million in corporate activities due to insurance reimbursements of costs and losses related to the stock option investigation in 2007 as well as recoveries from the theft of stock options that had not previously been agreed to be covered. In 2009, the Company reached an agreement with the plaintiffs to settle the outstanding 2004 and 2007 derivative lawsuits. This resulted in a benefit in 2009 of $0.2 million as a result of the reduction in the estimated accrual related to this litigation offset by expenses related to government inquiries by the Department of Justice related to the Company's historical stock option granting practices which was completed in 2009. In addition, in 2009, there was an expense of $0.6 million for the year ended December 27, 2009, which was a result of a change in the Company's excess facility accrual due to the consolidation of space at its corporate headquarters following the sale of the SYS commercial businesses and a cancellation of a sublease of one of its tenants due to financial difficulties.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2008 and 2009, the KGS segment had goodwill impairment charges of $105.8 million and $41.3 million, respectively.</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activities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w:t>
      </w:r>
      <w:r>
        <w:rPr>
          <w:rFonts w:ascii="Arial" w:cs="Arial" w:eastAsia="Arial" w:hAnsi="Arial"/>
          <w:sz w:val="16"/>
          <w:szCs w:val="16"/>
          <w:i w:val="1"/>
          <w:iCs w:val="1"/>
          <w:color w:val="auto"/>
        </w:rPr>
        <w:t>SFAS ASC Topic 450 Contingencies (Topic 450)</w:t>
      </w:r>
      <w:r>
        <w:rPr>
          <w:rFonts w:ascii="Arial" w:cs="Arial" w:eastAsia="Arial" w:hAnsi="Arial"/>
          <w:sz w:val="16"/>
          <w:szCs w:val="16"/>
          <w:color w:val="auto"/>
        </w:rPr>
        <w:t xml:space="preserve">.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w:t>
      </w:r>
      <w:r>
        <w:rPr>
          <w:rFonts w:ascii="Arial" w:cs="Arial" w:eastAsia="Arial" w:hAnsi="Arial"/>
          <w:sz w:val="16"/>
          <w:szCs w:val="16"/>
          <w:i w:val="1"/>
          <w:iCs w:val="1"/>
          <w:color w:val="auto"/>
        </w:rPr>
        <w:t>Topic 450</w:t>
      </w:r>
      <w:r>
        <w:rPr>
          <w:rFonts w:ascii="Arial" w:cs="Arial" w:eastAsia="Arial" w:hAnsi="Arial"/>
          <w:sz w:val="16"/>
          <w:szCs w:val="16"/>
          <w:color w:val="auto"/>
        </w:rPr>
        <w:t xml:space="preserve">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172"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 maintains an accrual for the Company's health and workers' compensation partial self-insurance, which is a component of total accrued expenses and current liabilities of discontinued operations in the Consolidated Balance Sheets. Management determines the adequacy of these accruals based on a monthly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 As of December 31, 2007, December 28, 2008, and December 27, 2009, the accrual for the Company's partial self-insurance programs approximated $1.1 million, $0.7 million and $0.6 million, respectively. In 2007, 2008 and 2009, the provision for these programs which was related to continuing operations was $0.6 million, $0.4 million, and $0.3 million, respectively. The Company also carries stop-loss insurance that provides coverage limiting the Company's total exposure related to each medical and workers compensation claim incurred, as defined in the applicable insurance policies. The medical and workers compensation annual claim limits are $50,000 and $250,000, respectively. In 2007, 2008, and 2009, no claims exceeded the limits for workers compensation. In 2007, 2008 and 2009, the Company had three, none, and two claims, respectively, which exceeded the limits for medical insurance.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On January 13, 2009, following a motion by the parties, the Court granted final approval of the settlement of these claims, issued its final judgment on the matter, and entered an order dismissing the case with prejudice.</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The amended complaint names all of the original defendants (including those dismissed for lack of jurisdiction) as well as nine new defendants. On July 2, 2007,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proposed settlement of all derivative litigation, discussed below, the court has stayed all other matters except as necessary to document and consummate the proposed settlement, pending final approval of the proposed settlement. Similarly, the appellate court has stayed all matters related to plaintiffs' notice of appeal of the personal jurisdictional order pending district court approval of the proposed settlement.</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district court granted the parties' joint motion for preliminary approval of their proposed settlement in January 2010 and will hold a hearing on March 29, 2010 to determine whether the proposed settlement should be approved as final and whether the court should enter a final judgment order dismissing the matter with prejudice. The details of the settlement are set forth in the settlement papers filed with the court. There is no guarantee, however, that the settlement ultimately will be approved by the court. In addition, defendants continue to believe that plaintiffs' allegations lack merit and intend to vigorously defend all claims asserted if the settlement is not approved as final and the case dismissed. It is impossible at this time to assess whether or not the outcome of these proceedings will have a material adverse effect on the Company.</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$0.1 million based on the Company's estimate of the potential amount it would have to pay in relation to the settlement of these derivative lawsuits. The Company deposited the $0.1 million into escrow with the court in January, 2010. The Company expects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any additional costs incurred in connection with the settlement of these lawsuits to be paid by its Directors' and Officers' liability insurer(s).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23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28, 2008 and December 27, 2009, is as follows (in millions,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First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w w:val="79"/>
              </w:rPr>
              <w:t>Second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Third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2008</w:t>
            </w:r>
          </w:p>
        </w:tc>
        <w:tc>
          <w:tcPr>
            <w:tcW w:w="1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Operating income (loss) from continuing operations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Basic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80" w:type="dxa"/>
            <w:vAlign w:val="bottom"/>
          </w:tcPr>
          <w:p>
            <w:pPr>
              <w:jc w:val="right"/>
              <w:ind w:right="1152"/>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2008</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fourth quarter of 2008, the Company recorded a non-cash impairment charge of the carrying value of its goodwill of $105.8 million as a result of adverse equity market conditions and the resulting decline in market multiples and the company's stock price. The Company recorded benefits for the recovery of unauthorized stock options and fees related to the investigation by the U.S. Attorney's Office of $0.6 million, $1.0 million and $2.9 million for the second, third and fourth quarters, respectively, as a result of agreements reached with the Company's insurance carriers to cover these losses and expenses.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First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9"/>
              </w:rPr>
              <w:t>Second</w:t>
            </w:r>
          </w:p>
        </w:tc>
        <w:tc>
          <w:tcPr>
            <w:tcW w:w="1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Third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Quarter</w:t>
            </w: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2009</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income (loss)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2009</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the first quarter of 2009, the Company recorded a non-cash impairment charge of the carrying value of its goodwill of $41.3 million as a result of adverse equity market conditions and the resulting decline in current market multiples and the company's stock price.</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September 2009, the Company reached an agreement with the plaintiffs to settle the outstanding 2004 and 2007 derivative lawsuits. The Company had previously accrued $0.7 million related to the estimated settlement of this matter and in the third quarter of 2009, the Company recorded a reduction to the estimated settlement of $0.5 million as a result of the settlement agreement.</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fourth quarter of 2009, there was $0.7 million in interest expense related to the acceleration of the amortization of deferred financing costs due to the $17.5 million early extinguishment of the first lien term loan in October 2009.</w:t>
      </w:r>
    </w:p>
    <w:p>
      <w:pPr>
        <w:spacing w:after="0" w:line="186"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As a result of the impact of the issuance of 2.6 million shares in September 2009 on the Company's quarterly and yearly weighted average basic and diluted shares outstanding, the sum of 2009 quarterly earnings per share does not equal the Company's 2009 earnings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March 3, 2010, the Company entered into a new senior secured credit agreement (the Credit Agreement) with Key Bank National Association (KeyBank) as Administrative Agent and Lender for a new credit facility (the New Credit Facility) in the aggregate principal amount of $60.0 million.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New Credit Facility is comprised of (i) a $35.0 million term loan facility and (ii) a $25.0 million revolving line of credit. Bank of America, N.A., is Syndication Agent and Lender, and KeyBanc Capital Markets and Banc of America Securities, LLC acted as Co-Lead Arrangers and Book Runners. Pursuant to the terms of the Credit Agreement, the term loan and revolving credit facility are both three year facilities. The proceeds under the Credit Agreement may be used for general corporate purposes including refinancing of existing bank debt, working capital and acquisitions.</w:t>
      </w:r>
    </w:p>
    <w:p>
      <w:pPr>
        <w:spacing w:after="0" w:line="167"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Also on March 3, 2010, the Company entered into two Payoff Letters with KeyBank terminating its existing $85.0 million credit facility (the Prior Credit Facility). In connection with the refinancing of the Prior Credit Facility, the Company borrowed $57.5 million under the New Credit Facility. Approximately $25.0 million of the proceeds were used to pay in full the remaining balance on the first lien term loan under the Prior Credit Facility held by Silverpoint Capital LP (Silverpoint), at par, with no prepayment penalties, pursuant to the Settlement Agreement that the Company entered into with Silverpoint in October 2009. As a result of the refinance, the Company expects to record an approximate $2.2 million interest charge related to the write-off of unamortized financing costs related to the Prior Credit Facility. As of March 3, 2010, after giving full effect to the refinancing and repayment in full of the Prior Credit Facility, the Company had outstanding debt of $35.0 million under the New Credit Facility term loan and $22.5 million under the New Credit Facility revolving line of credit.</w:t>
      </w:r>
    </w:p>
    <w:p>
      <w:pPr>
        <w:spacing w:after="0" w:line="172" w:lineRule="exact"/>
        <w:rPr>
          <w:sz w:val="20"/>
          <w:szCs w:val="20"/>
          <w:color w:val="auto"/>
        </w:rPr>
      </w:pPr>
    </w:p>
    <w:p>
      <w:pPr>
        <w:ind w:right="100" w:firstLine="348"/>
        <w:spacing w:after="0" w:line="302" w:lineRule="auto"/>
        <w:rPr>
          <w:sz w:val="20"/>
          <w:szCs w:val="20"/>
          <w:color w:val="auto"/>
        </w:rPr>
      </w:pPr>
      <w:r>
        <w:rPr>
          <w:rFonts w:ascii="Arial" w:cs="Arial" w:eastAsia="Arial" w:hAnsi="Arial"/>
          <w:sz w:val="15"/>
          <w:szCs w:val="15"/>
          <w:color w:val="auto"/>
        </w:rPr>
        <w:t>The Company may borrow funds under the Credit Agreements (i) at the base rate, determined as the greater of (A) the prime loan rate announced by KeyBank and (B) the sum of the weighted average overnight federal funds rate published by the Federal Reserve Bank plus 50 basis points, or (ii) at the offshore rate, determined by the Administrative Agent as the offered rate for U.S. dollar deposits in the approximate amount of the requested loan and having a maturity comparable to such interest period, which rate appears (A) on the British Bankers' Association internet web page (http://www.bba.org.uk/public/libor/), or via</w:t>
      </w:r>
    </w:p>
    <w:p>
      <w:pPr>
        <w:spacing w:after="0" w:line="3" w:lineRule="exact"/>
        <w:rPr>
          <w:sz w:val="20"/>
          <w:szCs w:val="20"/>
          <w:color w:val="auto"/>
        </w:rPr>
      </w:pPr>
    </w:p>
    <w:p>
      <w:pPr>
        <w:ind w:firstLine="8"/>
        <w:spacing w:after="0" w:line="287" w:lineRule="auto"/>
        <w:tabs>
          <w:tab w:leader="none" w:pos="2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Reuters (BBALIBORS), Bloomberg, Moneyline Telerate (Page 3750) or any other information provider of the British Bankers' Association daily Libor rates as of 11:00 A.M., London time, on the date which is the second day on which banks are open for interbank deposits in London prior to the commencement of such interest period; as adjusted for reserve requirements and rounded upwards if necessary to the next higher 1/100%. Borrowings are subject to a Libor floor rate of 2.75% or a Base Rate floor of 5.25%. Term loan borrowings and revolver borrowings may be subject to an additional 450 basis points and 375 basis points, respectively, based on the Company's credit ratings. In addition, the Company must pay a fee ranging from 30 basis points per annum to 75 points per annum, based on its credit ratings, on the daily amount of the unused commitments under the revolving credit facility. The initial interest rate under the New Credit Facility for the term loan is 7.25%, compared to the approximate 11.75% interest rate under the Original Credit Facility term loan. The initial interest under the New Credit Facility for the revolving line of credit is approximately 6.50%, compared to the approximate 6.75% rate under the Original Credit facility revolving line of credit.</w:t>
      </w:r>
    </w:p>
    <w:p>
      <w:pPr>
        <w:spacing w:after="0" w:line="394"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Pursuant to certain terms of the Credit Agreement, in certain instances the Company is required to prepay outstanding indebtedness prior to its stated maturity date. Specifically, certain non-recurring cash inflows such as proceeds from asset sales, insurance recoveries, and equity offerings as well as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27,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certain annual operating cash flows may have to be used to pay down indebtedness and may not be reborrowed.</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terms of the Credit Agreement include customary representations and warranties, as well as reporting and financial covenants, customary for financings of this type. The financial covenants include a quarterly maximum leverage ratio of 2.75 through December 31, 2010, reducing to 2.50 thereafter, a quarterly fixed charge coverage ratio of 1.10 through December 31, 2010, with an increase to 1.25 thereafter. In addition, the covenants include a monthly asset coverage ratio of Eligible Billed Accounts Receivables, as defined, of 1.25 times for outstanding balances of the revolving credit facility.</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Credit Agreement provides for the ability to increase the revolving line of credit facility by up to $15.0 million to a total not to exceed $40.0 million, in the event that the Administrative Agent elects to secure additional commitments from Existing Lenders or from New Lenders.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8" w:name="page129"/>
    <w:bookmarkEnd w:id="1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ind w:left="10200"/>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SUBLEASE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4820 Eastgate Mall, San Diego, California 92121</w:t>
      </w:r>
    </w:p>
    <w:p>
      <w:pPr>
        <w:spacing w:after="0" w:line="221" w:lineRule="exact"/>
        <w:rPr>
          <w:sz w:val="20"/>
          <w:szCs w:val="20"/>
          <w:color w:val="auto"/>
        </w:rPr>
      </w:pPr>
    </w:p>
    <w:p>
      <w:pPr>
        <w:ind w:left="660"/>
        <w:spacing w:after="0"/>
        <w:tabs>
          <w:tab w:leader="none" w:pos="4620" w:val="left"/>
        </w:tabs>
        <w:rPr>
          <w:sz w:val="20"/>
          <w:szCs w:val="20"/>
          <w:color w:val="auto"/>
        </w:rPr>
      </w:pPr>
      <w:r>
        <w:rPr>
          <w:rFonts w:ascii="Arial" w:cs="Arial" w:eastAsia="Arial" w:hAnsi="Arial"/>
          <w:sz w:val="18"/>
          <w:szCs w:val="18"/>
          <w:color w:val="auto"/>
        </w:rPr>
        <w:t>This Sublease (“</w:t>
      </w:r>
      <w:r>
        <w:rPr>
          <w:rFonts w:ascii="Arial" w:cs="Arial" w:eastAsia="Arial" w:hAnsi="Arial"/>
          <w:sz w:val="18"/>
          <w:szCs w:val="18"/>
          <w:b w:val="1"/>
          <w:bCs w:val="1"/>
          <w:color w:val="auto"/>
        </w:rPr>
        <w:t>Sublease</w:t>
      </w:r>
      <w:r>
        <w:rPr>
          <w:rFonts w:ascii="Arial" w:cs="Arial" w:eastAsia="Arial" w:hAnsi="Arial"/>
          <w:sz w:val="18"/>
          <w:szCs w:val="18"/>
          <w:color w:val="auto"/>
        </w:rPr>
        <w:t>”) is made as of the</w:t>
      </w:r>
      <w:r>
        <w:rPr>
          <w:sz w:val="20"/>
          <w:szCs w:val="20"/>
          <w:color w:val="auto"/>
        </w:rPr>
        <w:tab/>
      </w:r>
      <w:r>
        <w:rPr>
          <w:rFonts w:ascii="Arial" w:cs="Arial" w:eastAsia="Arial" w:hAnsi="Arial"/>
          <w:sz w:val="16"/>
          <w:szCs w:val="16"/>
          <w:color w:val="auto"/>
        </w:rPr>
        <w:t>day of December, 2009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AMYLIN</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PHARMACEUTICALS, INC., a Delaware corporation (“</w:t>
      </w:r>
      <w:r>
        <w:rPr>
          <w:rFonts w:ascii="Arial" w:cs="Arial" w:eastAsia="Arial" w:hAnsi="Arial"/>
          <w:sz w:val="18"/>
          <w:szCs w:val="18"/>
          <w:b w:val="1"/>
          <w:bCs w:val="1"/>
          <w:color w:val="auto"/>
        </w:rPr>
        <w:t>Sublessor</w:t>
      </w:r>
      <w:r>
        <w:rPr>
          <w:rFonts w:ascii="Arial" w:cs="Arial" w:eastAsia="Arial" w:hAnsi="Arial"/>
          <w:sz w:val="18"/>
          <w:szCs w:val="18"/>
          <w:color w:val="auto"/>
        </w:rPr>
        <w:t>”), and KRATOS DEFENSE &amp; SECURITY SOLUTIONS, INC., a Delaware corporation (“</w:t>
      </w:r>
      <w:r>
        <w:rPr>
          <w:rFonts w:ascii="Arial" w:cs="Arial" w:eastAsia="Arial" w:hAnsi="Arial"/>
          <w:sz w:val="18"/>
          <w:szCs w:val="18"/>
          <w:b w:val="1"/>
          <w:bCs w:val="1"/>
          <w:color w:val="auto"/>
        </w:rPr>
        <w:t>Sublessee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20" w:firstLine="656"/>
        <w:spacing w:after="0" w:line="273" w:lineRule="auto"/>
        <w:tabs>
          <w:tab w:leader="none" w:pos="1363"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Pursuant to that certain Deed of Lease dated March 6, 2007 (the “</w:t>
      </w:r>
      <w:r>
        <w:rPr>
          <w:rFonts w:ascii="Arial" w:cs="Arial" w:eastAsia="Arial" w:hAnsi="Arial"/>
          <w:sz w:val="17"/>
          <w:szCs w:val="17"/>
          <w:b w:val="1"/>
          <w:bCs w:val="1"/>
          <w:color w:val="auto"/>
        </w:rPr>
        <w:t>Lease</w:t>
      </w:r>
      <w:r>
        <w:rPr>
          <w:rFonts w:ascii="Arial" w:cs="Arial" w:eastAsia="Arial" w:hAnsi="Arial"/>
          <w:sz w:val="17"/>
          <w:szCs w:val="17"/>
          <w:color w:val="auto"/>
        </w:rPr>
        <w:t>”), between THE IRVINE COMPANY LLC, a Delaware limited liability company (as successor in interest to CA-BRIDGE POINTE CORPORATE CENTRE III LIMITED PARTNERSHIP, a Delaware limited partnership) (“</w:t>
      </w:r>
      <w:r>
        <w:rPr>
          <w:rFonts w:ascii="Arial" w:cs="Arial" w:eastAsia="Arial" w:hAnsi="Arial"/>
          <w:sz w:val="17"/>
          <w:szCs w:val="17"/>
          <w:b w:val="1"/>
          <w:bCs w:val="1"/>
          <w:color w:val="auto"/>
        </w:rPr>
        <w:t>Prime Lessor</w:t>
      </w:r>
      <w:r>
        <w:rPr>
          <w:rFonts w:ascii="Arial" w:cs="Arial" w:eastAsia="Arial" w:hAnsi="Arial"/>
          <w:sz w:val="17"/>
          <w:szCs w:val="17"/>
          <w:color w:val="auto"/>
        </w:rPr>
        <w:t>”), as landlord, and Sublessor, as tenant, as amended by that certain First Amendment to Lease dated as of May 28, 2008, between Prime Lessor and Sublessor (the Lease and any amendments thereto are collectively referred to herein as the “</w:t>
      </w:r>
      <w:r>
        <w:rPr>
          <w:rFonts w:ascii="Arial" w:cs="Arial" w:eastAsia="Arial" w:hAnsi="Arial"/>
          <w:sz w:val="17"/>
          <w:szCs w:val="17"/>
          <w:b w:val="1"/>
          <w:bCs w:val="1"/>
          <w:color w:val="auto"/>
        </w:rPr>
        <w:t>Prime Lease</w:t>
      </w:r>
      <w:r>
        <w:rPr>
          <w:rFonts w:ascii="Arial" w:cs="Arial" w:eastAsia="Arial" w:hAnsi="Arial"/>
          <w:sz w:val="17"/>
          <w:szCs w:val="17"/>
          <w:color w:val="auto"/>
        </w:rPr>
        <w:t xml:space="preserve">” and is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Prime Lessor leased and demised to Sublessor certain premises (the “</w:t>
      </w:r>
      <w:r>
        <w:rPr>
          <w:rFonts w:ascii="Arial" w:cs="Arial" w:eastAsia="Arial" w:hAnsi="Arial"/>
          <w:sz w:val="17"/>
          <w:szCs w:val="17"/>
          <w:b w:val="1"/>
          <w:bCs w:val="1"/>
          <w:color w:val="auto"/>
        </w:rPr>
        <w:t>Leased Premises</w:t>
      </w:r>
      <w:r>
        <w:rPr>
          <w:rFonts w:ascii="Arial" w:cs="Arial" w:eastAsia="Arial" w:hAnsi="Arial"/>
          <w:sz w:val="17"/>
          <w:szCs w:val="17"/>
          <w:color w:val="auto"/>
        </w:rPr>
        <w:t>”) including the building known as 4820 Eastgate Mall (“</w:t>
      </w:r>
      <w:r>
        <w:rPr>
          <w:rFonts w:ascii="Arial" w:cs="Arial" w:eastAsia="Arial" w:hAnsi="Arial"/>
          <w:sz w:val="17"/>
          <w:szCs w:val="17"/>
          <w:b w:val="1"/>
          <w:bCs w:val="1"/>
          <w:color w:val="auto"/>
        </w:rPr>
        <w:t>Building 6</w:t>
      </w:r>
      <w:r>
        <w:rPr>
          <w:rFonts w:ascii="Arial" w:cs="Arial" w:eastAsia="Arial" w:hAnsi="Arial"/>
          <w:sz w:val="17"/>
          <w:szCs w:val="17"/>
          <w:color w:val="auto"/>
        </w:rPr>
        <w:t>”), which building is situated in the City of San Diego, County of San Diego, State of California, in the project commonly known as Bridge Pointe Corporate Centre (the “</w:t>
      </w:r>
      <w:r>
        <w:rPr>
          <w:rFonts w:ascii="Arial" w:cs="Arial" w:eastAsia="Arial" w:hAnsi="Arial"/>
          <w:sz w:val="17"/>
          <w:szCs w:val="17"/>
          <w:b w:val="1"/>
          <w:bCs w:val="1"/>
          <w:color w:val="auto"/>
        </w:rPr>
        <w:t>Project</w:t>
      </w:r>
      <w:r>
        <w:rPr>
          <w:rFonts w:ascii="Arial" w:cs="Arial" w:eastAsia="Arial" w:hAnsi="Arial"/>
          <w:sz w:val="17"/>
          <w:szCs w:val="17"/>
          <w:color w:val="auto"/>
        </w:rPr>
        <w:t>”) as depicted on and more fully described in the Prime Lease.</w:t>
      </w:r>
    </w:p>
    <w:p>
      <w:pPr>
        <w:spacing w:after="0" w:line="176" w:lineRule="exact"/>
        <w:rPr>
          <w:rFonts w:ascii="Arial" w:cs="Arial" w:eastAsia="Arial" w:hAnsi="Arial"/>
          <w:sz w:val="17"/>
          <w:szCs w:val="17"/>
          <w:color w:val="auto"/>
        </w:rPr>
      </w:pPr>
    </w:p>
    <w:p>
      <w:pPr>
        <w:ind w:right="20" w:firstLine="656"/>
        <w:spacing w:after="0" w:line="273" w:lineRule="auto"/>
        <w:tabs>
          <w:tab w:leader="none" w:pos="13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Sublessor wishes to sublease to Sublessee and Sublessee wishes to sublease from Sublessor a portion of the Leased Premises consisting of approximately 31,766 rentable square feet on the second floor, and 2,158 rentable square feet on the first floor of Building 6 (hereinafter, the “</w:t>
      </w:r>
      <w:r>
        <w:rPr>
          <w:rFonts w:ascii="Arial" w:cs="Arial" w:eastAsia="Arial" w:hAnsi="Arial"/>
          <w:sz w:val="17"/>
          <w:szCs w:val="17"/>
          <w:b w:val="1"/>
          <w:bCs w:val="1"/>
          <w:color w:val="auto"/>
        </w:rPr>
        <w:t>Sublet</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w:t>
      </w:r>
      <w:r>
        <w:rPr>
          <w:rFonts w:ascii="Arial" w:cs="Arial" w:eastAsia="Arial" w:hAnsi="Arial"/>
          <w:sz w:val="17"/>
          <w:szCs w:val="17"/>
          <w:color w:val="auto"/>
        </w:rPr>
        <w:t>”) as depicted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terms and subject to the conditions hereinafter set forth, the actual measurement of which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confirmed by Sublessor’s architect using the Standard Method for Measuring Floor Area in Office Buildings published by the Building Owners and Managers Association International (“BOMA”). Once confirmed, any discrepancy between the square footage set forth above and the actual square footage of the Sublet Premises, the square footage set forth above shall prevail for all purposes.</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for and in consideration of the foregoing Recitals and the mutual covenants, promises, and agreements herein contained, the parties hereto, intending to be legally bound hereby, covenant and agree as follows:</w:t>
      </w:r>
    </w:p>
    <w:p>
      <w:pPr>
        <w:spacing w:after="0" w:line="170" w:lineRule="exact"/>
        <w:rPr>
          <w:sz w:val="20"/>
          <w:szCs w:val="20"/>
          <w:color w:val="auto"/>
        </w:rPr>
      </w:pPr>
    </w:p>
    <w:p>
      <w:pPr>
        <w:ind w:right="300" w:firstLine="656"/>
        <w:spacing w:after="0" w:line="279" w:lineRule="auto"/>
        <w:tabs>
          <w:tab w:leader="none" w:pos="136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Demise and Premises</w:t>
      </w:r>
      <w:r>
        <w:rPr>
          <w:rFonts w:ascii="Arial" w:cs="Arial" w:eastAsia="Arial" w:hAnsi="Arial"/>
          <w:sz w:val="17"/>
          <w:szCs w:val="17"/>
          <w:color w:val="auto"/>
        </w:rPr>
        <w:t>. Sublessor hereby grants and demises to Sublessee, and Sublessee hereby accepts from Sublessor, subject to the terms and conditions of this Sublease and the Prime Lease, for the period set forth in Section 2 below, the Sublet Premises together with the non-exclusive right to use the parking, driveway areas and all common facilities, if any, available to Sublessor under the Prime Lease, in common with Prime Lessor and other tenants of Prime Lessor, and their invitees, licensees, employees, officers, servants, contractors and visitors.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right="20" w:firstLine="656"/>
        <w:spacing w:after="0" w:line="268" w:lineRule="auto"/>
        <w:tabs>
          <w:tab w:leader="none" w:pos="136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Sublease Term</w:t>
      </w:r>
      <w:r>
        <w:rPr>
          <w:rFonts w:ascii="Arial" w:cs="Arial" w:eastAsia="Arial" w:hAnsi="Arial"/>
          <w:sz w:val="17"/>
          <w:szCs w:val="17"/>
          <w:color w:val="auto"/>
        </w:rPr>
        <w:t>. Sublessor shall deliver possession of the Sublet Premises to Sublessee on or before December 15, 2009 (the “</w:t>
      </w:r>
      <w:r>
        <w:rPr>
          <w:rFonts w:ascii="Arial" w:cs="Arial" w:eastAsia="Arial" w:hAnsi="Arial"/>
          <w:sz w:val="17"/>
          <w:szCs w:val="17"/>
          <w:b w:val="1"/>
          <w:bCs w:val="1"/>
          <w:color w:val="auto"/>
        </w:rPr>
        <w:t>Delivery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Sublessee shall be permitted to begin construction of its improvements and installation of its furniture, fixtures and equipment after the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term of this Sublease (the “</w:t>
      </w:r>
      <w:r>
        <w:rPr>
          <w:rFonts w:ascii="Arial" w:cs="Arial" w:eastAsia="Arial" w:hAnsi="Arial"/>
          <w:sz w:val="17"/>
          <w:szCs w:val="17"/>
          <w:b w:val="1"/>
          <w:bCs w:val="1"/>
          <w:color w:val="auto"/>
        </w:rPr>
        <w:t>Sublease Term</w:t>
      </w:r>
      <w:r>
        <w:rPr>
          <w:rFonts w:ascii="Arial" w:cs="Arial" w:eastAsia="Arial" w:hAnsi="Arial"/>
          <w:sz w:val="17"/>
          <w:szCs w:val="17"/>
          <w:color w:val="auto"/>
        </w:rPr>
        <w:t>”) shall commence on May 1, 2010 (“</w:t>
      </w:r>
      <w:r>
        <w:rPr>
          <w:rFonts w:ascii="Arial" w:cs="Arial" w:eastAsia="Arial" w:hAnsi="Arial"/>
          <w:sz w:val="17"/>
          <w:szCs w:val="17"/>
          <w:b w:val="1"/>
          <w:bCs w:val="1"/>
          <w:color w:val="auto"/>
        </w:rPr>
        <w:t>Commencement Date</w:t>
      </w:r>
      <w:r>
        <w:rPr>
          <w:rFonts w:ascii="Arial" w:cs="Arial" w:eastAsia="Arial" w:hAnsi="Arial"/>
          <w:sz w:val="17"/>
          <w:szCs w:val="17"/>
          <w:color w:val="auto"/>
        </w:rPr>
        <w:t>”), assuming Sublessor has received both the consent of the Prime Lessor to this Sublease and the Letter of Credit (hereinafter defined) and shall end on September 30, 2018 (the “</w:t>
      </w:r>
      <w:r>
        <w:rPr>
          <w:rFonts w:ascii="Arial" w:cs="Arial" w:eastAsia="Arial" w:hAnsi="Arial"/>
          <w:sz w:val="17"/>
          <w:szCs w:val="17"/>
          <w:b w:val="1"/>
          <w:bCs w:val="1"/>
          <w:color w:val="auto"/>
        </w:rPr>
        <w:t>Sublease</w:t>
      </w:r>
      <w:r>
        <w:rPr>
          <w:rFonts w:ascii="Arial" w:cs="Arial" w:eastAsia="Arial" w:hAnsi="Arial"/>
          <w:sz w:val="17"/>
          <w:szCs w:val="17"/>
          <w:color w:val="auto"/>
        </w:rPr>
        <w:t xml:space="preserve"> </w:t>
      </w:r>
      <w:r>
        <w:rPr>
          <w:rFonts w:ascii="Arial" w:cs="Arial" w:eastAsia="Arial" w:hAnsi="Arial"/>
          <w:sz w:val="17"/>
          <w:szCs w:val="17"/>
          <w:b w:val="1"/>
          <w:bCs w:val="1"/>
          <w:color w:val="auto"/>
        </w:rPr>
        <w:t>Expiration Date</w:t>
      </w:r>
      <w:r>
        <w:rPr>
          <w:rFonts w:ascii="Arial" w:cs="Arial" w:eastAsia="Arial" w:hAnsi="Arial"/>
          <w:sz w:val="17"/>
          <w:szCs w:val="17"/>
          <w:color w:val="auto"/>
        </w:rPr>
        <w:t>”). Rent shall commence on May 1, 2011 (the “</w:t>
      </w:r>
      <w:r>
        <w:rPr>
          <w:rFonts w:ascii="Arial" w:cs="Arial" w:eastAsia="Arial" w:hAnsi="Arial"/>
          <w:sz w:val="17"/>
          <w:szCs w:val="17"/>
          <w:b w:val="1"/>
          <w:bCs w:val="1"/>
          <w:color w:val="auto"/>
        </w:rPr>
        <w:t>Rent Commencement Date</w:t>
      </w:r>
      <w:r>
        <w:rPr>
          <w:rFonts w:ascii="Arial" w:cs="Arial" w:eastAsia="Arial" w:hAnsi="Arial"/>
          <w:sz w:val="17"/>
          <w:szCs w:val="17"/>
          <w:color w:val="auto"/>
        </w:rPr>
        <w:t>”). Sublessor shall not be liable to Sublessee for any loss or</w:t>
      </w:r>
      <w:r>
        <w:rPr>
          <w:rFonts w:ascii="Arial" w:cs="Arial" w:eastAsia="Arial" w:hAnsi="Arial"/>
          <w:sz w:val="17"/>
          <w:szCs w:val="17"/>
          <w:b w:val="1"/>
          <w:bCs w:val="1"/>
          <w:color w:val="auto"/>
        </w:rPr>
        <w:t xml:space="preserve"> </w:t>
      </w:r>
      <w:r>
        <w:rPr>
          <w:rFonts w:ascii="Arial" w:cs="Arial" w:eastAsia="Arial" w:hAnsi="Arial"/>
          <w:sz w:val="17"/>
          <w:szCs w:val="17"/>
          <w:color w:val="auto"/>
        </w:rPr>
        <w:t>damage incurred by Sublessee if Sublessor does not deliver possession of the Sublet Premises to Sublessee on the Delivery Date; provided, however, that if Sublessor does not, for any reason, deliver possession of the Sublet Premises to Sublessee by the anticipated Delivery Date, then (a) Sublessee shall not be subject to any liability therefor, nor shall such failure affect the validity of this Sublease, or the obligations of Sublessee hereunder, or extend the Sublease Term, but in such case, Sublessee shall, except as otherwise provided herein be entitled to a one (1) day postponement, without payment of Fixed or Additional Rent during such period, of the Rent Commencement Date for each day of delay in delivery of the Sublet Premises until Sublessor delivers possession of the Sublet Premises to Sublessee. Notwithstanding anything in this Sublease to the contrary, in the event the Prime Lease is terminated for any reason, this Sublease Agreement shall also terminate as of the date of termination of the Prime Lease. Sublessor shall have no liability to Sublessee due to the termination of this Sublease Agreement as a result of the termination of the Prime Lease, provided Sublessor is not in default of its obligation to pay rent as provided in the Prime Lease or does not otherwise cause a default which results in the termination of the Prime Lease. Notwithstanding anything contained in the Prime Lease or this Sublease to the contrary, Sublessee shall have no right or option to extend the term of this Sublease beyond the expiration or sooner termination of the Sublease Term.</w:t>
      </w:r>
    </w:p>
    <w:p>
      <w:pPr>
        <w:spacing w:after="0" w:line="184" w:lineRule="exact"/>
        <w:rPr>
          <w:rFonts w:ascii="Arial" w:cs="Arial" w:eastAsia="Arial" w:hAnsi="Arial"/>
          <w:sz w:val="17"/>
          <w:szCs w:val="17"/>
          <w:color w:val="auto"/>
        </w:rPr>
      </w:pPr>
    </w:p>
    <w:p>
      <w:pPr>
        <w:ind w:right="140" w:firstLine="656"/>
        <w:spacing w:after="0" w:line="286" w:lineRule="auto"/>
        <w:tabs>
          <w:tab w:leader="none" w:pos="136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Fixed Rent</w:t>
      </w:r>
      <w:r>
        <w:rPr>
          <w:rFonts w:ascii="Arial" w:cs="Arial" w:eastAsia="Arial" w:hAnsi="Arial"/>
          <w:sz w:val="17"/>
          <w:szCs w:val="17"/>
          <w:color w:val="auto"/>
        </w:rPr>
        <w:t>. Commencing on the Rent Commencement Date, Sublessee shall pay to Sublessor’s property manager, Colliers International, at 4660 La Jolla Village Drive, Suite 100, San Diego, CA 92122, or at such other address or to such other property manager as Sublessor shall notify Sublessee in writing, the base monthly rent per rentable square foot of the Sublet Premises set forth below (the “</w:t>
      </w:r>
      <w:r>
        <w:rPr>
          <w:rFonts w:ascii="Arial" w:cs="Arial" w:eastAsia="Arial" w:hAnsi="Arial"/>
          <w:sz w:val="17"/>
          <w:szCs w:val="17"/>
          <w:b w:val="1"/>
          <w:bCs w:val="1"/>
          <w:color w:val="auto"/>
        </w:rPr>
        <w:t>Fixed Rent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-3154680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color w:val="auto"/>
              </w:rPr>
              <w:t>Months After</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ind w:left="240"/>
              <w:spacing w:after="0"/>
              <w:rPr>
                <w:sz w:val="20"/>
                <w:szCs w:val="20"/>
                <w:color w:val="auto"/>
              </w:rPr>
            </w:pPr>
            <w:r>
              <w:rPr>
                <w:rFonts w:ascii="Arial" w:cs="Arial" w:eastAsia="Arial" w:hAnsi="Arial"/>
                <w:sz w:val="14"/>
                <w:szCs w:val="14"/>
                <w:b w:val="1"/>
                <w:bCs w:val="1"/>
                <w:color w:val="auto"/>
              </w:rPr>
              <w:t>Fixed Monthly Rent</w:t>
            </w:r>
          </w:p>
        </w:tc>
      </w:tr>
      <w:tr>
        <w:trPr>
          <w:trHeight w:val="171"/>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Commencement Date</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(NNN)/Sq. Ft</w:t>
            </w:r>
          </w:p>
        </w:tc>
        <w:tc>
          <w:tcPr>
            <w:tcW w:w="100" w:type="dxa"/>
            <w:vAlign w:val="bottom"/>
            <w:tcBorders>
              <w:bottom w:val="single" w:sz="8" w:color="CCEEFF"/>
            </w:tcBorders>
          </w:tcPr>
          <w:p>
            <w:pPr>
              <w:spacing w:after="0"/>
              <w:rPr>
                <w:sz w:val="14"/>
                <w:szCs w:val="14"/>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1 through 12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95"/>
              </w:rPr>
              <w:t>1.29*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13 through 24</w:t>
            </w:r>
          </w:p>
        </w:tc>
        <w:tc>
          <w:tcPr>
            <w:tcW w:w="7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60"/>
              <w:spacing w:after="0"/>
              <w:rPr>
                <w:sz w:val="20"/>
                <w:szCs w:val="20"/>
                <w:color w:val="auto"/>
              </w:rPr>
            </w:pPr>
            <w:r>
              <w:rPr>
                <w:rFonts w:ascii="Arial" w:cs="Arial" w:eastAsia="Arial" w:hAnsi="Arial"/>
                <w:sz w:val="18"/>
                <w:szCs w:val="18"/>
                <w:color w:val="auto"/>
              </w:rPr>
              <w:t>1.33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25 through 36</w:t>
            </w:r>
          </w:p>
        </w:tc>
        <w:tc>
          <w:tcPr>
            <w:tcW w:w="7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1.37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37 through 48</w:t>
            </w:r>
          </w:p>
        </w:tc>
        <w:tc>
          <w:tcPr>
            <w:tcW w:w="7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60"/>
              <w:spacing w:after="0"/>
              <w:rPr>
                <w:sz w:val="20"/>
                <w:szCs w:val="20"/>
                <w:color w:val="auto"/>
              </w:rPr>
            </w:pPr>
            <w:r>
              <w:rPr>
                <w:rFonts w:ascii="Arial" w:cs="Arial" w:eastAsia="Arial" w:hAnsi="Arial"/>
                <w:sz w:val="18"/>
                <w:szCs w:val="18"/>
                <w:color w:val="auto"/>
              </w:rPr>
              <w:t>1.41</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49 through 60</w:t>
            </w:r>
          </w:p>
        </w:tc>
        <w:tc>
          <w:tcPr>
            <w:tcW w:w="7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1.45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61 through 72</w:t>
            </w:r>
          </w:p>
        </w:tc>
        <w:tc>
          <w:tcPr>
            <w:tcW w:w="7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60"/>
              <w:spacing w:after="0"/>
              <w:rPr>
                <w:sz w:val="20"/>
                <w:szCs w:val="20"/>
                <w:color w:val="auto"/>
              </w:rPr>
            </w:pPr>
            <w:r>
              <w:rPr>
                <w:rFonts w:ascii="Arial" w:cs="Arial" w:eastAsia="Arial" w:hAnsi="Arial"/>
                <w:sz w:val="18"/>
                <w:szCs w:val="18"/>
                <w:color w:val="auto"/>
              </w:rPr>
              <w:t>1.50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73 through 84</w:t>
            </w:r>
          </w:p>
        </w:tc>
        <w:tc>
          <w:tcPr>
            <w:tcW w:w="7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1.54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85 through 96</w:t>
            </w:r>
          </w:p>
        </w:tc>
        <w:tc>
          <w:tcPr>
            <w:tcW w:w="7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760"/>
              <w:spacing w:after="0"/>
              <w:rPr>
                <w:sz w:val="20"/>
                <w:szCs w:val="20"/>
                <w:color w:val="auto"/>
              </w:rPr>
            </w:pPr>
            <w:r>
              <w:rPr>
                <w:rFonts w:ascii="Arial" w:cs="Arial" w:eastAsia="Arial" w:hAnsi="Arial"/>
                <w:sz w:val="18"/>
                <w:szCs w:val="18"/>
                <w:color w:val="auto"/>
              </w:rPr>
              <w:t>1.59</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97 through Expiration Date</w:t>
            </w:r>
          </w:p>
        </w:tc>
        <w:tc>
          <w:tcPr>
            <w:tcW w:w="7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Subject to abatement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81" w:gutter="0" w:footer="0" w:header="0"/>
        </w:sectPr>
      </w:pPr>
    </w:p>
    <w:bookmarkStart w:id="130" w:name="page131"/>
    <w:bookmarkEnd w:id="130"/>
    <w:p>
      <w:pPr>
        <w:ind w:right="40" w:firstLine="648"/>
        <w:spacing w:after="0" w:line="270" w:lineRule="auto"/>
        <w:rPr>
          <w:sz w:val="20"/>
          <w:szCs w:val="20"/>
          <w:color w:val="auto"/>
        </w:rPr>
      </w:pPr>
      <w:r>
        <w:rPr>
          <w:rFonts w:ascii="Arial" w:cs="Arial" w:eastAsia="Arial" w:hAnsi="Arial"/>
          <w:sz w:val="17"/>
          <w:szCs w:val="17"/>
          <w:color w:val="auto"/>
        </w:rPr>
        <w:t>Provided there is no continuing and uncured Event of Default (as defined below) by Sublessee under this Sublease, Sublessor and Sublessee agree that commencing on the Rent Commencement Date and continuing until the date which is twelve (12) months after the Rent Commencement Date (the “</w:t>
      </w:r>
      <w:r>
        <w:rPr>
          <w:rFonts w:ascii="Arial" w:cs="Arial" w:eastAsia="Arial" w:hAnsi="Arial"/>
          <w:sz w:val="17"/>
          <w:szCs w:val="17"/>
          <w:b w:val="1"/>
          <w:bCs w:val="1"/>
          <w:color w:val="auto"/>
        </w:rPr>
        <w:t>Rent</w:t>
      </w:r>
      <w:r>
        <w:rPr>
          <w:rFonts w:ascii="Arial" w:cs="Arial" w:eastAsia="Arial" w:hAnsi="Arial"/>
          <w:sz w:val="17"/>
          <w:szCs w:val="17"/>
          <w:color w:val="auto"/>
        </w:rPr>
        <w:t xml:space="preserve"> </w:t>
      </w:r>
      <w:r>
        <w:rPr>
          <w:rFonts w:ascii="Arial" w:cs="Arial" w:eastAsia="Arial" w:hAnsi="Arial"/>
          <w:sz w:val="17"/>
          <w:szCs w:val="17"/>
          <w:b w:val="1"/>
          <w:bCs w:val="1"/>
          <w:color w:val="auto"/>
        </w:rPr>
        <w:t>Abatement Period</w:t>
      </w:r>
      <w:r>
        <w:rPr>
          <w:rFonts w:ascii="Arial" w:cs="Arial" w:eastAsia="Arial" w:hAnsi="Arial"/>
          <w:sz w:val="17"/>
          <w:szCs w:val="17"/>
          <w:color w:val="auto"/>
        </w:rPr>
        <w:t>”) Fixed Rent and Expenses and Taxes (defined below) shall be abated, except that Sublessee shall pay for all electricity and janitorial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provided to the Sublet Premises from and after the Delivery Date. If, at the expiration of the Sublease Term, there is no continuing and uncured Event of Default by Sublessee under this Sublease, Sublessor shall waive the payment of all such conditionally abated Fixed Rent and Expenses and Taxes. Should there be an Event of Default, at any time during the Sublease Term, and such Event of Default gives Sublessor the right to terminate this Sublease prior to September 30, 2018, pursuant to the express terms of this Sublease then the total amount of the conditionally abated Fixed Rent and Expenses and Taxes shall be immediately due and payable by Sublessee to Sublessor and Sublessee hereby waives any and all rights and defenses it may have with respect to any statute of limitations arising in connection with Sublessor’s exercise of its rights and remedies relating to the conditionally abated Fixed Rent and Expenses and Taxes.</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Subject to the abatement set forth above, Fixed Rent shall be payable in monthly installments in advance during the Sublease Term on the first day of each month, commencing on Rent Commencement Date. Notwithstanding the above, Sublessee shall pay the Fixed Rent for the thirteenth (13</w:t>
      </w:r>
      <w:r>
        <w:rPr>
          <w:rFonts w:ascii="Arial" w:cs="Arial" w:eastAsia="Arial" w:hAnsi="Arial"/>
          <w:sz w:val="23"/>
          <w:szCs w:val="23"/>
          <w:color w:val="auto"/>
          <w:vertAlign w:val="superscript"/>
        </w:rPr>
        <w:t>th</w:t>
      </w:r>
      <w:r>
        <w:rPr>
          <w:rFonts w:ascii="Arial" w:cs="Arial" w:eastAsia="Arial" w:hAnsi="Arial"/>
          <w:sz w:val="18"/>
          <w:szCs w:val="18"/>
          <w:color w:val="auto"/>
        </w:rPr>
        <w:t>) month of the Sublease Term on the Effective Date.</w:t>
      </w:r>
    </w:p>
    <w:p>
      <w:pPr>
        <w:spacing w:after="0" w:line="203" w:lineRule="exact"/>
        <w:rPr>
          <w:sz w:val="20"/>
          <w:szCs w:val="20"/>
          <w:color w:val="auto"/>
        </w:rPr>
      </w:pPr>
    </w:p>
    <w:p>
      <w:pPr>
        <w:ind w:right="60" w:firstLine="656"/>
        <w:spacing w:after="0" w:line="287" w:lineRule="auto"/>
        <w:tabs>
          <w:tab w:leader="none" w:pos="136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Additional Rent</w:t>
      </w:r>
      <w:r>
        <w:rPr>
          <w:rFonts w:ascii="Arial" w:cs="Arial" w:eastAsia="Arial" w:hAnsi="Arial"/>
          <w:sz w:val="16"/>
          <w:szCs w:val="16"/>
          <w:color w:val="auto"/>
        </w:rPr>
        <w:t xml:space="preserve">. Subject to the abatement provisions set forth in Section 3 above, from and after the Rent Commencement Date, Sublessee shall pay to Sublessor’s property manager, Sublessee’s pro rata share of Expenses and Taxes (as defined in the Prime Lease) and other associated project operating expenses as defined in Exhibit B to the Prime Lease as additional rent, to the Sublessor or Sublessor’s agents. Sublessee’s pro rata share of such Expenses and Taxes is currently estimated to be $0.49 per rentable square foot per month. Sublessor or Prime Lessor shall provide common area maintenance services and daily janitorial services (Monday — Friday), the cost of which shall be included in Expenses and Taxes. Sublessor shall not charge a property management fee or administration fee related to this Sublease other than those charges by Prime Lessor under the Prime Lease. Notwithstanding the foregoing, Sublessor and Sublessee acknowledge that the Sublet Premises will be separately metered for electricity at Sublessee’s sole cost and expense and Sublessee shall directly pay to the electricity provider, prior to the due date thereof, all charges for electricity usage in the Sublet Premises. Notwithstanding the foregoing or anything to the contrary in this Sublease or the Prime Lease, Sublessee shall pay for all utilities commencing on the Delivery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Sublessee shall not pay any utilities in the nature of Expenses and Taxes during the Rent Abatement Period. As used herein, the term “rent” shall mean and include Fixed Rent, additional rent and any other sums due hereunder or pursuant to the Prime Lease. Except as set forth herein, all rent shall be due and payable without prior notice, demand, deduction or offset.</w:t>
      </w:r>
    </w:p>
    <w:p>
      <w:pPr>
        <w:spacing w:after="0" w:line="168" w:lineRule="exact"/>
        <w:rPr>
          <w:rFonts w:ascii="Arial" w:cs="Arial" w:eastAsia="Arial" w:hAnsi="Arial"/>
          <w:sz w:val="16"/>
          <w:szCs w:val="16"/>
          <w:color w:val="auto"/>
        </w:rPr>
      </w:pPr>
    </w:p>
    <w:p>
      <w:pPr>
        <w:ind w:right="60" w:firstLine="656"/>
        <w:spacing w:after="0" w:line="259" w:lineRule="auto"/>
        <w:tabs>
          <w:tab w:leader="none" w:pos="136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Interest on Overdue Payments</w:t>
      </w:r>
      <w:r>
        <w:rPr>
          <w:rFonts w:ascii="Arial" w:cs="Arial" w:eastAsia="Arial" w:hAnsi="Arial"/>
          <w:sz w:val="18"/>
          <w:szCs w:val="18"/>
          <w:color w:val="auto"/>
        </w:rPr>
        <w:t>. In the event that Sublessee shall fail to pay any installment of Fixed Rent or additional rent or any other sum due hereunder or pursuant to the Prime Lease, Sublessee shall pay Sublessor the administration fee equal to $500 pursuant to Section 4.01 of the Prime Lease, provided that Sublessee shall be entitled to a grace period of five (5) business days for the first two (2) late payments of rent in a calendar year without payment of the administrative fee. In addition, past due rent shall accrue interest at 12%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annum, provided that Sublessee shall be entitled to a grace period of five (5) business days for the first two (2) late payments of rent in a calendar year, during which two (2) grace periods no interest shall accrue. The parties agree that the payment of such interest represents the liability that Sublessor will incur to Prime Lessor by reason of the late payment by Sublessee, and is therefore not a penalty.</w:t>
      </w:r>
    </w:p>
    <w:p>
      <w:pPr>
        <w:spacing w:after="0" w:line="181" w:lineRule="exact"/>
        <w:rPr>
          <w:sz w:val="20"/>
          <w:szCs w:val="20"/>
          <w:color w:val="auto"/>
        </w:rPr>
      </w:pPr>
    </w:p>
    <w:p>
      <w:pPr>
        <w:ind w:left="1380" w:hanging="724"/>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Use</w:t>
      </w:r>
      <w:r>
        <w:rPr>
          <w:rFonts w:ascii="Arial" w:cs="Arial" w:eastAsia="Arial" w:hAnsi="Arial"/>
          <w:sz w:val="18"/>
          <w:szCs w:val="18"/>
          <w:color w:val="auto"/>
        </w:rPr>
        <w:t>. Sublessee shall use and occupy the Sublet Premises for the uses permitted under the Prime Lease.</w:t>
      </w:r>
    </w:p>
    <w:p>
      <w:pPr>
        <w:spacing w:after="0" w:line="225" w:lineRule="exact"/>
        <w:rPr>
          <w:rFonts w:ascii="Arial" w:cs="Arial" w:eastAsia="Arial" w:hAnsi="Arial"/>
          <w:sz w:val="18"/>
          <w:szCs w:val="18"/>
          <w:color w:val="auto"/>
        </w:rPr>
      </w:pPr>
    </w:p>
    <w:p>
      <w:pPr>
        <w:ind w:firstLine="656"/>
        <w:spacing w:after="0" w:line="268" w:lineRule="auto"/>
        <w:tabs>
          <w:tab w:leader="none" w:pos="136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Access to Sublet Premises</w:t>
      </w:r>
      <w:r>
        <w:rPr>
          <w:rFonts w:ascii="Arial" w:cs="Arial" w:eastAsia="Arial" w:hAnsi="Arial"/>
          <w:sz w:val="17"/>
          <w:szCs w:val="17"/>
          <w:color w:val="auto"/>
        </w:rPr>
        <w:t>. During the period of time from the date hereof until the Delivery Date, Sublessee shall be granted access to the Sublet Premises one day a week during a four-hour time period (which day of the week and time period shall be mutually agreed upon by Sublessor and Sublessee) subject to at least 48 hour advance notice to Sublessor to gather information for initial planning and design to the Sublet Premises. Notwithstanding the foregoing, the Sublet Premises shall not be deemed delivered to Sublessee, and Sublessee shall not be deemed in possession of the Sublet Premises until the Delivery Date. In the event Prime Lessor has consented to this Sublease on or before the Delivery Date, Sublessee shall have the right to occupy the Sublet Premises from and after the Delivery Date for construction of Sublessee’s improvements and/or instillation of furniture equipment and furnishings in the Sublet Premises. The obligation to pay Fixed Rent shall be abated for any such period of early occupancy but all other terms of this Sublease (including, but not limited to, Sublessee’s obligation to carry the insurance required by Section 10) shall be in effect during such period, and prior to Sublessee’s early occupancy of the Sublet Premises, Sublessee shall have previously provided Prime Lessor and Sublessor with proof of Sublessee’s insurance as set forth in Section 10 of this Sublease. Any such early possession shall not affect nor advance the Sublease Expiration Date of the Sublease Term. Any and all materials, work, installations, equipment and decorations of any nature brought upon the Building or installed by Sublessee in the Sublet Premises prior to the Rent Commencement Date shall be at Sublessee’s sole risk. Neither Sublessor nor any party acting on Sublessor’s behalf on or about the Building shall be responsible for any claim, damage or loss or destruction of such items brought to the Building or installed in the Sublet Premises prior to the Rent Commencement Date and Sublessee shall indemnify, defend and hold Sublessor harmless from any claim, loss, damage or destruction as a result of such early occupancy.</w:t>
      </w:r>
    </w:p>
    <w:p>
      <w:pPr>
        <w:spacing w:after="0" w:line="179"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Application of Prime Lease</w:t>
      </w:r>
      <w:r>
        <w:rPr>
          <w:rFonts w:ascii="Arial" w:cs="Arial" w:eastAsia="Arial" w:hAnsi="Arial"/>
          <w:sz w:val="16"/>
          <w:szCs w:val="16"/>
          <w:color w:val="auto"/>
        </w:rPr>
        <w:t>. As applied to this Sublease, the words, “</w:t>
      </w:r>
      <w:r>
        <w:rPr>
          <w:rFonts w:ascii="Arial" w:cs="Arial" w:eastAsia="Arial" w:hAnsi="Arial"/>
          <w:sz w:val="16"/>
          <w:szCs w:val="16"/>
          <w:b w:val="1"/>
          <w:bCs w:val="1"/>
          <w:color w:val="auto"/>
        </w:rPr>
        <w:t>Landlord</w:t>
      </w:r>
      <w:r>
        <w:rPr>
          <w:rFonts w:ascii="Arial" w:cs="Arial" w:eastAsia="Arial" w:hAnsi="Arial"/>
          <w:sz w:val="16"/>
          <w:szCs w:val="16"/>
          <w:color w:val="auto"/>
        </w:rPr>
        <w:t>” and “</w:t>
      </w:r>
      <w:r>
        <w:rPr>
          <w:rFonts w:ascii="Arial" w:cs="Arial" w:eastAsia="Arial" w:hAnsi="Arial"/>
          <w:sz w:val="16"/>
          <w:szCs w:val="16"/>
          <w:b w:val="1"/>
          <w:bCs w:val="1"/>
          <w:color w:val="auto"/>
        </w:rPr>
        <w:t>Tenant</w:t>
      </w:r>
      <w:r>
        <w:rPr>
          <w:rFonts w:ascii="Arial" w:cs="Arial" w:eastAsia="Arial" w:hAnsi="Arial"/>
          <w:sz w:val="16"/>
          <w:szCs w:val="16"/>
          <w:color w:val="auto"/>
        </w:rPr>
        <w:t xml:space="preserve">” in the Prime Lease will be deemed to refer to Sublessor and Sublessee, respectively under this Sublease. Except as otherwise provided in this Sublease, or except to the extent inconsistent herewith, the rights and obligations of Prime Lessor and Sublessor under the Prime Lease will be deemed to be the rights and obligations of Sublessor and Sublessee, respectively, under this Sublease, and will inure to the benefit of, and be binding on, Sublessor and Sublessee, respectively. All provisions of the Prime Lease shall apply to this Sublease unless specifically excluded or modified by this Agreement. Sublessor represents that it has delivered to Sublessee a true and complete copy of the Prime Lease to Sublessee, and Sublessee acknowledges receipt of a copy of the Prime Lease from Sublessor, which such copy is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Notwithstanding the foregoing, the parties hereto acknowledge that the following sections of the Prime Lease shall not be incorporated within this Sublease: 1.02, 1.03, 1.04, 1.05, 1.06, 1.07, 1.08, 1.10, 1.14, 3.01, 6, 18, the first three sentences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20, 22 (except as incorporated by reference in Section 36 of this Sublease), Section 2.04 of Exhibit B, Exhibit C, and Sections 1 through 3 and 9 of Exhibit F.</w:t>
      </w:r>
    </w:p>
    <w:p>
      <w:pPr>
        <w:sectPr>
          <w:pgSz w:w="11900" w:h="16838" w:orient="portrait"/>
          <w:cols w:equalWidth="0" w:num="1">
            <w:col w:w="11420"/>
          </w:cols>
          <w:pgMar w:left="240" w:top="584" w:right="239" w:bottom="244" w:gutter="0" w:footer="0" w:header="0"/>
        </w:sectPr>
      </w:pPr>
    </w:p>
    <w:bookmarkStart w:id="131" w:name="page132"/>
    <w:bookmarkEnd w:id="131"/>
    <w:p>
      <w:pPr>
        <w:spacing w:after="0" w:line="114" w:lineRule="exact"/>
        <w:rPr>
          <w:sz w:val="20"/>
          <w:szCs w:val="20"/>
          <w:color w:val="auto"/>
        </w:rPr>
      </w:pPr>
    </w:p>
    <w:p>
      <w:pPr>
        <w:ind w:right="20" w:firstLine="656"/>
        <w:spacing w:after="0" w:line="268" w:lineRule="auto"/>
        <w:tabs>
          <w:tab w:leader="none" w:pos="136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Indemnification of Sublessor</w:t>
      </w:r>
      <w:r>
        <w:rPr>
          <w:rFonts w:ascii="Arial" w:cs="Arial" w:eastAsia="Arial" w:hAnsi="Arial"/>
          <w:sz w:val="17"/>
          <w:szCs w:val="17"/>
          <w:color w:val="auto"/>
        </w:rPr>
        <w:t>. To the extent permitted by law, Sublessee shall and does hereby indemnify Sublessor as a result of or arising out of Sublessee’s breach of this Sublease or the Prime Lease and agrees to save Sublessor harmless and, at Sublessor’s option, defend Sublessor from and against any and all claims, actions, damages, liabilities and expenses (including reasonable attorneys’ and consultants’ fees) judgments, settlement payments, and fines paid, incurred or suffered by Sublessor as a result of or arising out of Sublessee’s breach of this Sublease or the Prime Lease, violations of any law or in connection with loss of life, personal injury and/or damage to the property or environment suffered by third parties arising from or out of the occupancy or use by Sublessee of the Sublet Premises or any part thereof occasioned wholly or in part by any act or omission of Sublessee, its officers, agents, contractors, employees or invitees (each a “</w:t>
      </w:r>
      <w:r>
        <w:rPr>
          <w:rFonts w:ascii="Arial" w:cs="Arial" w:eastAsia="Arial" w:hAnsi="Arial"/>
          <w:sz w:val="17"/>
          <w:szCs w:val="17"/>
          <w:b w:val="1"/>
          <w:bCs w:val="1"/>
          <w:color w:val="auto"/>
        </w:rPr>
        <w:t>Sublessee Party</w:t>
      </w:r>
      <w:r>
        <w:rPr>
          <w:rFonts w:ascii="Arial" w:cs="Arial" w:eastAsia="Arial" w:hAnsi="Arial"/>
          <w:sz w:val="17"/>
          <w:szCs w:val="17"/>
          <w:color w:val="auto"/>
        </w:rPr>
        <w:t>” and collectively, the “</w:t>
      </w:r>
      <w:r>
        <w:rPr>
          <w:rFonts w:ascii="Arial" w:cs="Arial" w:eastAsia="Arial" w:hAnsi="Arial"/>
          <w:sz w:val="17"/>
          <w:szCs w:val="17"/>
          <w:b w:val="1"/>
          <w:bCs w:val="1"/>
          <w:color w:val="auto"/>
        </w:rPr>
        <w:t>Sublessee Parties</w:t>
      </w:r>
      <w:r>
        <w:rPr>
          <w:rFonts w:ascii="Arial" w:cs="Arial" w:eastAsia="Arial" w:hAnsi="Arial"/>
          <w:sz w:val="17"/>
          <w:szCs w:val="17"/>
          <w:color w:val="auto"/>
        </w:rPr>
        <w:t>”), or arising directly or indirectly, wholly or in part, from any conduct, activity, act, omission or operation by any Sublessee Party involving the use, handling, generation, treatment, storage, disposal, other management or Release (hereinafter defined) of any substance or material defined or designated as hazardous or toxic, or other similar term, by any present or future local, state or federal environmental statute, regulation or ordinance, in, from or to the Sublet Premises, whether or not Sublessee may have acted negligently with respect to such substance or material. Sublessee’s obligations pursuant to this Section shall survive any termination of this Sublease with respect to any act, omission, or occurrence which took place prior to such termination. As used in this Section, the term “Release” shall have the meaning ascribed to such term in the Federal Comprehensive Environmental Response, Compensation and Liability Act, (42 U.S.C. Section 6901 et seq. (“</w:t>
      </w:r>
      <w:r>
        <w:rPr>
          <w:rFonts w:ascii="Arial" w:cs="Arial" w:eastAsia="Arial" w:hAnsi="Arial"/>
          <w:sz w:val="17"/>
          <w:szCs w:val="17"/>
          <w:b w:val="1"/>
          <w:bCs w:val="1"/>
          <w:color w:val="auto"/>
        </w:rPr>
        <w:t>CERCLA</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80" w:firstLine="656"/>
        <w:spacing w:after="0" w:line="269" w:lineRule="auto"/>
        <w:tabs>
          <w:tab w:leader="none" w:pos="136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Sublessor’s Performance</w:t>
      </w:r>
      <w:r>
        <w:rPr>
          <w:rFonts w:ascii="Arial" w:cs="Arial" w:eastAsia="Arial" w:hAnsi="Arial"/>
          <w:sz w:val="17"/>
          <w:szCs w:val="17"/>
          <w:color w:val="auto"/>
        </w:rPr>
        <w:t>. Sublessee has reviewed the provisions of the Prime Lease concerning the obligation of the Prime Lessor to supply building services to the Sublet Premises. Sublessee recognizes that Sublessor is not in a position to render nor is Sublessor obligated to render any of the services or perform any of the obligations required of Prime Lessor by the terms of the Prime Lease, including, without limitation, (i) the furnishing of electrical energy, heat, ventilation, water, air conditioning, elevator service, cleaning, window washing, or rubbish removal services, (ii) making any alterations, repairs or restorations, (iii) complying with any laws or requirements of any governmental authorities, or (iv) taking any action that Prime Lessor has agreed to provide, make, comply with, take or cause to be provided, made, compiled with or taken under the Prime Lease. Therefore, despite anything to the contrary in this Sublease, Sublessee agrees that performance by Sublessor of its obligations under this Sublease is conditioned on performance by Prime Lessor of its corresponding obligations under the Prime Lease, and Sublessor will not be liable to Sublessee for any default of the Prime Lessor under the Prime Lease unless such default results from Sublessor’s failure to perform its obligations hereunder. If and to the extent Sublessor is entitled to any rent abatement from Prime Lessor under the terms of the Prime Lease (including, without limitation, Section 7.05 of the Prime Lease), then Sublessee shall be entitled to a corresponding abatement of rent under this Sublease.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8" w:lineRule="exact"/>
        <w:rPr>
          <w:rFonts w:ascii="Arial" w:cs="Arial" w:eastAsia="Arial" w:hAnsi="Arial"/>
          <w:sz w:val="17"/>
          <w:szCs w:val="17"/>
          <w:color w:val="auto"/>
        </w:rPr>
      </w:pPr>
    </w:p>
    <w:p>
      <w:pPr>
        <w:ind w:left="1340" w:hanging="684"/>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10.1 Sublessee, at Sublessee’s sole expense, shall maintain for the benefit of Sublessor and Prime Lessor such policies of insurance (and in such form) with respect to the Sublet Premises as are required by the Prime Lease, which policies shall be reasonably satisfactory to Sublessor as to coverage and insurer, shall be maintained as a primary policies, and shall extend to and cover the acts and omission of Sublessee, and anyone acting by, through or under Sublessee notwithstanding anything contained in the Prime Lease to the contrary. Each policy of insurance required under this paragraph shall name Sublessor and Prime Lessor each as an additional insured. Sublessee shall provide Sublessor with certificates of insurance evidencing such policies and that Sublessor has been named as an additional insured as promptly as reasonably practical, but in no event later than thirty (30) days after the execution of this Sublease, and copies of such policies upon Sublessor’s request therefor. All insurance policies shall contain a provision and the certificate of insurance shall expressly state that the insurer will give to Prime Lessor and Sublessor and such other parties in interest at least thirty (30) days notice in writing in advance of any material change, cancellation, termination or lapse, or the effective date of any reduction in the amounts of insurance below the amounts specified herein.</w:t>
      </w:r>
    </w:p>
    <w:p>
      <w:pPr>
        <w:spacing w:after="0" w:line="178" w:lineRule="exact"/>
        <w:rPr>
          <w:sz w:val="20"/>
          <w:szCs w:val="20"/>
          <w:color w:val="auto"/>
        </w:rPr>
      </w:pPr>
    </w:p>
    <w:p>
      <w:pPr>
        <w:jc w:val="both"/>
        <w:ind w:right="160" w:firstLine="1297"/>
        <w:spacing w:after="0" w:line="288" w:lineRule="auto"/>
        <w:rPr>
          <w:sz w:val="20"/>
          <w:szCs w:val="20"/>
          <w:color w:val="auto"/>
        </w:rPr>
      </w:pPr>
      <w:r>
        <w:rPr>
          <w:rFonts w:ascii="Arial" w:cs="Arial" w:eastAsia="Arial" w:hAnsi="Arial"/>
          <w:sz w:val="16"/>
          <w:szCs w:val="16"/>
          <w:color w:val="auto"/>
        </w:rPr>
        <w:t>10.2 The parties hereto, by reason of their consent hereto, release each other, the Prime Lessor and their respective agents, employees, successors and assigns from all liability for damage to any property that is caused by or results from a risk which is actually insured against or which would normally be covered by the standard form of “all risk” property insurance, without regard to the negligence or willful misconduct of the entity so released.</w:t>
      </w:r>
    </w:p>
    <w:p>
      <w:pPr>
        <w:jc w:val="both"/>
        <w:ind w:right="160"/>
        <w:spacing w:after="0" w:line="261" w:lineRule="auto"/>
        <w:rPr>
          <w:sz w:val="20"/>
          <w:szCs w:val="20"/>
          <w:color w:val="auto"/>
        </w:rPr>
      </w:pPr>
      <w:r>
        <w:rPr>
          <w:rFonts w:ascii="Arial" w:cs="Arial" w:eastAsia="Arial" w:hAnsi="Arial"/>
          <w:sz w:val="18"/>
          <w:szCs w:val="18"/>
          <w:color w:val="auto"/>
        </w:rPr>
        <w:t>Each party shall use its reasonable efforts to cause each insurance policy it obtains to provide that the insurer thereunder waives all right of recovery by way of subrogation as required herein in connection with any damage covered by the policy.</w:t>
      </w:r>
    </w:p>
    <w:p>
      <w:pPr>
        <w:spacing w:after="0" w:line="180" w:lineRule="exact"/>
        <w:rPr>
          <w:sz w:val="20"/>
          <w:szCs w:val="20"/>
          <w:color w:val="auto"/>
        </w:rPr>
      </w:pPr>
    </w:p>
    <w:p>
      <w:pPr>
        <w:ind w:right="60" w:firstLine="656"/>
        <w:spacing w:after="0" w:line="282" w:lineRule="auto"/>
        <w:tabs>
          <w:tab w:leader="none" w:pos="131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Sublessee Defaults</w:t>
      </w:r>
      <w:r>
        <w:rPr>
          <w:rFonts w:ascii="Arial" w:cs="Arial" w:eastAsia="Arial" w:hAnsi="Arial"/>
          <w:sz w:val="18"/>
          <w:szCs w:val="18"/>
          <w:color w:val="auto"/>
        </w:rPr>
        <w:t xml:space="preserve">. The occurrence of any of the following, beyond all applicable notice and cure periods, shall be a default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 under this Sublease:</w:t>
      </w:r>
    </w:p>
    <w:p>
      <w:pPr>
        <w:spacing w:after="0" w:line="166"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11.1 Sublessee shall fail to pay in full when due any and all installments of rent or any other charge agreed to be paid by Sublessee, if the failure continues for five (5) business days after written notice to Sublessee; or</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11.2 Sublessee violates or fails to perform any term, covenant, condition or agreement herein contained or provided for in the Prime Lease and such failure continues for a period of seventeen (17) days after written notice thereof is given to Sublessee. If the default is of such a nature that it cannot be completely remedied within the seventeen (17) day period, this provision shall be complied with if Sublessee begins correction of the default within the seventeen (17) day period and thereafter proceeds with reasonable diligence and in good faith to effect the remedy as soon as practicable and to prosecute the same to completion, or</w:t>
      </w:r>
    </w:p>
    <w:p>
      <w:pPr>
        <w:spacing w:after="0" w:line="188"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11.3 Sublessee becomes insolvent, or makes an assignment for the benefit of creditors, or if a petition in bankruptcy is filed by or against Sublessee, or a bill in equity or other proceeding for the appointment of a receiver for Sublessee is filed, or if proceedings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reorganization or for composition with creditors under any state or federal law be instituted by or against Sublessee, or if the subleasehold interest is levied on under execution, or</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Sublessee abandons (as defined in California Civil Code §1951.3 (or any successor provision)) all or any portion of the Sublet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11" w:lineRule="exact"/>
        <w:rPr>
          <w:sz w:val="20"/>
          <w:szCs w:val="20"/>
          <w:color w:val="auto"/>
        </w:rPr>
      </w:pPr>
    </w:p>
    <w:p>
      <w:pPr>
        <w:jc w:val="both"/>
        <w:ind w:right="20" w:firstLine="656"/>
        <w:spacing w:after="0" w:line="312" w:lineRule="auto"/>
        <w:tabs>
          <w:tab w:leader="none" w:pos="132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Sublessor Remedies</w:t>
      </w:r>
      <w:r>
        <w:rPr>
          <w:rFonts w:ascii="Arial" w:cs="Arial" w:eastAsia="Arial" w:hAnsi="Arial"/>
          <w:sz w:val="16"/>
          <w:szCs w:val="16"/>
          <w:color w:val="auto"/>
        </w:rPr>
        <w:t>. In the Event of Default by Sublessee, and without any other action by Sublessor, and at Sublessor’s option, Sublessor may exercise any and all remedies of the Prime Lessor under the Prime Lease. In addition to the foregoing, Sublessor may exercise any and all other rights or remedies, granted or allowed landlords by any existing or future statute or other law applicable in cases where a landlord seeks to enforce rights arising under</w:t>
      </w:r>
    </w:p>
    <w:p>
      <w:pPr>
        <w:sectPr>
          <w:pgSz w:w="11900" w:h="16952" w:orient="portrait"/>
          <w:cols w:equalWidth="0" w:num="1">
            <w:col w:w="11420"/>
          </w:cols>
          <w:pgMar w:left="240" w:top="125" w:right="239" w:bottom="0" w:gutter="0" w:footer="0" w:header="0"/>
        </w:sectPr>
      </w:pPr>
    </w:p>
    <w:bookmarkStart w:id="132" w:name="page133"/>
    <w:bookmarkEnd w:id="132"/>
    <w:p>
      <w:pPr>
        <w:ind w:right="20"/>
        <w:spacing w:after="0" w:line="277" w:lineRule="auto"/>
        <w:rPr>
          <w:sz w:val="20"/>
          <w:szCs w:val="20"/>
          <w:color w:val="auto"/>
        </w:rPr>
      </w:pPr>
      <w:r>
        <w:rPr>
          <w:rFonts w:ascii="Arial" w:cs="Arial" w:eastAsia="Arial" w:hAnsi="Arial"/>
          <w:sz w:val="18"/>
          <w:szCs w:val="18"/>
          <w:color w:val="auto"/>
        </w:rPr>
        <w:t>a lease agreement against a tenant who has defaulted or otherwise breached the terms of such lease agreement- subject, however, to all of the rights granted or created by any such statute or other applicable law existing protection and benefit of tenants.</w:t>
      </w:r>
    </w:p>
    <w:p>
      <w:pPr>
        <w:spacing w:after="0" w:line="170" w:lineRule="exact"/>
        <w:rPr>
          <w:sz w:val="20"/>
          <w:szCs w:val="20"/>
          <w:color w:val="auto"/>
        </w:rPr>
      </w:pPr>
    </w:p>
    <w:p>
      <w:pPr>
        <w:ind w:firstLine="656"/>
        <w:spacing w:after="0" w:line="293" w:lineRule="auto"/>
        <w:tabs>
          <w:tab w:leader="none" w:pos="132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Remedies Cumulative</w:t>
      </w:r>
      <w:r>
        <w:rPr>
          <w:rFonts w:ascii="Arial" w:cs="Arial" w:eastAsia="Arial" w:hAnsi="Arial"/>
          <w:sz w:val="16"/>
          <w:szCs w:val="16"/>
          <w:color w:val="auto"/>
        </w:rPr>
        <w:t>. All of the remedies hereinbefore given to Sublessor and all rights and remedies given to it by law and equity shall be cumulative and concurrent. Except as expressly provided herein and in the Prime Lease, no termination of this Sublease or the taking or recovering of the Sublet Premises shall deprive Sublessor of any of its remedies or actions against Sublessee for rent due or other breach hereof at the time or which, under the terms hereof, would in the future become due as if there has been no termination, or for any and all sums due at the time or which, under the terms hereof, would in the future become due as if there had been no termination, nor shall the bringing of any action for rent or breach of any covenant, or the resort to any other remedy herein provided for the recovery of rent or other breach be construed as a waiver of the right to obtain possession of the Sublet Premises.</w:t>
      </w:r>
    </w:p>
    <w:p>
      <w:pPr>
        <w:spacing w:after="0" w:line="164" w:lineRule="exact"/>
        <w:rPr>
          <w:rFonts w:ascii="Arial" w:cs="Arial" w:eastAsia="Arial" w:hAnsi="Arial"/>
          <w:sz w:val="16"/>
          <w:szCs w:val="16"/>
          <w:color w:val="auto"/>
        </w:rPr>
      </w:pPr>
    </w:p>
    <w:p>
      <w:pPr>
        <w:jc w:val="both"/>
        <w:ind w:right="160" w:firstLine="656"/>
        <w:spacing w:after="0" w:line="264" w:lineRule="auto"/>
        <w:tabs>
          <w:tab w:leader="none" w:pos="132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hereunder shall be deemed to be given when hand delivered or one day after deposit with express overnight courier delivery, or three days after mailing by certified U.S. mail, return receipt requested, postage prepaid. Any notices to Sublessor shall be addressed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Sublessor: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Real Estate Manager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9360 Towne Centre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of legal notices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Amylin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9360 Towne Centre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Marcea Bland Lloyd,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Grant Puleo,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Procopio, Cory, Hargreaves &amp; Savitch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530 B Street, Suite 2100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92101</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for Payment of 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Colliers International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4660 La Jolla Village Drive, Suite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92122</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Sublessee prior to Delivery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Kratos Defense &amp; Security Solutions,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4810 Eastgate Mall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Law Department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Sublessee after Delivery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Kratos Defense &amp; Security Solutions,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4820 Eastgate Mall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Law Department</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time limits provided for in the provisions of the Prime Lease for the giving of notice, making of demands, performance of any act, condition or covenant, or the exercise of any right, remedy or option, are amended for the purposes of this Sublease by lengthening or shortening the same in each instance by two (2) business days, as appropriate, so that notices may be given, demands made, or any act, condition or covenant performed, or any right, remedy or option hereunder exercised, by Sublessor or Sublessee, as the case may be, within the time limit relating thereto contained in the Prime Lease. If the Prime Lease allows only four (4) business days or less for Sublessor to perform any act, or to undertake to perform such act, or to correct any failure relating to the Sublet Premises or this Sublease, then Sublessee shall nevertheless be allowed two (2) business days to perform such act, undertake such act and/or correct such failure.</w:t>
      </w:r>
    </w:p>
    <w:p>
      <w:pPr>
        <w:spacing w:after="0" w:line="189" w:lineRule="exact"/>
        <w:rPr>
          <w:sz w:val="20"/>
          <w:szCs w:val="20"/>
          <w:color w:val="auto"/>
        </w:rPr>
      </w:pPr>
    </w:p>
    <w:p>
      <w:pPr>
        <w:ind w:right="40" w:firstLine="656"/>
        <w:spacing w:after="0" w:line="293" w:lineRule="auto"/>
        <w:tabs>
          <w:tab w:leader="none" w:pos="1323"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Assignment and Subletting</w:t>
      </w:r>
      <w:r>
        <w:rPr>
          <w:rFonts w:ascii="Arial" w:cs="Arial" w:eastAsia="Arial" w:hAnsi="Arial"/>
          <w:sz w:val="16"/>
          <w:szCs w:val="16"/>
          <w:color w:val="auto"/>
        </w:rPr>
        <w:t>. Sublessee shall comply with the provisions of Section 11 of the Prime Lease with regard to assignment and subletting and in those instances where applicable, shall be subject to the Prime Lessor’s approval as provided in the Prime Lease; provided, however, if Sublessor must first obtain the consent of Prime Lessor, Sublessor’s consent, which shall not be unreasonably withheld or delayed. Notwithstanding the foregoing, nothing in this Section shall impose upon Sublessor any obligation to obtain, beyond its reasonable efforts to do so, the consent of Prime Lessor or any other third party. Sublessor shall pay fees up to $1,500.00 due to Prime Lessor under the Prime Lease in connection with the subletting of the Sublet Premises to Sublessee. Any amount in excess of $1,500.00 to obtain Prime Lessor consent shall be paid by Sublessee.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72" w:gutter="0" w:footer="0" w:header="0"/>
        </w:sectPr>
      </w:pPr>
    </w:p>
    <w:bookmarkStart w:id="133" w:name="page134"/>
    <w:bookmarkEnd w:id="133"/>
    <w:p>
      <w:pPr>
        <w:spacing w:after="0" w:line="67" w:lineRule="exact"/>
        <w:rPr>
          <w:sz w:val="20"/>
          <w:szCs w:val="20"/>
          <w:color w:val="auto"/>
        </w:rPr>
      </w:pPr>
    </w:p>
    <w:p>
      <w:pPr>
        <w:ind w:right="60" w:firstLine="656"/>
        <w:spacing w:after="0" w:line="270" w:lineRule="auto"/>
        <w:tabs>
          <w:tab w:leader="none" w:pos="132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Parking</w:t>
      </w:r>
      <w:r>
        <w:rPr>
          <w:rFonts w:ascii="Arial" w:cs="Arial" w:eastAsia="Arial" w:hAnsi="Arial"/>
          <w:sz w:val="17"/>
          <w:szCs w:val="17"/>
          <w:color w:val="auto"/>
        </w:rPr>
        <w:t>. Sublessee shall have the non-exclusive right to use, free of charge for the duration of the Sublease Term, 4.3 non-reserved non-exclusive parking spaces per 1,000 rentable square feet of the Sublet Premises which, shall include a pro rata share of covered parking spaces (“</w:t>
      </w:r>
      <w:r>
        <w:rPr>
          <w:rFonts w:ascii="Arial" w:cs="Arial" w:eastAsia="Arial" w:hAnsi="Arial"/>
          <w:sz w:val="17"/>
          <w:szCs w:val="17"/>
          <w:b w:val="1"/>
          <w:bCs w:val="1"/>
          <w:color w:val="auto"/>
        </w:rPr>
        <w:t>Parking</w:t>
      </w:r>
      <w:r>
        <w:rPr>
          <w:rFonts w:ascii="Arial" w:cs="Arial" w:eastAsia="Arial" w:hAnsi="Arial"/>
          <w:sz w:val="17"/>
          <w:szCs w:val="17"/>
          <w:color w:val="auto"/>
        </w:rPr>
        <w:t xml:space="preserve"> </w:t>
      </w:r>
      <w:r>
        <w:rPr>
          <w:rFonts w:ascii="Arial" w:cs="Arial" w:eastAsia="Arial" w:hAnsi="Arial"/>
          <w:sz w:val="17"/>
          <w:szCs w:val="17"/>
          <w:b w:val="1"/>
          <w:bCs w:val="1"/>
          <w:color w:val="auto"/>
        </w:rPr>
        <w:t>Spaces</w:t>
      </w:r>
      <w:r>
        <w:rPr>
          <w:rFonts w:ascii="Arial" w:cs="Arial" w:eastAsia="Arial" w:hAnsi="Arial"/>
          <w:sz w:val="17"/>
          <w:szCs w:val="17"/>
          <w:color w:val="auto"/>
        </w:rPr>
        <w:t>”) in designated parking areas in common with the other tenants, occupants, and visitors of the Project. During the Sublease Term, Sublessee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designate its pro rata share of designated parking spaces described on Exhibit G to the Prime Lease as reserved parking spaces for Sublessee’s visitors and employees in areas immediately adjacent to or below Building 6; provided, however, Sublessee must pay all costs and expenses for Prime Lessor to mark such spaces and restore such spaces at the expiration of the Term. Sublessee’s continued right to use the Parking Spaces is conditioned upon Sublessee abiding by the provisions of the Prime Lease and all commercially reasonable rules and regulations which are prescribed from time to time for the orderly operation and use of the parking facility where the Parking Spaces are located, including any sticker or other identification system established by Prime Lessor, Sublessee’s cooperation in seeing that the Sublesee Parties also comply with such rules and regulations, and Sublessee not being in default under this Sublease.</w:t>
      </w:r>
    </w:p>
    <w:p>
      <w:pPr>
        <w:spacing w:after="0" w:line="177" w:lineRule="exact"/>
        <w:rPr>
          <w:rFonts w:ascii="Arial" w:cs="Arial" w:eastAsia="Arial" w:hAnsi="Arial"/>
          <w:sz w:val="17"/>
          <w:szCs w:val="17"/>
          <w:color w:val="auto"/>
        </w:rPr>
      </w:pPr>
    </w:p>
    <w:p>
      <w:pPr>
        <w:ind w:right="20" w:firstLine="656"/>
        <w:spacing w:after="0" w:line="290" w:lineRule="auto"/>
        <w:tabs>
          <w:tab w:leader="none" w:pos="132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Communication Equipment</w:t>
      </w:r>
      <w:r>
        <w:rPr>
          <w:rFonts w:ascii="Arial" w:cs="Arial" w:eastAsia="Arial" w:hAnsi="Arial"/>
          <w:sz w:val="16"/>
          <w:szCs w:val="16"/>
          <w:color w:val="auto"/>
        </w:rPr>
        <w:t>. Subject to Sublessor and Prime Lessor’s approval and to the terms of the Prime Lease, Sublessee shall have the non-exclusive right, at Sublessee’s sole cost and expense, to reasonable access and use of its pro rata share of the (i) roof of the Sublet Premises to install, repair and maintain upon the roof, Sublessee installed telecommunication devices, such as satellite dishes and antennae or other similar devices, for the purpose of receiving and sending radio, television, computer, telephone or other communications signals and (ii) internal passageways, shafts, utility connections, risers and conduits in order to connect such telecommunication devices to the Sublet Premises and/or to the Leased Premises Space. Sublessee shall advise Sublessor and Prime Lessor in advance of the planned installation of such devices. Sublessee shall, at its sole cost, repair any damage caused by any roof penetration which may result from the installation or removal of any rooftop equipment and shall defend, indemnify and hold Sublessor harmless for any claim, liability or damage caused by Sublessee’s installation, repair, removal, maintenance or replacement of or access to or use of such equipment.</w:t>
      </w:r>
    </w:p>
    <w:p>
      <w:pPr>
        <w:spacing w:after="0" w:line="162" w:lineRule="exact"/>
        <w:rPr>
          <w:rFonts w:ascii="Arial" w:cs="Arial" w:eastAsia="Arial" w:hAnsi="Arial"/>
          <w:sz w:val="16"/>
          <w:szCs w:val="16"/>
          <w:color w:val="auto"/>
        </w:rPr>
      </w:pPr>
    </w:p>
    <w:p>
      <w:pPr>
        <w:ind w:right="240" w:firstLine="656"/>
        <w:spacing w:after="0" w:line="270" w:lineRule="auto"/>
        <w:tabs>
          <w:tab w:leader="none" w:pos="132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Right of First Offer</w:t>
      </w:r>
      <w:r>
        <w:rPr>
          <w:rFonts w:ascii="Arial" w:cs="Arial" w:eastAsia="Arial" w:hAnsi="Arial"/>
          <w:sz w:val="17"/>
          <w:szCs w:val="17"/>
          <w:color w:val="auto"/>
        </w:rPr>
        <w:t>. Sublessor hereby grants to Sublessee the right of first offer to sublease available space in Building 6 (“</w:t>
      </w:r>
      <w:r>
        <w:rPr>
          <w:rFonts w:ascii="Arial" w:cs="Arial" w:eastAsia="Arial" w:hAnsi="Arial"/>
          <w:sz w:val="17"/>
          <w:szCs w:val="17"/>
          <w:b w:val="1"/>
          <w:bCs w:val="1"/>
          <w:color w:val="auto"/>
        </w:rPr>
        <w:t>Expansion</w:t>
      </w:r>
      <w:r>
        <w:rPr>
          <w:rFonts w:ascii="Arial" w:cs="Arial" w:eastAsia="Arial" w:hAnsi="Arial"/>
          <w:sz w:val="17"/>
          <w:szCs w:val="17"/>
          <w:color w:val="auto"/>
        </w:rPr>
        <w:t xml:space="preserve"> </w:t>
      </w:r>
      <w:r>
        <w:rPr>
          <w:rFonts w:ascii="Arial" w:cs="Arial" w:eastAsia="Arial" w:hAnsi="Arial"/>
          <w:sz w:val="17"/>
          <w:szCs w:val="17"/>
          <w:b w:val="1"/>
          <w:bCs w:val="1"/>
          <w:color w:val="auto"/>
        </w:rPr>
        <w:t>Space</w:t>
      </w:r>
      <w:r>
        <w:rPr>
          <w:rFonts w:ascii="Arial" w:cs="Arial" w:eastAsia="Arial" w:hAnsi="Arial"/>
          <w:sz w:val="17"/>
          <w:szCs w:val="17"/>
          <w:color w:val="auto"/>
        </w:rPr>
        <w:t>”). Sublessor shall use its reasonable efforts to notify Sublessee of the availability of the Expansion Space and the anticipated date on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Space will be vacated by existing subtenants. For a period of five (5) days following receipt of Sublessor’s written notice containing such information, Sublessee shall have the right of first offer to sublease the Expansion Space commencing on the date set forth in Sublessor’s notice and on the same terms and conditions as those contained in the notice, which shall be the then current “Market Rental Rate” for comparable steel frame and glass buildings in the UTC submarket offering covered parking. “Market Rental Rate” means the average per square foot rental rate per month for comparable space pursuant to fully executed subleases or leases and approximately the same number of months, executed by existing tenants in the Building for comparable space expansions during the twelve (12) months immediately prior to the date upon which such Market Rental Rate is to become effective and payable under the terms of this Sublease, where the rates for such expansions were not set in such leases, subject to reasonable adjustments for comparable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more desirable, or less desirable floors or areas of the Building. If no such comparable space has been leased during such twelve (12) month period, the rental rates used for purposes of this provision shall be adjusted to the amounts Sublessor would have used had leases for such comparable space been entered. In all cases, such rates shall be determined inclusive of any free rent periods, improvement allowances, takeover lease obligations, or other economic incentives; however, any such economic incentives generally provided by Sublessor in such comparable expansion subleases shall also be provided to Sublessee. In addition, if such comparable expansion leases include base years, tax or expense stops or other provisions respecting taxes or operating expenses, or include any other economic provisions, such as but not limited to consumer price index provisions, utility reimbursements or fixed rent increases, the same shall be included in the expansion terms to Sublessee.</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Sublessee fails to elect to sublease the Expansion Space within said five (5) day period, Sublessor shall be entitled to place such Expansion Space on the open market for sublease by third parties on terms no more favorable than those upon which the Expansion Space was offered to Sublessee. Notwithstanding any provision of this Section 18 to the contrary, the rights granted herein shall be personal to the originally named Sublessee, and may not be exercised or assigned voluntarily or involuntarily by or to any person or entity other than the original Sublessee, and shall not be assignable.</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the Expansion Space is currently not legally available to sublease, the foregoing expansion right shall be subject to the existing subtenants or occupants thereof renewing their existing leases and/or exercising any options to extend or expand, and in all events is subject and subordinate to any other rights of any other person or entity to sublease the Expansion Space, if such rights have already been granted prior to the date of this Sublease.</w:t>
      </w:r>
    </w:p>
    <w:p>
      <w:pPr>
        <w:spacing w:after="0" w:line="166" w:lineRule="exact"/>
        <w:rPr>
          <w:sz w:val="20"/>
          <w:szCs w:val="20"/>
          <w:color w:val="auto"/>
        </w:rPr>
      </w:pPr>
    </w:p>
    <w:p>
      <w:pPr>
        <w:ind w:right="40" w:firstLine="656"/>
        <w:spacing w:after="0" w:line="291" w:lineRule="auto"/>
        <w:tabs>
          <w:tab w:leader="none" w:pos="132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Sublease Contains All Agreements</w:t>
      </w:r>
      <w:r>
        <w:rPr>
          <w:rFonts w:ascii="Arial" w:cs="Arial" w:eastAsia="Arial" w:hAnsi="Arial"/>
          <w:sz w:val="16"/>
          <w:szCs w:val="16"/>
          <w:color w:val="auto"/>
        </w:rPr>
        <w:t>. It is expressly understood and agreed by and between the parties hereto that this Sublease (together with the Prime Lease and any amendments thereto) sets forth all the terms, conditions and agreements between Sublessor, Sublessee and Prime Lessor relative to the Sublet Premises, and that there are no promises, agreements, conditions or understandings, either oral or written, between them other than as are herein set forth. It is further understood and agreed that, except as herein otherwise provided, no subsequent alteration, amendment, change or addition to this Sublease shall be binding upon Sublessor or Sublessee unless reduced to a writing and signed by Sublessor and Sublessee. Notwithstanding anything in the foregoing to the contrary, Sublessor represents and warrants to Sublessee that Sublessor, as of the Effective Date, is not in default in any material respect under the terms of the Prime Lease nor has Sublessor received written notice from Prime Lessor that Sublessor is in default under the Prime Lease.</w:t>
      </w:r>
    </w:p>
    <w:p>
      <w:pPr>
        <w:spacing w:after="0" w:line="167" w:lineRule="exact"/>
        <w:rPr>
          <w:rFonts w:ascii="Arial" w:cs="Arial" w:eastAsia="Arial" w:hAnsi="Arial"/>
          <w:sz w:val="16"/>
          <w:szCs w:val="16"/>
          <w:color w:val="auto"/>
        </w:rPr>
      </w:pPr>
    </w:p>
    <w:p>
      <w:pPr>
        <w:ind w:right="80" w:firstLine="656"/>
        <w:spacing w:after="0" w:line="277" w:lineRule="auto"/>
        <w:tabs>
          <w:tab w:leader="none" w:pos="132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Successors and Assignees</w:t>
      </w:r>
      <w:r>
        <w:rPr>
          <w:rFonts w:ascii="Arial" w:cs="Arial" w:eastAsia="Arial" w:hAnsi="Arial"/>
          <w:sz w:val="18"/>
          <w:szCs w:val="18"/>
          <w:color w:val="auto"/>
        </w:rPr>
        <w:t>. All rights and liabilities herein given to, or imposed upon, the respective parties hereto shall extend to and bind the several and respective successors and permitted assigns of said parties.</w:t>
      </w:r>
    </w:p>
    <w:p>
      <w:pPr>
        <w:spacing w:after="0" w:line="170" w:lineRule="exact"/>
        <w:rPr>
          <w:rFonts w:ascii="Arial" w:cs="Arial" w:eastAsia="Arial" w:hAnsi="Arial"/>
          <w:sz w:val="18"/>
          <w:szCs w:val="18"/>
          <w:color w:val="auto"/>
        </w:rPr>
      </w:pPr>
    </w:p>
    <w:p>
      <w:pPr>
        <w:ind w:right="40" w:firstLine="656"/>
        <w:spacing w:after="0" w:line="264" w:lineRule="auto"/>
        <w:tabs>
          <w:tab w:leader="none" w:pos="132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Sublessee shall have no right, title or interest in or with respect to the Sublessor security deposit, or any portion thereof, that is held by Prime Lessor under the Prime Lease. Within ten (10) business days of the Effective Date, Sublessee shall deliver to Sublessor, as collateral for the full performance by Sublessee of all of its obligations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Sublease and for all losses and damages Sublessor may suffer as a result of Sublessee’s failure to comply with one or more provisions of this Sublease, including, but not limited to, any post sublease termination damages under section 1951.2 of the California Civil Code, a standby, unconditional, irrevocable, transferable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substantially in the form of Exhibit J to the Prime Lease and containing the terms required herein, in the original face amount equal to the Fixed Rent and Subtenant’s pro rata share of the estimated Expenses and Taxes (as defined in Section 4 above) for the last month of the Sublease Term (the “</w:t>
      </w:r>
      <w:r>
        <w:rPr>
          <w:rFonts w:ascii="Arial" w:cs="Arial" w:eastAsia="Arial" w:hAnsi="Arial"/>
          <w:sz w:val="16"/>
          <w:szCs w:val="16"/>
          <w:b w:val="1"/>
          <w:bCs w:val="1"/>
          <w:color w:val="auto"/>
        </w:rPr>
        <w:t>Letter of Credit Amount</w:t>
      </w:r>
      <w:r>
        <w:rPr>
          <w:rFonts w:ascii="Arial" w:cs="Arial" w:eastAsia="Arial" w:hAnsi="Arial"/>
          <w:sz w:val="16"/>
          <w:szCs w:val="16"/>
          <w:color w:val="auto"/>
        </w:rPr>
        <w:t>”), naming Sublessor as beneficiary, issued (or confirmed) by a financial institution that is mutually acceptable to Sublessor and Sublessee, permitting multiple and partial draws thereon, and otherwise in form acceptable to Sublessor in its sole discretion. Sublessee shall cause the Letter of Credit to be continuously maintained in effect (whether through replacement, renewal or extension) in the Letter of Credit Amount through the date (the “</w:t>
      </w:r>
      <w:r>
        <w:rPr>
          <w:rFonts w:ascii="Arial" w:cs="Arial" w:eastAsia="Arial" w:hAnsi="Arial"/>
          <w:sz w:val="16"/>
          <w:szCs w:val="16"/>
          <w:b w:val="1"/>
          <w:bCs w:val="1"/>
          <w:color w:val="auto"/>
        </w:rPr>
        <w:t>Final LC Expiration Date</w:t>
      </w:r>
      <w:r>
        <w:rPr>
          <w:rFonts w:ascii="Arial" w:cs="Arial" w:eastAsia="Arial" w:hAnsi="Arial"/>
          <w:sz w:val="16"/>
          <w:szCs w:val="16"/>
          <w:color w:val="auto"/>
        </w:rPr>
        <w:t>”) that is thirty (30) days after the scheduled expiration date of the term or any</w:t>
      </w:r>
    </w:p>
    <w:p>
      <w:pPr>
        <w:sectPr>
          <w:pgSz w:w="11900" w:h="16906" w:orient="portrait"/>
          <w:cols w:equalWidth="0" w:num="1">
            <w:col w:w="11400"/>
          </w:cols>
          <w:pgMar w:left="240" w:top="125" w:right="259" w:bottom="0" w:gutter="0" w:footer="0" w:header="0"/>
        </w:sectPr>
      </w:pPr>
    </w:p>
    <w:bookmarkStart w:id="134" w:name="page135"/>
    <w:bookmarkEnd w:id="134"/>
    <w:p>
      <w:pPr>
        <w:spacing w:after="0" w:line="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renewal term of this Sublease. If the Letter of Credit held by Sublessor expires earlier than the Final LC Expiration Date (whether by reason of a stated expiration date or a notice of termination or non-renewal given by the issuing bank), Sublessee shall deliver a new Letter of Credit or certificate of renewal or extension (a “</w:t>
      </w:r>
      <w:r>
        <w:rPr>
          <w:rFonts w:ascii="Arial" w:cs="Arial" w:eastAsia="Arial" w:hAnsi="Arial"/>
          <w:sz w:val="16"/>
          <w:szCs w:val="16"/>
          <w:b w:val="1"/>
          <w:bCs w:val="1"/>
          <w:color w:val="auto"/>
        </w:rPr>
        <w:t>Renewal or Replacement LC</w:t>
      </w:r>
      <w:r>
        <w:rPr>
          <w:rFonts w:ascii="Arial" w:cs="Arial" w:eastAsia="Arial" w:hAnsi="Arial"/>
          <w:sz w:val="16"/>
          <w:szCs w:val="16"/>
          <w:color w:val="auto"/>
        </w:rPr>
        <w:t>”) to Sublessor not later than thirty (30) days prior to the expiration date of the Letter of Credit then held by Sublessor. Any Renewal or Replacement LC shall comply with all of the provisions of this Section, shall be irrevocable, transferable (provided Sublessor pays any transfer fees) and shall remain in effect (or be automatically renewable) through the Final LC Expiration Date upon the same terms as the expiring Letter of Credit. Upon Sublessee’s failure to comply with one or more material provisions of this Sublease, Sublessor may, without prejudice to any other remedy provided in this Sublease or by Law, draw on the Letter of Credit and use all or part of the proceeds to (a) satisfy any amounts due to Sublessor from Sublessee, and (b) satisfy any other damage, injury, expense or liability caused by Sublessee’s failure to so comply. In addition, if Sublessee fails to furnish a Renewal or Replacement LC complying with all of the provisions of this Article 6 at least thirty (30) days prior to the stated expiration date of the Letter of Credit then held by Sublessor, Sublessor may draw upon such Letter of Credit and hold the proceeds thereof (and such proceeds need not be segregated) in accordance with the terms of this Sublease (the “</w:t>
      </w:r>
      <w:r>
        <w:rPr>
          <w:rFonts w:ascii="Arial" w:cs="Arial" w:eastAsia="Arial" w:hAnsi="Arial"/>
          <w:sz w:val="16"/>
          <w:szCs w:val="16"/>
          <w:b w:val="1"/>
          <w:bCs w:val="1"/>
          <w:color w:val="auto"/>
        </w:rPr>
        <w:t>LC Proceeds Account</w:t>
      </w:r>
      <w:r>
        <w:rPr>
          <w:rFonts w:ascii="Arial" w:cs="Arial" w:eastAsia="Arial" w:hAnsi="Arial"/>
          <w:sz w:val="16"/>
          <w:szCs w:val="16"/>
          <w:color w:val="auto"/>
        </w:rPr>
        <w:t>”). An authorized officer or other representative of Sublessor may make demand on Sublessor’s behalf for the Letter of Credit Amount, or any portion thereof, from time to time; provided the proper identification of the party making such demand accompanied by the original Letter of Credit and a written statement signed by such party certifying that such amount is due and owing; together with a certificate of incumbency executed by Sublessor which certifies the position and signature of such party is presented to the issuing financial institution. Nothing in this Article or elsewhere in the Sublease shall be deemed to prohibit or restrict Sublessee from challenging the validity or amount of the draw after the draw occurs. The proceeds of the Letter of Credit shall constitute Sublessor’s sole and separate property (and not Sublessee’s property or the property of Sublessee’s bankruptcy estate) and Sublessor may immediately upon any draw (and without notice to Sublessee) apply or offset the proceeds of the Letter of Credit: (a) against any rent payable by Sublessee under this Sublease that is not paid when due; (b) against all losses and damages that Sublessor has suffered or that Sublessor reasonably estimates that it may suffer as a result of Sublessee’s failure to comply with one or more provisions of this Sublease, including any damages arising under section 1951.2 of the California Civil Code following termination of the Sublease; (c) against any costs incurred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Sublessor in connection with the Sublease (including reasonable attorneys’ fees); and (d) against any other amount that Sublessor may incur by reason of Sublessee’s Default. Provided Sublessee has performed all of its obligations under this Sublease, Sublessor agrees to pay to Sublessee within thirty (30) days after the Final LC Expiration Date the amount of any proceeds of the Letter of Credit received by Sublessor and not applied as allowed above; provided, that if prior to the Final LC Expiration Date a voluntary petition is filed by Sublessee</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or any Guarantor, or an involuntary petition is filed against Sublessee or any Guarantor by any of Sublessee’s or Guarantor’s creditors, under the Federal Bankruptcy Code, then Sublessor shall not be obligated to make such payment in the amount of the unused Letter of Credit proceeds until either all preference issues relating to payments under this Sublease have been resolved in such bankruptcy or reorganization case or such bankruptcy or reorganization case has been dismissed, in each case pursuant to a final court order not subject to appeal or any stay pending appeal. If, as result of any application or use by Sublessor of all or any part of the Letter of Credit, the amount of the Letter of Credit shall be less than the Letter of Credit Amount, Sublessee shall, within 5 business days thereafter, provide Sublessor with additional letter(s) of credit in an amount equal to the deficiency (or a replacement letter of credit in the total Letter of Credit Amount), and any such additional (or replacement) letter of credit shall comply with all of the provisions of this Section 21, and if Sublessee fails to comply with the foregoing, notwithstanding anything to the contrary contained in this Sublease, the same shall constitute an incurable Default by Sublessee. Notwithstanding anything to the contrary set forth in this Sublease, if, Sublessee is late in the payment of any rent due under this Sublease, beyond any applicable notice and cure periods under this Sublease, three (3) or more times in any twelve (12) calendar month period, Sublessee shall, within 5 business days after notice from Sublessor, provide Sublessor with additional letter(s) of credit in an amount equal to the final last two (2) months’ Fixed Rent and Expenses and Taxes (or a replacement letter of credit in such amount plus the total original Letter of Credit Amount), and any such additional (or replacement) letter of credit shall comply with all of the provisions of this Section 21, and if Sublessee fails to comply with the foregoing, notwithstanding anything to the contrary contained in this Sublease, the same shall constitute an incurable Default by Sublessee. Sublessee further covenants and warrants that it will neither assign nor encumber the Letter of Credit or any part thereof and that neither Sublessor nor its successors or assigns will be bound by any such assignment, encumbrance, attempted assignment or attempted encumbrance. Sublessee further covenants and warrants that it will neither assign nor encumber the Letter of Credit or any part thereof and that neither Sublessor nor its successors or assigns will be bound by any such assignment, encumbrance, attempted assignment or attempted encumbrance.</w:t>
      </w:r>
    </w:p>
    <w:p>
      <w:pPr>
        <w:spacing w:after="0" w:line="17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Sublessor and Sublessee (a) acknowledge and agree that in no event or circumstance shall the Letter of Credit or any renewal thereof or substitute therefor or any proceeds thereof (including the LC Proceeds Account) be deemed to be or treated as a “</w:t>
      </w:r>
      <w:r>
        <w:rPr>
          <w:rFonts w:ascii="Arial" w:cs="Arial" w:eastAsia="Arial" w:hAnsi="Arial"/>
          <w:sz w:val="16"/>
          <w:szCs w:val="16"/>
          <w:b w:val="1"/>
          <w:bCs w:val="1"/>
          <w:color w:val="auto"/>
        </w:rPr>
        <w:t>security deposit</w:t>
      </w:r>
      <w:r>
        <w:rPr>
          <w:rFonts w:ascii="Arial" w:cs="Arial" w:eastAsia="Arial" w:hAnsi="Arial"/>
          <w:sz w:val="16"/>
          <w:szCs w:val="16"/>
          <w:color w:val="auto"/>
        </w:rPr>
        <w:t>” under any Law applicable to security deposits in the commercial context including Section 1950.7 of the California Civil Code, as such section now exist or as may be hereafter amended or succeeded (“</w:t>
      </w:r>
      <w:r>
        <w:rPr>
          <w:rFonts w:ascii="Arial" w:cs="Arial" w:eastAsia="Arial" w:hAnsi="Arial"/>
          <w:sz w:val="16"/>
          <w:szCs w:val="16"/>
          <w:b w:val="1"/>
          <w:bCs w:val="1"/>
          <w:color w:val="auto"/>
        </w:rPr>
        <w:t>Security Deposit Laws</w:t>
      </w:r>
      <w:r>
        <w:rPr>
          <w:rFonts w:ascii="Arial" w:cs="Arial" w:eastAsia="Arial" w:hAnsi="Arial"/>
          <w:sz w:val="16"/>
          <w:szCs w:val="16"/>
          <w:color w:val="auto"/>
        </w:rPr>
        <w:t>”), (b) acknowledge and agree that the Letter of Credit (including any renewal thereof or substitute therefor or any proceeds thereof) is not intended to serve as a security deposit, and the Security Deposit Laws shall have no applicability or relevancy thereto, and (c) waive any and all rights, duties and obligations either party may now or, in the future, will have relating to or arising from the Security Deposit Laws. Sublessee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hereby waives the provisions of Section 1950.7 of the California Civil Code and all other provisions of Law, now or hereafter in effect, which (i) establish the time frame by which Sublessor must refund a security deposit under a lease, and/or (ii) provide that Sublessor may claim from the security deposit only those sums reasonably necessary to remedy Defaults in the payment of rent, to repair damage caused by Sublessee or to clean the Premises, it being agreed that Sublessor may, in addition, claim those sums specified above in this Section 1 and/or those sums reasonably necessary to compensate Sublessor for any loss or damage caused by Sublessee’s breach of this Sublease or the acts or omission of Sublessee or any other Sublessee Related Parties, including any damages Sublessor suffers following termination of the Sublease.</w:t>
      </w:r>
    </w:p>
    <w:p>
      <w:pPr>
        <w:spacing w:after="0" w:line="17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u w:val="single" w:color="auto"/>
          <w:color w:val="auto"/>
        </w:rPr>
        <w:t>Tenant Improvement Allowance</w:t>
      </w:r>
      <w:r>
        <w:rPr>
          <w:rFonts w:ascii="Arial" w:cs="Arial" w:eastAsia="Arial" w:hAnsi="Arial"/>
          <w:sz w:val="16"/>
          <w:szCs w:val="16"/>
          <w:color w:val="auto"/>
        </w:rPr>
        <w:t>. Sublessor shall, at its sole cost, expense and discretion, pay all costs to construct any fire corridors on the ground floor of Building 6 required for exiting Building 6. In addition, Sublessor shall provide Sublessee with a tenant improvement allowance of up to and in no event greater than $25.00 per rentable square foot or $794,150.00 for the second floor space and $30.—per rentable square foot or $64,740.00 for the first floor space for a total of $858,190 (the “</w:t>
      </w:r>
      <w:r>
        <w:rPr>
          <w:rFonts w:ascii="Arial" w:cs="Arial" w:eastAsia="Arial" w:hAnsi="Arial"/>
          <w:sz w:val="16"/>
          <w:szCs w:val="16"/>
          <w:b w:val="1"/>
          <w:bCs w:val="1"/>
          <w:color w:val="auto"/>
        </w:rPr>
        <w:t>Allowance</w:t>
      </w:r>
      <w:r>
        <w:rPr>
          <w:rFonts w:ascii="Arial" w:cs="Arial" w:eastAsia="Arial" w:hAnsi="Arial"/>
          <w:sz w:val="16"/>
          <w:szCs w:val="16"/>
          <w:color w:val="auto"/>
        </w:rPr>
        <w:t>”) the final “Allowance” of which will be determined using the rentable square footage as described in paragraph B of the Recitals. In addition, Sublessor shall pay Sublessee a moving allowance equal to $1.00 per rentable square foot or $33,924.00 (“</w:t>
      </w:r>
      <w:r>
        <w:rPr>
          <w:rFonts w:ascii="Arial" w:cs="Arial" w:eastAsia="Arial" w:hAnsi="Arial"/>
          <w:sz w:val="16"/>
          <w:szCs w:val="16"/>
          <w:b w:val="1"/>
          <w:bCs w:val="1"/>
          <w:color w:val="auto"/>
        </w:rPr>
        <w:t>Moving</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expendable for costs and expenses relating to the relocation of Sublessee’s business (including, but not limited to, costs of moving Sublessee’s</w:t>
      </w:r>
      <w:r>
        <w:rPr>
          <w:rFonts w:ascii="Arial" w:cs="Arial" w:eastAsia="Arial" w:hAnsi="Arial"/>
          <w:sz w:val="16"/>
          <w:szCs w:val="16"/>
          <w:b w:val="1"/>
          <w:bCs w:val="1"/>
          <w:color w:val="auto"/>
        </w:rPr>
        <w:t xml:space="preserve"> </w:t>
      </w:r>
      <w:r>
        <w:rPr>
          <w:rFonts w:ascii="Arial" w:cs="Arial" w:eastAsia="Arial" w:hAnsi="Arial"/>
          <w:sz w:val="16"/>
          <w:szCs w:val="16"/>
          <w:color w:val="auto"/>
        </w:rPr>
        <w:t>fixtures, furniture, equipment and general moving related expenses) from its current space to the Premises. The Moving Allowance shall be paid by Sublessor to Sublessee upon Sublessor’s receipt of Sublessee’s written demand therefor, accompanied by, as applicable, invoices documenting and evidencing such moving related costs and expenses. The Allowance may be used for but not limited to the cost of preparing design and construction documents and mechanical and electrical plans for tenant improvements for the Sublet Premises and for both hard and soft costs in connection with such tenant improvements. The Allowance, less a 10% retainage (which retainage shall be payable as part of the final draw), shall be paid to the order of the general</w:t>
      </w:r>
    </w:p>
    <w:p>
      <w:pPr>
        <w:sectPr>
          <w:pgSz w:w="11900" w:h="16926" w:orient="portrait"/>
          <w:cols w:equalWidth="0" w:num="1">
            <w:col w:w="11420"/>
          </w:cols>
          <w:pgMar w:left="240" w:top="125" w:right="239" w:bottom="0" w:gutter="0" w:footer="0" w:header="0"/>
        </w:sectPr>
      </w:pPr>
    </w:p>
    <w:bookmarkStart w:id="135" w:name="page136"/>
    <w:bookmarkEnd w:id="135"/>
    <w:p>
      <w:pPr>
        <w:spacing w:after="0" w:line="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contractor that performs, or architect who designs, the tenant improvements, in periodic disbursements within thirty (30) days after receipt of the following documentation: (i) an application for payment and sworn statement of contractor substantially in the form of AIA Document G-702 covering all work for which disbursement is to be made to a date specified therein; (ii) a certification from an AIA architect substantially in the form of the Architect’s Certificate for Payment which is located on AIA Document G702, Application and Certificate of Payment; (iii) Contractor’s, subcontractor’s and material supplier’s waivers of liens which shall cover all tenant improvements for which disbursement is being requested and all other statements and forms required for compliance with the mechanics’ lien laws of the state in which the Sublet Premises is located, together with all such invoices, contracts, or other supporting data as Sublessor may reasonably require; (iv) a cost breakdown for each trade or subcontractor performing the tenant improvements; (v) plans and specifications for the tenant improvements, together with a certificate from an AIA architect that such plans and specifications comply in all material respects with all laws affecting the Project or Sublet Premises; (vi) copies of all construction contracts for the tenant improvements, together with copies of all change orders, if any; and (vii) a request to disburse from Sublessee containing an approval by Sublessee of the work done and a good faith estimate of the cost to complete the tenant improvements. Upon completion of the tenant improvements, and prior to final disbursement of the Allowance, Sublessee shall furnish Sublessor with: (1) general contractor and architect’s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affidavits, (2) full and final waivers of lien, (3) receipted bills covering all labor and materials expended and used, (4) as-built plans of the tenant improvements, and (5) the certification of Sublessee and its architect that the tenant improvements have been installed in a good and workmanlike manner in accordance with the approved plans, and in accordance with applicable laws, codes and ordinances. In no event shall Sublessor be required to disburse the Allowance more than one time per month. If the tenant improvements exceed the Allowance, Sublessee shall be entitled to the Allowance in accordance with the terms hereof, but each individual disbursement of the Allowance shall be disbursed in the proportion that the Allowance bears to the total cost for the tenant improvements, less the 10% retainage referenced above. Notwithstanding anything herein to the contrary, Sublessor shall not be obligated to disburse any portion of the Allowance during the continuance of Sublessee’s uncured default under this Sublease, and Sublessor’s obligation to disburse shall only resume when and if such default is cured. In no event shall the Allowance be used for rent, operating expenses, relocation costs, the purchase of equipment, furniture or other items of personal property of Sublessee but rather must be used in accordance with the requirements as set forth in the Master Lease. If Sublessee does not submit a request for payment of the entire Allowance to Sublessor in accordance with the provisions contained in this Section by November 1, 2010, any unused portion of the Allowance shall accrue to the sole benefit of Sublessor, it being understood that Sublessee shall not be entitled to any credit, abatement or other concession in connection therewith. Should Sublessor fail to pay over any portion of the Allowance or the Moving Allowance due to Sublessee within the time period set forth herein, then Sublessee may set off such unpaid amounts from its payment of Fixed Rent to Sublessor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Sublessee has, prior to November 1, 2010, requested such unpaid amounts from Sublessor in accordance with this Section 21. Sublessee shall be responsible for all applicable state sales or use taxes, if any, payable in connection with the tenant improvements and/or Allowance. Furthermore, Sublessee agrees to a full open book process allowing Sublessor or Sublessor’s representative to review construction costs records and schedule to confirm actual construction items and costs as outlined above.</w:t>
      </w:r>
    </w:p>
    <w:p>
      <w:pPr>
        <w:spacing w:after="0" w:line="17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There will be no deduction from the Allowance for Sublessee’s construction management fee other than any construction management fee imposed by Prime Lessor in accordance with the Prime Lease. Except for any such Prime Lessor construction management fee, Sublessee shall not be required to pay any construction management fees or other similar fees for the tenant improvements. Notwithstanding the foregoing, Sublessee hereby agrees and acknowledges that all tenant improvements to the Sublet Premises must be approved by Prime Lessor prior to being made as provided in the Prime Lease.</w:t>
      </w:r>
    </w:p>
    <w:p>
      <w:pPr>
        <w:spacing w:after="0" w:line="154" w:lineRule="exact"/>
        <w:rPr>
          <w:sz w:val="20"/>
          <w:szCs w:val="20"/>
          <w:color w:val="auto"/>
        </w:rPr>
      </w:pPr>
    </w:p>
    <w:p>
      <w:pPr>
        <w:ind w:firstLine="656"/>
        <w:spacing w:after="0" w:line="312" w:lineRule="auto"/>
        <w:tabs>
          <w:tab w:leader="none" w:pos="132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Condition of the Sublet Premises</w:t>
      </w:r>
      <w:r>
        <w:rPr>
          <w:rFonts w:ascii="Arial" w:cs="Arial" w:eastAsia="Arial" w:hAnsi="Arial"/>
          <w:sz w:val="16"/>
          <w:szCs w:val="16"/>
          <w:color w:val="auto"/>
        </w:rPr>
        <w:t>. Sublessee hereby acknowledges that Sublessee has examined the Sublet Premises and that they are in good and tenantable condition as of the Effective Date. Sublessor has let the Sublet Premises in their present condition, as hereinabove provided, and without any further improvements or alterations and without any representations on the part of the Sublessor, its officers, further, servants and/or agents.</w:t>
      </w:r>
    </w:p>
    <w:p>
      <w:pPr>
        <w:spacing w:after="0" w:line="146" w:lineRule="exact"/>
        <w:rPr>
          <w:rFonts w:ascii="Arial" w:cs="Arial" w:eastAsia="Arial" w:hAnsi="Arial"/>
          <w:sz w:val="16"/>
          <w:szCs w:val="16"/>
          <w:color w:val="auto"/>
        </w:rPr>
      </w:pPr>
    </w:p>
    <w:p>
      <w:pPr>
        <w:ind w:left="1340" w:hanging="68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Sublessor’s Duties</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23.1 The obligations of Prime Lessor under the Prime Lease shall remain the obligations of Prime Lessor, and shall not be considered the obligations or responsibility of Sublessor. Sublessor shall fully perform all of its obligations under the Prime Lease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Sublessee has not expressly agreed to perform such obligations under this Sublease. In the event, however, that Sublessor defaults in the performance or observance of any of Sublessor’s remaining obligations under the Prime Lease as Tenant or fails to perform Sublessor’s stated obligations under this Sublease (provided such failure to perform Sublessor’s stated obligations under this Sublease is not the result of or caused by Prime Lessor’s failure to perform Prime Lessor’s stated obligations under the Prime Lease or due to Prime Lessor’s default under the Prime Lease) or to enforce, for Sublessee’s benefit, Prime Lessor’s obligations under the Prime Lease then Sublessee shall be entitled, following fifteen (15) days prior written notice of any such failure or default and the expiration of the thirty (30) day cure period, to cure such default and promptly collect from Sublessor, Sublessee’s reasonable expenses in so doing (including, without limitation, reasonable attorneys’ fees and costs). Sublessee shall not be required, however, to wait the entire applicable cure period if earlier action is required of Sublessee to comply with the Prime Lease or with any applicable law, regulation or governmental order, or to ensure the safety and/or security of the Sublet Premises.</w:t>
      </w:r>
    </w:p>
    <w:p>
      <w:pPr>
        <w:spacing w:after="0" w:line="182"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23.2 With respect to the obligations of Prime Lessor under the Prime Lease, Sublessor’s only obligation shall be to use diligent, good faith efforts to cause Prime Lessor to perform such obligations for the benefit of Sublessee. Such diligent, good faith efforts shall include, without limitation:</w:t>
      </w:r>
    </w:p>
    <w:p>
      <w:pPr>
        <w:ind w:right="20" w:firstLine="8"/>
        <w:spacing w:after="0" w:line="292" w:lineRule="auto"/>
        <w:tabs>
          <w:tab w:leader="none" w:pos="2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upon Sublessee’s written request, immediately notify Prime Lessor of its nonperformance under the Prime Lease and request that Prime Lessor perform its obligations under the Prime Lease; (ii) use commercially reasonable efforts to obtain Prime Lessor’s consent to this Sublease and to other actions requiring Prime Lessor’s consent and (iii) permitting Sublessee to commence a legal action in Sublessor’s name to obtain the performance required from Prime Lessor under the Prime Lease, provided, however, that Sublessee shall pay all costs and expenses and any other liability incurred in connection therewith and Sublessee shall indemnify and hold Sublessor harmless against all reasonable costs and expenses incurred by Sublessor in connection therewith.</w:t>
      </w:r>
    </w:p>
    <w:p>
      <w:pPr>
        <w:spacing w:after="0" w:line="162" w:lineRule="exact"/>
        <w:rPr>
          <w:rFonts w:ascii="Arial" w:cs="Arial" w:eastAsia="Arial" w:hAnsi="Arial"/>
          <w:sz w:val="16"/>
          <w:szCs w:val="16"/>
          <w:color w:val="auto"/>
        </w:rPr>
      </w:pPr>
    </w:p>
    <w:p>
      <w:pPr>
        <w:ind w:right="40" w:firstLine="656"/>
        <w:spacing w:after="0" w:line="312" w:lineRule="auto"/>
        <w:tabs>
          <w:tab w:leader="none" w:pos="1323"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Subordination and Non-Disturbance</w:t>
      </w:r>
      <w:r>
        <w:rPr>
          <w:rFonts w:ascii="Arial" w:cs="Arial" w:eastAsia="Arial" w:hAnsi="Arial"/>
          <w:sz w:val="16"/>
          <w:szCs w:val="16"/>
          <w:color w:val="auto"/>
        </w:rPr>
        <w:t>. This Sublease is subordinate and subject to any mortgages, ground leases and/or other encumbrances to the same extent, and on the same terms, as the Prime Lease is so subordinate and subject under the terms thereof Sublessee agrees to execute such instruments and, upon the failure to do so, hereby appoints the Prime Lessor and/or Sublessor its attorney-in-fact to execute such instruments.</w:t>
      </w:r>
    </w:p>
    <w:p>
      <w:pPr>
        <w:spacing w:after="0" w:line="14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Sublessor shall use commercially reasonable efforts to assist Sublessee in obtaining from Prime Lessor a non-disturbance and attornment agreement in favor of the Sublessee reasonably acceptable to Sublessee so that Sublessee’s occupancy under the terms and provisions of this Sublease will not be disturbed in the event of a default by Sublessor of the Prime Lease (the “</w:t>
      </w:r>
      <w:r>
        <w:rPr>
          <w:rFonts w:ascii="Arial" w:cs="Arial" w:eastAsia="Arial" w:hAnsi="Arial"/>
          <w:sz w:val="17"/>
          <w:szCs w:val="17"/>
          <w:b w:val="1"/>
          <w:bCs w:val="1"/>
          <w:color w:val="auto"/>
        </w:rPr>
        <w:t>Prime Lessor Non-Disturbance Agreement</w:t>
      </w:r>
      <w:r>
        <w:rPr>
          <w:rFonts w:ascii="Arial" w:cs="Arial" w:eastAsia="Arial" w:hAnsi="Arial"/>
          <w:sz w:val="17"/>
          <w:szCs w:val="17"/>
          <w:color w:val="auto"/>
        </w:rPr>
        <w:t>”).</w:t>
      </w:r>
    </w:p>
    <w:p>
      <w:pPr>
        <w:sectPr>
          <w:pgSz w:w="11900" w:h="16934" w:orient="portrait"/>
          <w:cols w:equalWidth="0" w:num="1">
            <w:col w:w="11380"/>
          </w:cols>
          <w:pgMar w:left="240" w:top="125" w:right="279" w:bottom="0" w:gutter="0" w:footer="0" w:header="0"/>
        </w:sectPr>
      </w:pPr>
    </w:p>
    <w:bookmarkStart w:id="136" w:name="page137"/>
    <w:bookmarkEnd w:id="136"/>
    <w:p>
      <w:pPr>
        <w:ind w:right="60" w:firstLine="656"/>
        <w:spacing w:after="0" w:line="257" w:lineRule="auto"/>
        <w:tabs>
          <w:tab w:leader="none" w:pos="132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Alterations and Improvements</w:t>
      </w:r>
      <w:r>
        <w:rPr>
          <w:rFonts w:ascii="Arial" w:cs="Arial" w:eastAsia="Arial" w:hAnsi="Arial"/>
          <w:sz w:val="18"/>
          <w:szCs w:val="18"/>
          <w:color w:val="auto"/>
        </w:rPr>
        <w:t>. Sublessee shall be permitted to make any Alterations (as defined in the Prime Lease) in accordance with Section 9 of the Prime Lease. Should Prime Lease or Sublessor require restoration of Alterations made by or for Sublessee, Sublessee will be responsible, at its sole cost and expense, to complete such work no later than the expiration of this Sublease. Sublessor shall inform Sublessee of its (or Prime Lessor’s decision regarding removal of such Alterations upon approval of the requested improvements of Alterations by Sublessor and Prime Lessor. If for any reason Sublessor does not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Sublessee direction with regard to restoration then Sublessee will be required to remove improvements prior to the sublease expiration date. Notwithstanding anything in this Section 26 to the contrary, once Sublessor has agreed in writing that Sublessee shall not be responsible for restoring Alterations in accordance with this Section 26, Sublessor may not later require Sublessee to remove or restore such Alteration.</w:t>
      </w:r>
    </w:p>
    <w:p>
      <w:pPr>
        <w:spacing w:after="0" w:line="181" w:lineRule="exact"/>
        <w:rPr>
          <w:sz w:val="20"/>
          <w:szCs w:val="20"/>
          <w:color w:val="auto"/>
        </w:rPr>
      </w:pPr>
    </w:p>
    <w:p>
      <w:pPr>
        <w:ind w:firstLine="656"/>
        <w:spacing w:after="0" w:line="297" w:lineRule="auto"/>
        <w:tabs>
          <w:tab w:leader="none" w:pos="132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Surrender of the Sublet Premises</w:t>
      </w:r>
      <w:r>
        <w:rPr>
          <w:rFonts w:ascii="Arial" w:cs="Arial" w:eastAsia="Arial" w:hAnsi="Arial"/>
          <w:sz w:val="16"/>
          <w:szCs w:val="16"/>
          <w:color w:val="auto"/>
        </w:rPr>
        <w:t>. Upon the expiration or sooner termination of this Sublease, Sublessee shall adhere to the terms and conditions set forth in the Prime Lease concerning the condition of the Sublet Premises upon surrender. In addition, Sublessee shall not be required to remove any alterations or improvements made by or for the account of Sublessor. If the Prime Lease requires the removal of any alterations or improvements made by or for Sublessor, Sublessor shall, at its sole cost and expense, remove such alterations and improvements. However, Sublessee at Sublessee’s expense, may be required at Sublessor’s discretion to remove alterations or improvements made for the benefit of Sublessee.</w:t>
      </w:r>
    </w:p>
    <w:p>
      <w:pPr>
        <w:spacing w:after="0" w:line="158" w:lineRule="exact"/>
        <w:rPr>
          <w:rFonts w:ascii="Arial" w:cs="Arial" w:eastAsia="Arial" w:hAnsi="Arial"/>
          <w:sz w:val="16"/>
          <w:szCs w:val="16"/>
          <w:color w:val="auto"/>
        </w:rPr>
      </w:pPr>
    </w:p>
    <w:p>
      <w:pPr>
        <w:ind w:right="40" w:firstLine="656"/>
        <w:spacing w:after="0" w:line="276" w:lineRule="auto"/>
        <w:tabs>
          <w:tab w:leader="none" w:pos="1323"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Damage to Cables and Pipes</w:t>
      </w:r>
      <w:r>
        <w:rPr>
          <w:rFonts w:ascii="Arial" w:cs="Arial" w:eastAsia="Arial" w:hAnsi="Arial"/>
          <w:sz w:val="17"/>
          <w:szCs w:val="17"/>
          <w:color w:val="auto"/>
        </w:rPr>
        <w:t>. Sublessor shall not be responsible or liable to Sublessee, or to those claiming by, through or under Sublessee, for any loss or damage resulting, to Sublessee, or to those claiming by, through or under Sublessee, or its or their property, from the breaking, bursting, stoppage or leakage of electrical cable wires, gas, sewer, water or steam pipes unless such loss or damage is caused by the gross negligence or willful misconduct of Sublessor or Sublessor’s agents, employees or contractors or unless Sublessor is made aware of any condition which results in any of the aforementioned loss or damage which it willfully neglects to repair or replace (to the extent it is obligated to do so).</w:t>
      </w:r>
    </w:p>
    <w:p>
      <w:pPr>
        <w:spacing w:after="0" w:line="172" w:lineRule="exact"/>
        <w:rPr>
          <w:rFonts w:ascii="Arial" w:cs="Arial" w:eastAsia="Arial" w:hAnsi="Arial"/>
          <w:sz w:val="17"/>
          <w:szCs w:val="17"/>
          <w:color w:val="auto"/>
        </w:rPr>
      </w:pPr>
    </w:p>
    <w:p>
      <w:pPr>
        <w:ind w:right="80" w:firstLine="656"/>
        <w:spacing w:after="0" w:line="276" w:lineRule="auto"/>
        <w:tabs>
          <w:tab w:leader="none" w:pos="1323"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Prime Lessor’s Approval.</w:t>
      </w:r>
      <w:r>
        <w:rPr>
          <w:rFonts w:ascii="Arial" w:cs="Arial" w:eastAsia="Arial" w:hAnsi="Arial"/>
          <w:sz w:val="17"/>
          <w:szCs w:val="17"/>
          <w:color w:val="auto"/>
        </w:rPr>
        <w:t xml:space="preserve"> This Sublease and Sublessor’s and Sublessee’s liability hereunder are subject to Prime Lessor’s consent hereto, as required under Section 11 of the Prime Lease, and this Sublease shall be null and void, and neither Sublessor nor Sublessee shall have any liability hereunder whatsoever, should Prime Lessor fail to give such consent to this Sublease. In the event that Prime Lessor has not consented to this Sublease Janurary 1, 2010, then Sublessee may terminate this Sublease and neither Sublessor nor Sublessee shall have any liability hereunder whatsoever. Such Prime Lessor consent shall be substantially in the form and substance of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right="80" w:firstLine="656"/>
        <w:spacing w:after="0" w:line="277" w:lineRule="auto"/>
        <w:tabs>
          <w:tab w:leader="none" w:pos="132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Should any portion of this Sublease be found to be unenforceable, the remaining provisions of this Sublease shall continue in full force and effect, without giving regard to such unenforceable provision.</w:t>
      </w:r>
    </w:p>
    <w:p>
      <w:pPr>
        <w:spacing w:after="0" w:line="170" w:lineRule="exact"/>
        <w:rPr>
          <w:rFonts w:ascii="Arial" w:cs="Arial" w:eastAsia="Arial" w:hAnsi="Arial"/>
          <w:sz w:val="18"/>
          <w:szCs w:val="18"/>
          <w:color w:val="auto"/>
        </w:rPr>
      </w:pPr>
    </w:p>
    <w:p>
      <w:pPr>
        <w:ind w:right="160" w:firstLine="656"/>
        <w:spacing w:after="0" w:line="277" w:lineRule="auto"/>
        <w:tabs>
          <w:tab w:leader="none" w:pos="132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Exhibits and Recitals Incorporated</w:t>
      </w:r>
      <w:r>
        <w:rPr>
          <w:rFonts w:ascii="Arial" w:cs="Arial" w:eastAsia="Arial" w:hAnsi="Arial"/>
          <w:sz w:val="18"/>
          <w:szCs w:val="18"/>
          <w:color w:val="auto"/>
        </w:rPr>
        <w:t>. All exhibits referred to in this Sublease are hereby incorporated in this Sublease by this reference and the Recitals to this Sublease are hereby incorporated in this Sublease by this reference.</w:t>
      </w:r>
    </w:p>
    <w:p>
      <w:pPr>
        <w:spacing w:after="0" w:line="170" w:lineRule="exact"/>
        <w:rPr>
          <w:rFonts w:ascii="Arial" w:cs="Arial" w:eastAsia="Arial" w:hAnsi="Arial"/>
          <w:sz w:val="18"/>
          <w:szCs w:val="18"/>
          <w:color w:val="auto"/>
        </w:rPr>
      </w:pPr>
    </w:p>
    <w:p>
      <w:pPr>
        <w:ind w:firstLine="656"/>
        <w:spacing w:after="0" w:line="264" w:lineRule="auto"/>
        <w:tabs>
          <w:tab w:leader="none" w:pos="132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Sublease may be signed by the parties in two or more counterparts, each of which shall be deemed to be an original, and all of which taken together shall constitute one and the same document. Receipt by telecopier or email of a signed copy of this Sublease shall be deemed receipt of the original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100" w:firstLine="656"/>
        <w:spacing w:after="0" w:line="264" w:lineRule="auto"/>
        <w:tabs>
          <w:tab w:leader="none" w:pos="132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Subject to the terms and conditions of the Prime Lease and where applicable, subject to the approval of Prime Lessor, Sublessee, at Sublessee’s expense, shall have the right to display appropriate signage with its logo and name on entrance doors and its pro-rata share of 1 building top and monument exterior sign which will be inclusive of 1 slot, as given to Sublessor in the Prime Lease.</w:t>
      </w:r>
    </w:p>
    <w:p>
      <w:pPr>
        <w:spacing w:after="0" w:line="181" w:lineRule="exact"/>
        <w:rPr>
          <w:rFonts w:ascii="Arial" w:cs="Arial" w:eastAsia="Arial" w:hAnsi="Arial"/>
          <w:sz w:val="18"/>
          <w:szCs w:val="18"/>
          <w:color w:val="auto"/>
        </w:rPr>
      </w:pPr>
    </w:p>
    <w:p>
      <w:pPr>
        <w:ind w:right="320" w:firstLine="656"/>
        <w:spacing w:after="0" w:line="291" w:lineRule="auto"/>
        <w:tabs>
          <w:tab w:leader="none" w:pos="132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Warranties</w:t>
      </w:r>
      <w:r>
        <w:rPr>
          <w:rFonts w:ascii="Arial" w:cs="Arial" w:eastAsia="Arial" w:hAnsi="Arial"/>
          <w:sz w:val="16"/>
          <w:szCs w:val="16"/>
          <w:color w:val="auto"/>
        </w:rPr>
        <w:t>. Sublessor shall, at Sublessee’s expense, cooperate with Sublessee to enforce, for the benefit of Sublessee, all (a) warranties given and indemnities made, if any, by Prime Lessor to Sublessor under the Prime Lease which would reduce Sublessee’s obligations hereunder and</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warranties given, if any, by any contractors concerning any existing improvements made to the Sublet Premises.</w:t>
      </w:r>
    </w:p>
    <w:p>
      <w:pPr>
        <w:spacing w:after="0" w:line="210" w:lineRule="exact"/>
        <w:rPr>
          <w:rFonts w:ascii="Arial" w:cs="Arial" w:eastAsia="Arial" w:hAnsi="Arial"/>
          <w:sz w:val="18"/>
          <w:szCs w:val="18"/>
          <w:color w:val="auto"/>
        </w:rPr>
      </w:pPr>
    </w:p>
    <w:p>
      <w:pPr>
        <w:ind w:right="200" w:firstLine="656"/>
        <w:spacing w:after="0" w:line="291" w:lineRule="auto"/>
        <w:tabs>
          <w:tab w:leader="none" w:pos="1323"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Right to Cure Sublessee’s Defaults</w:t>
      </w:r>
      <w:r>
        <w:rPr>
          <w:rFonts w:ascii="Arial" w:cs="Arial" w:eastAsia="Arial" w:hAnsi="Arial"/>
          <w:sz w:val="16"/>
          <w:szCs w:val="16"/>
          <w:color w:val="auto"/>
        </w:rPr>
        <w:t>. If Sublessee shall at any time fail to make any payment or perform any other obligation of Sublessee hereunder or under the Prime Lease, then Sublessor shall have the right, but not the obligation, after ten (10) days notice for monetary defaults and ten</w:t>
      </w: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(10) days notice for non-monetary defaults or the time within which Prime Lessor may act on Sublessor’s behalf under the Prime Lease, or without notice to Sublessee in the case of any emergency, and without waiving or releasing Sublessee from any obligations of Sublessee hereunder, to make such payment or perform such other obligation of Sublessee in such manner and to such extent as Sublessor shall deem necessary, and in exercising any such right, to pay any reasonable and related costs and expenses, employ attorneys and other professionals, and incur and pay attorneys’ fees and other costs reasonably required in connection therewith. Sublessee shall pay to Sublessor upon demand all sums so paid by Sublessor and all incidental costs and expenses of Sublessor in connection therewith as Sublessee shall indemnify and hold Sublessor harmless against all reasonable costs and expenses incurred by Sublessor in connection therewith.</w:t>
      </w:r>
    </w:p>
    <w:p>
      <w:pPr>
        <w:spacing w:after="0" w:line="193" w:lineRule="exact"/>
        <w:rPr>
          <w:rFonts w:ascii="Arial" w:cs="Arial" w:eastAsia="Arial" w:hAnsi="Arial"/>
          <w:sz w:val="16"/>
          <w:szCs w:val="16"/>
          <w:color w:val="auto"/>
        </w:rPr>
      </w:pPr>
    </w:p>
    <w:p>
      <w:pPr>
        <w:ind w:right="40" w:firstLine="656"/>
        <w:spacing w:after="0" w:line="284" w:lineRule="auto"/>
        <w:tabs>
          <w:tab w:leader="none" w:pos="1323"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Holding Over</w:t>
      </w:r>
      <w:r>
        <w:rPr>
          <w:rFonts w:ascii="Arial" w:cs="Arial" w:eastAsia="Arial" w:hAnsi="Arial"/>
          <w:sz w:val="16"/>
          <w:szCs w:val="16"/>
          <w:color w:val="auto"/>
        </w:rPr>
        <w:t>. Sublessee acknowledges that the term of the Prime Lease and the Sublease Term expire on the same date and Sublessor will suffer considerable damage if Sublessee holds over. Thus, if Sublessee holds over after the expiration of the Sublease Term or earlier termination of this Sublease, with or without the express or implied consent of Sublessor, then at the option of Sublessor, Sublessee will become and be only a month-to-month subtenant at a rent equal to the rent payable by Sublessor under the Prime Lease for the Premises (including the amount of any holdover rent payable to Prime Lessor under the Premises Lease, as a result of Sublessee’s failure to timely surrender the Premises at the time and in the condition required by this Sublease, and otherwise upon the terms, covenants and conditions herein specified. Notwithstanding any provision to the contrary contained herein, (a) Sublessor expressly reserves the right to require Sublessee to surrender possession of the Premises upon the expiration of Sublease Term or upon the earlier termination of this Sublease and the right to assert any remedy at law or in equity to evict Sublessee and/or collect damages in connection with any holding over, and</w:t>
      </w:r>
    </w:p>
    <w:p>
      <w:pPr>
        <w:spacing w:after="0" w:line="1" w:lineRule="exact"/>
        <w:rPr>
          <w:rFonts w:ascii="Arial" w:cs="Arial" w:eastAsia="Arial" w:hAnsi="Arial"/>
          <w:sz w:val="16"/>
          <w:szCs w:val="16"/>
          <w:color w:val="auto"/>
        </w:rPr>
      </w:pPr>
    </w:p>
    <w:p>
      <w:pPr>
        <w:ind w:right="140" w:firstLine="8"/>
        <w:spacing w:after="0" w:line="254"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Sublessee shall pay all holdover rent or other amounts Sublessor is obligated to pay under Section 22 of the Prime Lease and shall indemnify, defend and hold Sublessor harmless from and against any and all other liabilities, claims, demands, actions, losses, restoration costs, damages, obligations, costs and expenses, including, without limitation, attorneys’ fees incurred or suffered by Sublessor by reason of Sublessee’s failure to surrender the Premises on the expiration of the Sublease Term or earlier termination of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-4511040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37" w:name="page138"/>
    <w:bookmarkEnd w:id="137"/>
    <w:p>
      <w:pPr>
        <w:ind w:left="-40" w:right="640" w:firstLine="656"/>
        <w:spacing w:after="0" w:line="277" w:lineRule="auto"/>
        <w:tabs>
          <w:tab w:leader="none" w:pos="128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w:t>
      </w:r>
      <w:r>
        <w:rPr>
          <w:rFonts w:ascii="Arial" w:cs="Arial" w:eastAsia="Arial" w:hAnsi="Arial"/>
          <w:sz w:val="18"/>
          <w:szCs w:val="18"/>
          <w:color w:val="auto"/>
        </w:rPr>
        <w:t>. Each person executing this Sublease on behalf of a party hereto represents and warrants that he or she is authorized and empowered to do so and to thereby bind the party on whose behalf he or she is signing.</w:t>
      </w:r>
    </w:p>
    <w:p>
      <w:pPr>
        <w:spacing w:after="0" w:line="170" w:lineRule="exact"/>
        <w:rPr>
          <w:rFonts w:ascii="Arial" w:cs="Arial" w:eastAsia="Arial" w:hAnsi="Arial"/>
          <w:sz w:val="18"/>
          <w:szCs w:val="18"/>
          <w:color w:val="auto"/>
        </w:rPr>
      </w:pPr>
    </w:p>
    <w:p>
      <w:pPr>
        <w:ind w:left="-40" w:right="80" w:firstLine="656"/>
        <w:spacing w:after="0" w:line="293" w:lineRule="auto"/>
        <w:tabs>
          <w:tab w:leader="none" w:pos="128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Sublessor shall pay all commissions owed to Irving Hughes, as Sublessee’s broker, and Colliers International and BioScience Properties, as Sublessor’s brokers, as set forth in and pursuant to the terms of separate agreements. Each of the parties represent and warrant to the other that all of its dealings in regard to the Sublet Premises have been solely with the brokers referenced above and that no other real estate broker, agent, finder or intermediary has shown the Sublet Premises to Sublessee or referred the Sublessee to Sublessor or the Sublessor to Sublessee, or otherwise involved or procured Sublessee with respect to the Sublease. Each of the parties agrees to indemnify and hold the other harmless against any claims for brokerage or other commission arising by reason of a breach by such party of the aforesaid representations and warranties.</w:t>
      </w:r>
    </w:p>
    <w:p>
      <w:pPr>
        <w:spacing w:after="0" w:line="164" w:lineRule="exact"/>
        <w:rPr>
          <w:rFonts w:ascii="Arial" w:cs="Arial" w:eastAsia="Arial" w:hAnsi="Arial"/>
          <w:sz w:val="16"/>
          <w:szCs w:val="16"/>
          <w:color w:val="auto"/>
        </w:rPr>
      </w:pPr>
    </w:p>
    <w:p>
      <w:pPr>
        <w:ind w:left="-40" w:right="80" w:firstLine="656"/>
        <w:spacing w:after="0" w:line="297" w:lineRule="auto"/>
        <w:tabs>
          <w:tab w:leader="none" w:pos="128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Sublessor and Sublessee hereby agree to keep confidential the terms of this Sublease and the Prime Lease and any financial information transmitted in connection with this Sublease; provided, however, either party may disclose such terms (i) to its attorneys, brokers, accountants, lenders, prospective lenders, prospective purchasers, prospective assignees, prospective sub-sublessees, partners and prospective partners and in SEC filings, but only to the extent such persons or entities need to review such information in connection with this Sublease and further provided that such party causes such persons or entities to keep such information strictly confidential as required by this Sublease or (ii) to the extent required by law.</w:t>
      </w:r>
    </w:p>
    <w:p>
      <w:pPr>
        <w:spacing w:after="0" w:line="158" w:lineRule="exact"/>
        <w:rPr>
          <w:rFonts w:ascii="Arial" w:cs="Arial" w:eastAsia="Arial" w:hAnsi="Arial"/>
          <w:sz w:val="16"/>
          <w:szCs w:val="16"/>
          <w:color w:val="auto"/>
        </w:rPr>
      </w:pPr>
    </w:p>
    <w:p>
      <w:pPr>
        <w:ind w:left="-40" w:firstLine="656"/>
        <w:spacing w:after="0" w:line="272" w:lineRule="auto"/>
        <w:tabs>
          <w:tab w:leader="none" w:pos="128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Workstations</w:t>
      </w:r>
      <w:r>
        <w:rPr>
          <w:rFonts w:ascii="Arial" w:cs="Arial" w:eastAsia="Arial" w:hAnsi="Arial"/>
          <w:sz w:val="17"/>
          <w:szCs w:val="17"/>
          <w:color w:val="auto"/>
        </w:rPr>
        <w:t>. For the entire Term of this Sublease, Sublessee shall have the use of up to 150 of Sublessor’s existing workstations (general depictions of which appear on Exhibit D attached hereto) (the “</w:t>
      </w:r>
      <w:r>
        <w:rPr>
          <w:rFonts w:ascii="Arial" w:cs="Arial" w:eastAsia="Arial" w:hAnsi="Arial"/>
          <w:sz w:val="17"/>
          <w:szCs w:val="17"/>
          <w:b w:val="1"/>
          <w:bCs w:val="1"/>
          <w:color w:val="auto"/>
        </w:rPr>
        <w:t>Workstations</w:t>
      </w:r>
      <w:r>
        <w:rPr>
          <w:rFonts w:ascii="Arial" w:cs="Arial" w:eastAsia="Arial" w:hAnsi="Arial"/>
          <w:sz w:val="17"/>
          <w:szCs w:val="17"/>
          <w:color w:val="auto"/>
        </w:rPr>
        <w:t>”) pursuant to a mutually agreed space plan and agreed upon ratio of office Workstations and cubical Workstations, subject to availability of Sublessor’s existing inventory of Workstations. The Workstations shall be provided for Sublessee’s use in their “as-is”, “where-is” and “with all faults” condition, at no additional cost to Sublessee but Sublessee shall have the obligation to configure, repair, replace, store, maintain, insure, and surrender such Workstations at the expiration or earlier termination of the Term in the same condition as upon the Delivery Date, normal wear and tear excepted. Sublessee shall have the sole obligation to maintain and pay any applicable taxes on the Workstations during the Term and the Workstations shall be considered part of the Premises for purposes of this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parties hereto have executed this Sublease Agreement as of the day and year first above written.</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SUBLESSOR:</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Amylin Pharmaceuticals, Inc., a Delaware corporation</w:t>
      </w:r>
    </w:p>
    <w:p>
      <w:pPr>
        <w:spacing w:after="0" w:line="200" w:lineRule="exact"/>
        <w:rPr>
          <w:sz w:val="20"/>
          <w:szCs w:val="20"/>
          <w:color w:val="auto"/>
        </w:rPr>
      </w:pP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274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5715</wp:posOffset>
            </wp:positionV>
            <wp:extent cx="28555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-130810</wp:posOffset>
            </wp:positionV>
            <wp:extent cx="28555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274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5715</wp:posOffset>
            </wp:positionV>
            <wp:extent cx="28555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-130810</wp:posOffset>
            </wp:positionV>
            <wp:extent cx="28555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SUBLESSEE:</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KRATOS DEFENSE &amp; SECURITY SOLUTIONS, INC., a Delaware</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2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274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5715</wp:posOffset>
            </wp:positionV>
            <wp:extent cx="28555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-130810</wp:posOffset>
            </wp:positionV>
            <wp:extent cx="28555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-130810</wp:posOffset>
            </wp:positionV>
            <wp:extent cx="33274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5715</wp:posOffset>
            </wp:positionV>
            <wp:extent cx="28555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-130810</wp:posOffset>
            </wp:positionV>
            <wp:extent cx="28555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218440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Prime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ATTACHED PRIOR TO SUBMITTAL)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220980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733" w:right="259" w:bottom="644"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Sublet Premises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4820 2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Amylin Test Fit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159385</wp:posOffset>
            </wp:positionV>
            <wp:extent cx="7267575" cy="3209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320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4820 1</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Amylin Test Fit (Draft)</w:t>
      </w:r>
    </w:p>
    <w:p>
      <w:pPr>
        <w:sectPr>
          <w:pgSz w:w="11900" w:h="16838" w:orient="portrait"/>
          <w:cols w:equalWidth="0" w:num="1">
            <w:col w:w="9019"/>
          </w:cols>
          <w:pgMar w:left="1440" w:top="121"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133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613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TO SUBLETTING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provided by Prime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WORKSTATIONS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Amylin 10x12 Office</w:t>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116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611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Amylin Existing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Amylin Typical Cubicle</w:t>
      </w:r>
    </w:p>
    <w:p>
      <w:pPr>
        <w:sectPr>
          <w:pgSz w:w="11900" w:h="16838" w:orient="portrait"/>
          <w:cols w:equalWidth="0" w:num="1">
            <w:col w:w="9019"/>
          </w:cols>
          <w:pgMar w:left="1440" w:top="1440" w:right="1440" w:bottom="1440" w:gutter="0" w:footer="0" w:header="0"/>
          <w:type w:val="continuous"/>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137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7137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rFonts w:ascii="Arial" w:cs="Arial" w:eastAsia="Arial" w:hAnsi="Arial"/>
          <w:sz w:val="22"/>
          <w:szCs w:val="22"/>
          <w:color w:val="0000EE"/>
        </w:rPr>
      </w:pPr>
      <w:hyperlink w:anchor="page1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We have issued our reports dated March 10, 2010, with respect to the consolidated financial statements and internal control over financial reporting included in the Annual Report of Kratos Defense &amp; Security Solutions, Inc. on Form 10-K for the year ended December 27, 2009. We hereby consent to the incorporation by reference of said reports in the Registration Statements of Kratos Defense &amp; Security Solutions, Inc. on Form S-3 (File No. 333-161340, effective August 14, 2009) and on Forms S-8 (File No. 333-90455, effective November 5, 1999, File No. 333-54818, effective February 1, 2001, File No. 333-71702, effective October 17, 2001, File No. 333-91852, effective July 2, 2002, File No. 333-116903, effective June 28, 2004, File No. 333-124957, effective May 16, 2005, File No. 333-127060, effective August 1, 2005, File No. 333-155317, effective November 12, 2008 and File No. 333-157826, effective March 10, 2009).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3">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44" w:name="page145"/>
    <w:bookmarkEnd w:id="144"/>
    <w:p>
      <w:pPr>
        <w:spacing w:after="0"/>
        <w:rPr>
          <w:rFonts w:ascii="Arial" w:cs="Arial" w:eastAsia="Arial" w:hAnsi="Arial"/>
          <w:sz w:val="22"/>
          <w:szCs w:val="22"/>
          <w:color w:val="0000EE"/>
        </w:rPr>
      </w:pPr>
      <w:hyperlink w:anchor="page1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720" w:hanging="361"/>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5387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5">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46" w:name="page147"/>
    <w:bookmarkEnd w:id="146"/>
    <w:p>
      <w:pPr>
        <w:spacing w:after="0"/>
        <w:rPr>
          <w:rFonts w:ascii="Arial" w:cs="Arial" w:eastAsia="Arial" w:hAnsi="Arial"/>
          <w:sz w:val="22"/>
          <w:szCs w:val="22"/>
          <w:color w:val="0000EE"/>
        </w:rPr>
      </w:pPr>
      <w:hyperlink w:anchor="page1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720" w:hanging="361"/>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Kratos Defense &amp; Security Solutions,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right="460" w:firstLine="359"/>
        <w:spacing w:after="0" w:line="259" w:lineRule="auto"/>
        <w:tabs>
          <w:tab w:leader="none" w:pos="6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268" w:lineRule="auto"/>
        <w:tabs>
          <w:tab w:leader="none" w:pos="6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similar functions):</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5387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48" w:name="page149"/>
    <w:bookmarkEnd w:id="148"/>
    <w:p>
      <w:pPr>
        <w:spacing w:after="0"/>
        <w:rPr>
          <w:rFonts w:ascii="Arial" w:cs="Arial" w:eastAsia="Arial" w:hAnsi="Arial"/>
          <w:sz w:val="22"/>
          <w:szCs w:val="22"/>
          <w:color w:val="0000EE"/>
        </w:rPr>
      </w:pPr>
      <w:hyperlink w:anchor="page1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27,</w:t>
      </w:r>
    </w:p>
    <w:p>
      <w:pPr>
        <w:spacing w:after="0" w:line="38"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2009 as filed with the Securities and Exchange Commission on the date hereof (the "Report"), I, Eric M. DeMarco,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1240" w:hanging="341"/>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2010</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KRATOS DEFENSE &amp; SECURITY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SOLUTIONS, INC.</w:t>
      </w: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CERTIFICATION OF CHIEF EXECUTIVE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49">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00"/>
          </w:cols>
          <w:pgMar w:left="240" w:top="820" w:right="359" w:bottom="1440" w:gutter="0" w:footer="0" w:header="0"/>
        </w:sectPr>
      </w:pPr>
    </w:p>
    <w:bookmarkStart w:id="150" w:name="page151"/>
    <w:bookmarkEnd w:id="150"/>
    <w:p>
      <w:pPr>
        <w:spacing w:after="0"/>
        <w:rPr>
          <w:rFonts w:ascii="Arial" w:cs="Arial" w:eastAsia="Arial" w:hAnsi="Arial"/>
          <w:sz w:val="22"/>
          <w:szCs w:val="22"/>
          <w:color w:val="0000EE"/>
        </w:rPr>
      </w:pPr>
      <w:hyperlink w:anchor="page1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Annual Report of Kratos Defense &amp; Security Solutions, Inc. (the "Company") on Form 10-K for the fiscal year ended December 27,</w:t>
      </w:r>
    </w:p>
    <w:p>
      <w:pPr>
        <w:spacing w:after="0" w:line="38"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2009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147" w:lineRule="exact"/>
        <w:rPr>
          <w:sz w:val="20"/>
          <w:szCs w:val="20"/>
          <w:color w:val="auto"/>
        </w:rPr>
      </w:pPr>
    </w:p>
    <w:p>
      <w:pPr>
        <w:ind w:left="1240" w:hanging="341"/>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right="400" w:firstLine="359"/>
        <w:spacing w:after="0" w:line="268" w:lineRule="auto"/>
        <w:tabs>
          <w:tab w:leader="none" w:pos="12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2010</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KRATOS DEFENSE &amp; SECURITY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SOLUTIONS, INC.</w:t>
      </w: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CERTIFICATION OF CHIEF FINANCIAL OFFICER PURSUANT TO SECTION 18 U.S.C SECTION 1350 AS ADOPTED PURSUANT TO SECTION 906</w:t>
        </w:r>
      </w:hyperlink>
      <w:r>
        <w:rPr>
          <w:rFonts w:ascii="Arial" w:cs="Arial" w:eastAsia="Arial" w:hAnsi="Arial"/>
          <w:sz w:val="18"/>
          <w:szCs w:val="18"/>
          <w:u w:val="single" w:color="auto"/>
          <w:color w:val="0000EE"/>
        </w:rPr>
        <w:t xml:space="preserve"> </w:t>
      </w:r>
      <w:hyperlink w:anchor="page151">
        <w:r>
          <w:rPr>
            <w:rFonts w:ascii="Arial" w:cs="Arial" w:eastAsia="Arial" w:hAnsi="Arial"/>
            <w:sz w:val="18"/>
            <w:szCs w:val="18"/>
            <w:u w:val="single" w:color="auto"/>
            <w:color w:val="0000EE"/>
          </w:rPr>
          <w:t>OF THE SARBANES-OXLEY ACT OF 2002</w:t>
        </w:r>
      </w:hyperlink>
    </w:p>
    <w:sectPr>
      <w:pgSz w:w="11900" w:h="16838" w:orient="portrait"/>
      <w:cols w:equalWidth="0" w:num="1">
        <w:col w:w="11260"/>
      </w:cols>
      <w:pgMar w:left="240" w:top="82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upperLetter"/>
      <w:start w:val="2"/>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2"/>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1)"/>
      <w:numFmt w:val="lowerLetter"/>
      <w:start w:val="1"/>
    </w:lvl>
    <w:lvl w:ilvl="1">
      <w:lvlJc w:val="left"/>
      <w:lvlText w:val="(%2)"/>
      <w:numFmt w:val="decimal"/>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Letter"/>
      <w:start w:val="6"/>
    </w:lvl>
  </w:abstractNum>
  <w:abstractNum w:abstractNumId="30">
    <w:nsid w:val="749ABB43"/>
    <w:multiLevelType w:val="hybridMultilevel"/>
    <w:lvl w:ilvl="0">
      <w:lvlJc w:val="left"/>
      <w:lvlText w:val="%1."/>
      <w:numFmt w:val="decimal"/>
      <w:start w:val="605"/>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lowerRoman"/>
      <w:start w:val="1"/>
    </w:lvl>
  </w:abstractNum>
  <w:abstractNum w:abstractNumId="33">
    <w:nsid w:val="79A1DEAA"/>
    <w:multiLevelType w:val="hybridMultilevel"/>
    <w:lvl w:ilvl="0">
      <w:lvlJc w:val="left"/>
      <w:lvlText w:val="(%1)"/>
      <w:numFmt w:val="lowerLetter"/>
      <w:start w:val="10"/>
    </w:lvl>
  </w:abstractNum>
  <w:abstractNum w:abstractNumId="34">
    <w:nsid w:val="75C6C33A"/>
    <w:multiLevelType w:val="hybridMultilevel"/>
    <w:lvl w:ilvl="0">
      <w:lvlJc w:val="left"/>
      <w:lvlText w:val="(%1)"/>
      <w:numFmt w:val="lowerLetter"/>
      <w:start w:val="12"/>
    </w:lvl>
  </w:abstractNum>
  <w:abstractNum w:abstractNumId="35">
    <w:nsid w:val="12E685FB"/>
    <w:multiLevelType w:val="hybridMultilevel"/>
    <w:lvl w:ilvl="0">
      <w:lvlJc w:val="left"/>
      <w:lvlText w:val="(%1)"/>
      <w:numFmt w:val="lowerLetter"/>
      <w:start w:val="14"/>
    </w:lvl>
  </w:abstractNum>
  <w:abstractNum w:abstractNumId="36">
    <w:nsid w:val="70C6A529"/>
    <w:multiLevelType w:val="hybridMultilevel"/>
    <w:lvl w:ilvl="0">
      <w:lvlJc w:val="left"/>
      <w:lvlText w:val="(%1)"/>
      <w:numFmt w:val="decimal"/>
      <w:start w:val="2"/>
    </w:lvl>
  </w:abstractNum>
  <w:abstractNum w:abstractNumId="37">
    <w:nsid w:val="520EEDD1"/>
    <w:multiLevelType w:val="hybridMultilevel"/>
    <w:lvl w:ilvl="0">
      <w:lvlJc w:val="left"/>
      <w:lvlText w:val="(%1)"/>
      <w:numFmt w:val="lowerLetter"/>
      <w:start w:val="20"/>
    </w:lvl>
  </w:abstractNum>
  <w:abstractNum w:abstractNumId="38">
    <w:nsid w:val="374A3FE6"/>
    <w:multiLevelType w:val="hybridMultilevel"/>
    <w:lvl w:ilvl="0">
      <w:lvlJc w:val="left"/>
      <w:lvlText w:val="(%1)"/>
      <w:numFmt w:val="lowerRoman"/>
      <w:start w:val="10"/>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2"/>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upperLetter"/>
      <w:start w:val="2"/>
    </w:lvl>
  </w:abstractNum>
  <w:abstractNum w:abstractNumId="47">
    <w:nsid w:val="47398C89"/>
    <w:multiLevelType w:val="hybridMultilevel"/>
    <w:lvl w:ilvl="0">
      <w:lvlJc w:val="left"/>
      <w:lvlText w:val="%1."/>
      <w:numFmt w:val="upperLetter"/>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4"/>
    </w:lvl>
  </w:abstractNum>
  <w:abstractNum w:abstractNumId="50">
    <w:nsid w:val="741226BB"/>
    <w:multiLevelType w:val="hybridMultilevel"/>
    <w:lvl w:ilvl="0">
      <w:lvlJc w:val="left"/>
      <w:lvlText w:val="%1."/>
      <w:numFmt w:val="decimal"/>
      <w:start w:val="6"/>
    </w:lvl>
  </w:abstractNum>
  <w:abstractNum w:abstractNumId="51">
    <w:nsid w:val="D34B6A8"/>
    <w:multiLevelType w:val="hybridMultilevel"/>
    <w:lvl w:ilvl="0">
      <w:lvlJc w:val="left"/>
      <w:lvlText w:val="%1."/>
      <w:numFmt w:val="decimal"/>
      <w:start w:val="8"/>
    </w:lvl>
  </w:abstractNum>
  <w:abstractNum w:abstractNumId="52">
    <w:nsid w:val="10233C99"/>
    <w:multiLevelType w:val="hybridMultilevel"/>
    <w:lvl w:ilvl="0">
      <w:lvlJc w:val="left"/>
      <w:lvlText w:val="%1."/>
      <w:numFmt w:val="decimal"/>
      <w:start w:val="11"/>
    </w:lvl>
  </w:abstractNum>
  <w:abstractNum w:abstractNumId="53">
    <w:nsid w:val="3F6AB60F"/>
    <w:multiLevelType w:val="hybridMultilevel"/>
    <w:lvl w:ilvl="0">
      <w:lvlJc w:val="left"/>
      <w:lvlText w:val="%1."/>
      <w:numFmt w:val="decimal"/>
      <w:start w:val="12"/>
    </w:lvl>
  </w:abstractNum>
  <w:abstractNum w:abstractNumId="54">
    <w:nsid w:val="61574095"/>
    <w:multiLevelType w:val="hybridMultilevel"/>
    <w:lvl w:ilvl="0">
      <w:lvlJc w:val="left"/>
      <w:lvlText w:val="%1."/>
      <w:numFmt w:val="decimal"/>
      <w:start w:val="13"/>
    </w:lvl>
  </w:abstractNum>
  <w:abstractNum w:abstractNumId="55">
    <w:nsid w:val="7E0C57B1"/>
    <w:multiLevelType w:val="hybridMultilevel"/>
    <w:lvl w:ilvl="0">
      <w:lvlJc w:val="left"/>
      <w:lvlText w:val="%1."/>
      <w:numFmt w:val="decimal"/>
      <w:start w:val="15"/>
    </w:lvl>
  </w:abstractNum>
  <w:abstractNum w:abstractNumId="56">
    <w:nsid w:val="77AE35EB"/>
    <w:multiLevelType w:val="hybridMultilevel"/>
    <w:lvl w:ilvl="0">
      <w:lvlJc w:val="left"/>
      <w:lvlText w:val="%1."/>
      <w:numFmt w:val="decimal"/>
      <w:start w:val="16"/>
    </w:lvl>
  </w:abstractNum>
  <w:abstractNum w:abstractNumId="57">
    <w:nsid w:val="579BE4F1"/>
    <w:multiLevelType w:val="hybridMultilevel"/>
    <w:lvl w:ilvl="0">
      <w:lvlJc w:val="left"/>
      <w:lvlText w:val="%1."/>
      <w:numFmt w:val="decimal"/>
      <w:start w:val="19"/>
    </w:lvl>
  </w:abstractNum>
  <w:abstractNum w:abstractNumId="58">
    <w:nsid w:val="310C50B3"/>
    <w:multiLevelType w:val="hybridMultilevel"/>
    <w:lvl w:ilvl="0">
      <w:lvlJc w:val="left"/>
      <w:lvlText w:val="%1."/>
      <w:numFmt w:val="decimal"/>
      <w:start w:val="22"/>
    </w:lvl>
  </w:abstractNum>
  <w:abstractNum w:abstractNumId="59">
    <w:nsid w:val="5FF87E05"/>
    <w:multiLevelType w:val="hybridMultilevel"/>
    <w:lvl w:ilvl="0">
      <w:lvlJc w:val="left"/>
      <w:lvlText w:val="(%1)"/>
      <w:numFmt w:val="lowerRoman"/>
      <w:start w:val="1"/>
    </w:lvl>
    <w:lvl w:ilvl="1">
      <w:lvlJc w:val="left"/>
      <w:lvlText w:val="%2."/>
      <w:numFmt w:val="decimal"/>
      <w:start w:val="24"/>
    </w:lvl>
  </w:abstractNum>
  <w:abstractNum w:abstractNumId="60">
    <w:nsid w:val="2F305DEF"/>
    <w:multiLevelType w:val="hybridMultilevel"/>
    <w:lvl w:ilvl="0">
      <w:lvlJc w:val="left"/>
      <w:lvlText w:val="%1."/>
      <w:numFmt w:val="decimal"/>
      <w:start w:val="25"/>
    </w:lvl>
  </w:abstractNum>
  <w:abstractNum w:abstractNumId="61">
    <w:nsid w:val="25A70BF7"/>
    <w:multiLevelType w:val="hybridMultilevel"/>
    <w:lvl w:ilvl="0">
      <w:lvlJc w:val="left"/>
      <w:lvlText w:val="%1"/>
      <w:numFmt w:val="lowerLetter"/>
      <w:start w:val="1"/>
    </w:lvl>
    <w:lvl w:ilvl="1">
      <w:lvlJc w:val="left"/>
      <w:lvlText w:val="%2."/>
      <w:numFmt w:val="decimal"/>
      <w:start w:val="26"/>
    </w:lvl>
  </w:abstractNum>
  <w:abstractNum w:abstractNumId="62">
    <w:nsid w:val="1DBABF00"/>
    <w:multiLevelType w:val="hybridMultilevel"/>
    <w:lvl w:ilvl="0">
      <w:lvlJc w:val="left"/>
      <w:lvlText w:val="(%1)"/>
      <w:numFmt w:val="lowerLetter"/>
      <w:start w:val="2"/>
    </w:lvl>
    <w:lvl w:ilvl="1">
      <w:lvlJc w:val="left"/>
      <w:lvlText w:val="%2."/>
      <w:numFmt w:val="decimal"/>
      <w:start w:val="34"/>
    </w:lvl>
  </w:abstractNum>
  <w:abstractNum w:abstractNumId="63">
    <w:nsid w:val="4AD084E9"/>
    <w:multiLevelType w:val="hybridMultilevel"/>
    <w:lvl w:ilvl="0">
      <w:lvlJc w:val="left"/>
      <w:lvlText w:val="(%1)"/>
      <w:numFmt w:val="lowerLetter"/>
      <w:start w:val="2"/>
    </w:lvl>
    <w:lvl w:ilvl="1">
      <w:lvlJc w:val="left"/>
      <w:lvlText w:val="%2"/>
      <w:numFmt w:val="decimal"/>
      <w:start w:val="1"/>
    </w:lvl>
  </w:abstractNum>
  <w:abstractNum w:abstractNumId="64">
    <w:nsid w:val="1F48EAA1"/>
    <w:multiLevelType w:val="hybridMultilevel"/>
    <w:lvl w:ilvl="0">
      <w:lvlJc w:val="left"/>
      <w:lvlText w:val="%1."/>
      <w:numFmt w:val="decimal"/>
      <w:start w:val="36"/>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2019-12-10T17:37:54Z</dcterms:created>
  <dcterms:modified xsi:type="dcterms:W3CDTF">2019-12-10T17:37:54Z</dcterms:modified>
</cp:coreProperties>
</file>