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ind w:left="1020" w:hanging="649"/>
        <w:spacing w:after="0" w:line="262" w:lineRule="auto"/>
        <w:tabs>
          <w:tab w:leader="none" w:pos="88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MARCH 31, 2007</w:t>
      </w:r>
    </w:p>
    <w:p>
      <w:pPr>
        <w:spacing w:after="0" w:line="42" w:lineRule="exact"/>
        <w:rPr>
          <w:sz w:val="24"/>
          <w:szCs w:val="24"/>
          <w:color w:val="auto"/>
        </w:rPr>
      </w:pPr>
    </w:p>
    <w:p>
      <w:pPr>
        <w:ind w:left="1020" w:right="260" w:hanging="649"/>
        <w:spacing w:after="0" w:line="262" w:lineRule="auto"/>
        <w:tabs>
          <w:tab w:leader="none" w:pos="925"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AND EXCHANGE ACT OF 1934</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KRATOS DEFENSE &amp; SECURITY SOLUTIONS,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 formerly known as: Wireless Facilities, Inc.)</w:t>
      </w:r>
    </w:p>
    <w:p>
      <w:pPr>
        <w:spacing w:after="0" w:line="203" w:lineRule="exact"/>
        <w:rPr>
          <w:sz w:val="24"/>
          <w:szCs w:val="24"/>
          <w:color w:val="auto"/>
        </w:rPr>
      </w:pPr>
    </w:p>
    <w:tbl>
      <w:tblPr>
        <w:tblLayout w:type="fixed"/>
        <w:tblInd w:w="2500" w:type="dxa"/>
        <w:tblCellMar>
          <w:top w:w="0" w:type="dxa"/>
          <w:left w:w="0" w:type="dxa"/>
          <w:bottom w:w="0" w:type="dxa"/>
          <w:right w:w="0" w:type="dxa"/>
        </w:tblCellMar>
      </w:tblPr>
      <w:tr>
        <w:trPr>
          <w:trHeight w:val="220"/>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13-3818604</w:t>
            </w:r>
          </w:p>
        </w:tc>
      </w:tr>
      <w:tr>
        <w:trPr>
          <w:trHeight w:val="216"/>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2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4810 Eastgate Mall</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7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(as defined in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207" w:lineRule="exact"/>
        <w:rPr>
          <w:sz w:val="24"/>
          <w:szCs w:val="24"/>
          <w:color w:val="auto"/>
        </w:rPr>
      </w:pPr>
    </w:p>
    <w:p>
      <w:pPr>
        <w:ind w:left="1940"/>
        <w:spacing w:after="0"/>
        <w:tabs>
          <w:tab w:leader="none" w:pos="5120" w:val="left"/>
          <w:tab w:leader="none" w:pos="770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7"/>
          <w:szCs w:val="17"/>
          <w:color w:val="auto"/>
        </w:rPr>
        <w:t>Non-Accelerated Filer o</w:t>
      </w:r>
    </w:p>
    <w:p>
      <w:pPr>
        <w:spacing w:after="0" w:line="279" w:lineRule="exact"/>
        <w:rPr>
          <w:sz w:val="24"/>
          <w:szCs w:val="24"/>
          <w:color w:val="auto"/>
        </w:rPr>
      </w:pPr>
    </w:p>
    <w:p>
      <w:pPr>
        <w:ind w:left="360" w:right="1940"/>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 As of September 14, 2007, 74,061,650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KRATOS DEFENSE &amp; SECURITY SOLUTIONS, INC.</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2007</w:t>
            </w: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120" w:type="dxa"/>
            <w:vAlign w:val="bottom"/>
            <w:gridSpan w:val="11"/>
            <w:vMerge w:val="restart"/>
          </w:tcPr>
          <w:p>
            <w:pPr>
              <w:jc w:val="center"/>
              <w:ind w:right="2060"/>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PART I. FINANCIAL INFORMATION</w:t>
              </w:r>
            </w:hyperlink>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12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Item 1.</w:t>
              </w:r>
            </w:hyperlink>
          </w:p>
        </w:tc>
        <w:tc>
          <w:tcPr>
            <w:tcW w:w="520" w:type="dxa"/>
            <w:vAlign w:val="bottom"/>
            <w:gridSpan w:val="2"/>
          </w:tcPr>
          <w:p>
            <w:pPr>
              <w:spacing w:after="0"/>
              <w:rPr>
                <w:sz w:val="22"/>
                <w:szCs w:val="22"/>
                <w:color w:val="auto"/>
              </w:rPr>
            </w:pPr>
          </w:p>
        </w:tc>
        <w:tc>
          <w:tcPr>
            <w:tcW w:w="15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Financial Statements</w:t>
              </w:r>
            </w:hyperlink>
          </w:p>
        </w:tc>
        <w:tc>
          <w:tcPr>
            <w:tcW w:w="300" w:type="dxa"/>
            <w:vAlign w:val="bottom"/>
            <w:gridSpan w:val="3"/>
          </w:tcPr>
          <w:p>
            <w:pPr>
              <w:spacing w:after="0"/>
              <w:rPr>
                <w:sz w:val="22"/>
                <w:szCs w:val="22"/>
                <w:color w:val="auto"/>
              </w:rPr>
            </w:pPr>
          </w:p>
        </w:tc>
        <w:tc>
          <w:tcPr>
            <w:tcW w:w="3060" w:type="dxa"/>
            <w:vAlign w:val="bottom"/>
            <w:tcBorders>
              <w:top w:val="single" w:sz="8" w:color="0000EE"/>
            </w:tcBorders>
            <w:gridSpan w:val="6"/>
          </w:tcPr>
          <w:p>
            <w:pPr>
              <w:spacing w:after="0"/>
              <w:rPr>
                <w:sz w:val="22"/>
                <w:szCs w:val="22"/>
                <w:color w:val="auto"/>
              </w:rPr>
            </w:pPr>
          </w:p>
        </w:tc>
        <w:tc>
          <w:tcPr>
            <w:tcW w:w="2060" w:type="dxa"/>
            <w:vAlign w:val="bottom"/>
            <w:gridSpan w:val="5"/>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1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Consolidated Balance Sheets at December 31, 2006 and March 31, 2007 (unaudited)</w:t>
              </w:r>
            </w:hyperlink>
          </w:p>
        </w:tc>
        <w:tc>
          <w:tcPr>
            <w:tcW w:w="640" w:type="dxa"/>
            <w:vAlign w:val="bottom"/>
            <w:gridSpan w:val="3"/>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Consolidated Statements of Operations for the Three Months Ended March 31, 2006</w:t>
              </w:r>
            </w:hyperlink>
          </w:p>
        </w:tc>
        <w:tc>
          <w:tcPr>
            <w:tcW w:w="660" w:type="dxa"/>
            <w:vAlign w:val="bottom"/>
            <w:gridSpan w:val="4"/>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8"/>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and 2007 (unaudited)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Statements of Cash Flows for the Three Months Ended March 31, 2006 and</w:t>
              </w:r>
            </w:hyperlink>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2007 (unaudited)</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Notes to Consolidated Financial Statements (unaudited)</w:t>
              </w:r>
            </w:hyperlink>
          </w:p>
        </w:tc>
        <w:tc>
          <w:tcPr>
            <w:tcW w:w="2720" w:type="dxa"/>
            <w:vAlign w:val="bottom"/>
            <w:gridSpan w:val="8"/>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Item 2.</w:t>
              </w:r>
            </w:hyperlink>
          </w:p>
        </w:tc>
        <w:tc>
          <w:tcPr>
            <w:tcW w:w="520" w:type="dxa"/>
            <w:vAlign w:val="bottom"/>
            <w:gridSpan w:val="2"/>
          </w:tcPr>
          <w:p>
            <w:pPr>
              <w:spacing w:after="0"/>
              <w:rPr>
                <w:sz w:val="22"/>
                <w:szCs w:val="22"/>
                <w:color w:val="auto"/>
              </w:rPr>
            </w:pPr>
          </w:p>
        </w:tc>
        <w:tc>
          <w:tcPr>
            <w:tcW w:w="6940" w:type="dxa"/>
            <w:vAlign w:val="bottom"/>
            <w:gridSpan w:val="2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4"/>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3.</w:t>
              </w:r>
            </w:hyperlink>
          </w:p>
        </w:tc>
        <w:tc>
          <w:tcPr>
            <w:tcW w:w="520" w:type="dxa"/>
            <w:vAlign w:val="bottom"/>
            <w:gridSpan w:val="2"/>
          </w:tcPr>
          <w:p>
            <w:pPr>
              <w:spacing w:after="0"/>
              <w:rPr>
                <w:sz w:val="22"/>
                <w:szCs w:val="22"/>
                <w:color w:val="auto"/>
              </w:rPr>
            </w:pPr>
          </w:p>
        </w:tc>
        <w:tc>
          <w:tcPr>
            <w:tcW w:w="64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480" w:type="dxa"/>
            <w:vAlign w:val="bottom"/>
            <w:gridSpan w:val="2"/>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4.</w:t>
              </w:r>
            </w:hyperlink>
          </w:p>
        </w:tc>
        <w:tc>
          <w:tcPr>
            <w:tcW w:w="520" w:type="dxa"/>
            <w:vAlign w:val="bottom"/>
            <w:gridSpan w:val="2"/>
          </w:tcPr>
          <w:p>
            <w:pPr>
              <w:spacing w:after="0"/>
              <w:rPr>
                <w:sz w:val="22"/>
                <w:szCs w:val="22"/>
                <w:color w:val="auto"/>
              </w:rPr>
            </w:pPr>
          </w:p>
        </w:tc>
        <w:tc>
          <w:tcPr>
            <w:tcW w:w="43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2580" w:type="dxa"/>
            <w:vAlign w:val="bottom"/>
            <w:gridSpan w:val="7"/>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52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PART II. OTHER INFORMATION</w:t>
              </w:r>
            </w:hyperlink>
          </w:p>
        </w:tc>
        <w:tc>
          <w:tcPr>
            <w:tcW w:w="220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1.</w:t>
              </w:r>
            </w:hyperlink>
          </w:p>
        </w:tc>
        <w:tc>
          <w:tcPr>
            <w:tcW w:w="520" w:type="dxa"/>
            <w:vAlign w:val="bottom"/>
            <w:gridSpan w:val="2"/>
          </w:tcPr>
          <w:p>
            <w:pPr>
              <w:spacing w:after="0"/>
              <w:rPr>
                <w:sz w:val="22"/>
                <w:szCs w:val="22"/>
                <w:color w:val="auto"/>
              </w:rPr>
            </w:pPr>
          </w:p>
        </w:tc>
        <w:tc>
          <w:tcPr>
            <w:tcW w:w="6940" w:type="dxa"/>
            <w:vAlign w:val="bottom"/>
            <w:gridSpan w:val="2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694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4"/>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6.</w:t>
              </w:r>
            </w:hyperlink>
          </w:p>
        </w:tc>
        <w:tc>
          <w:tcPr>
            <w:tcW w:w="12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6020" w:type="dxa"/>
            <w:vAlign w:val="bottom"/>
            <w:gridSpan w:val="16"/>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524" w:right="299" w:bottom="0" w:gutter="0" w:footer="0" w:header="0"/>
        </w:sectPr>
      </w:pPr>
    </w:p>
    <w:bookmarkStart w:id="1" w:name="page2"/>
    <w:bookmarkEnd w:id="1"/>
    <w:p>
      <w:pPr>
        <w:spacing w:after="0" w:line="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7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 millions, except par value and number of shares)</w:t>
      </w:r>
    </w:p>
    <w:p>
      <w:pPr>
        <w:spacing w:after="0" w:line="7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ind w:left="290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4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intangibles, net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 current assets of discontinued operations</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337.0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44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Line of credit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Billings in excess of costs on completed contracts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Accrual for contingent acquisition consideration</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Accrual for unused office space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lease obligations and other short-term debt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143.9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Accrual for unused office space, net of current portion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 term liabilities of discontinued operations</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40" w:type="dxa"/>
            <w:vAlign w:val="bottom"/>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149.9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0"/>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(Notes 5, 6, 7, 9 and 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39"/>
        </w:trPr>
        <w:tc>
          <w:tcPr>
            <w:tcW w:w="20" w:type="dxa"/>
            <w:vAlign w:val="bottom"/>
          </w:tcPr>
          <w:p>
            <w:pPr>
              <w:spacing w:after="0"/>
              <w:rPr>
                <w:sz w:val="12"/>
                <w:szCs w:val="12"/>
                <w:color w:val="auto"/>
              </w:rPr>
            </w:pPr>
          </w:p>
        </w:tc>
        <w:tc>
          <w:tcPr>
            <w:tcW w:w="644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Preferred stock, 5,000,000 shares authorized, Series B Convertible Preferred Stock, $.001 par value;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10,000 shares outstanding at December 31, 2006 and March 31, 2007, (liquidation preference $5.0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million)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r>
      <w:tr>
        <w:trPr>
          <w:trHeight w:val="139"/>
        </w:trPr>
        <w:tc>
          <w:tcPr>
            <w:tcW w:w="20" w:type="dxa"/>
            <w:vAlign w:val="bottom"/>
          </w:tcPr>
          <w:p>
            <w:pPr>
              <w:spacing w:after="0"/>
              <w:rPr>
                <w:sz w:val="12"/>
                <w:szCs w:val="12"/>
                <w:color w:val="auto"/>
              </w:rPr>
            </w:pPr>
          </w:p>
        </w:tc>
        <w:tc>
          <w:tcPr>
            <w:tcW w:w="644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4"/>
                <w:szCs w:val="14"/>
                <w:color w:val="auto"/>
              </w:rPr>
              <w:t>Common Stock, $.001 par value, 195,000,000 shares authorized; 73,883,950 shares issued and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outstanding at December 31, 2006 and March 31, 2007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0" w:type="dxa"/>
            <w:vAlign w:val="bottom"/>
          </w:tcPr>
          <w:p>
            <w:pPr>
              <w:spacing w:after="0"/>
              <w:rPr>
                <w:sz w:val="14"/>
                <w:szCs w:val="14"/>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(204.6)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40" w:type="dxa"/>
            <w:vAlign w:val="bottom"/>
            <w:tcBorders>
              <w:bottom w:val="single" w:sz="8" w:color="CCEEFF"/>
            </w:tcBorders>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440" w:type="dxa"/>
            <w:vAlign w:val="bottom"/>
            <w:tcBorders>
              <w:bottom w:val="single" w:sz="8" w:color="CCEEFF"/>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337.0</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306.3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7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0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520" w:type="dxa"/>
        <w:tblCellMar>
          <w:top w:w="0" w:type="dxa"/>
          <w:left w:w="0" w:type="dxa"/>
          <w:bottom w:w="0" w:type="dxa"/>
          <w:right w:w="0" w:type="dxa"/>
        </w:tblCellMar>
      </w:tblPr>
      <w:tr>
        <w:trPr>
          <w:trHeight w:val="136"/>
        </w:trPr>
        <w:tc>
          <w:tcPr>
            <w:tcW w:w="672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
              <w:spacing w:after="0" w:line="136"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
              <w:spacing w:after="0" w:line="136"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investigation and related fees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84" w:orient="portrait"/>
          <w:cols w:equalWidth="0" w:num="1">
            <w:col w:w="10219"/>
          </w:cols>
          <w:pgMar w:left="240" w:top="121" w:right="1440" w:bottom="0" w:gutter="0" w:footer="0" w:header="0"/>
        </w:sectPr>
      </w:pPr>
    </w:p>
    <w:bookmarkStart w:id="2" w:name="page3"/>
    <w:bookmarkEnd w:id="2"/>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(0.04)</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(0.04)</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5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69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4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(0.8)</w:t>
            </w:r>
          </w:p>
        </w:tc>
        <w:tc>
          <w:tcPr>
            <w:tcW w:w="28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(20.1)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Less loss from discontinued operations</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(17.1)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180"/>
              <w:spacing w:after="0" w:line="189" w:lineRule="exact"/>
              <w:rPr>
                <w:sz w:val="20"/>
                <w:szCs w:val="20"/>
                <w:color w:val="auto"/>
              </w:rPr>
            </w:pPr>
            <w:r>
              <w:rPr>
                <w:rFonts w:ascii="Times New Roman" w:cs="Times New Roman" w:eastAsia="Times New Roman" w:hAnsi="Times New Roman"/>
                <w:sz w:val="17"/>
                <w:szCs w:val="17"/>
                <w:color w:val="auto"/>
              </w:rPr>
              <w:t>Loss from continuing operations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940" w:type="dxa"/>
            <w:vAlign w:val="bottom"/>
            <w:tcBorders>
              <w:right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6"/>
                <w:szCs w:val="16"/>
                <w:color w:val="auto"/>
              </w:rPr>
              <w:t>Adjustments to reconcile net loss from continuing operations to net cash provided by (used in)</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continuing operations: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7"/>
                <w:szCs w:val="17"/>
                <w:color w:val="auto"/>
              </w:rPr>
              <w:t>Deferred income taxes</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Asset impairment charges and net loss on disposition of fixed assets</w:t>
            </w:r>
          </w:p>
        </w:tc>
        <w:tc>
          <w:tcPr>
            <w:tcW w:w="120" w:type="dxa"/>
            <w:vAlign w:val="bottom"/>
          </w:tcPr>
          <w:p>
            <w:pPr>
              <w:spacing w:after="0"/>
              <w:rPr>
                <w:sz w:val="15"/>
                <w:szCs w:val="15"/>
                <w:color w:val="auto"/>
              </w:rPr>
            </w:pPr>
          </w:p>
        </w:tc>
        <w:tc>
          <w:tcPr>
            <w:tcW w:w="660" w:type="dxa"/>
            <w:vAlign w:val="bottom"/>
            <w:gridSpan w:val="3"/>
          </w:tcPr>
          <w:p>
            <w:pPr>
              <w:jc w:val="right"/>
              <w:ind w:right="3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7"/>
                <w:szCs w:val="17"/>
                <w:color w:val="auto"/>
              </w:rPr>
              <w:t>Stock-based compensation</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Changes in assets and liabilities, net of acquisitions and divestitures: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520"/>
              <w:spacing w:after="0" w:line="176" w:lineRule="exact"/>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(1.3)</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520"/>
              <w:spacing w:after="0" w:line="176" w:lineRule="exact"/>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(3.4)</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520"/>
              <w:spacing w:after="0" w:line="176" w:lineRule="exact"/>
              <w:rPr>
                <w:sz w:val="20"/>
                <w:szCs w:val="20"/>
                <w:color w:val="auto"/>
              </w:rPr>
            </w:pPr>
            <w:r>
              <w:rPr>
                <w:rFonts w:ascii="Times New Roman" w:cs="Times New Roman" w:eastAsia="Times New Roman" w:hAnsi="Times New Roman"/>
                <w:sz w:val="17"/>
                <w:szCs w:val="17"/>
                <w:color w:val="auto"/>
              </w:rPr>
              <w:t>Accrued compensation</w:t>
            </w:r>
          </w:p>
        </w:tc>
        <w:tc>
          <w:tcPr>
            <w:tcW w:w="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7"/>
                <w:szCs w:val="17"/>
                <w:color w:val="auto"/>
              </w:rPr>
              <w:t>Accrued contingent acquisition consideration</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520"/>
              <w:spacing w:after="0" w:line="176" w:lineRule="exact"/>
              <w:rPr>
                <w:sz w:val="20"/>
                <w:szCs w:val="20"/>
                <w:color w:val="auto"/>
              </w:rPr>
            </w:pPr>
            <w:r>
              <w:rPr>
                <w:rFonts w:ascii="Times New Roman" w:cs="Times New Roman" w:eastAsia="Times New Roman" w:hAnsi="Times New Roman"/>
                <w:sz w:val="17"/>
                <w:szCs w:val="17"/>
                <w:color w:val="auto"/>
              </w:rPr>
              <w:t>Billings in excess of costs on completed contracts</w:t>
            </w:r>
          </w:p>
        </w:tc>
        <w:tc>
          <w:tcPr>
            <w:tcW w:w="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520"/>
              <w:spacing w:after="0" w:line="176" w:lineRule="exact"/>
              <w:rPr>
                <w:sz w:val="20"/>
                <w:szCs w:val="20"/>
                <w:color w:val="auto"/>
              </w:rPr>
            </w:pPr>
            <w:r>
              <w:rPr>
                <w:rFonts w:ascii="Times New Roman" w:cs="Times New Roman" w:eastAsia="Times New Roman" w:hAnsi="Times New Roman"/>
                <w:sz w:val="17"/>
                <w:szCs w:val="17"/>
                <w:color w:val="auto"/>
              </w:rPr>
              <w:t>Income tax payable</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520"/>
              <w:spacing w:after="0" w:line="176" w:lineRule="exact"/>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40" w:type="dxa"/>
            <w:vAlign w:val="bottom"/>
            <w:tcBorders>
              <w:right w:val="single" w:sz="8" w:color="CCEEFF"/>
            </w:tcBorders>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provided by (used in) continuing operations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(5.5)</w:t>
            </w: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Cash paid for contingent acquisition consideration</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(7.3)</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694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Cash paid for acquisition, net of cash required</w:t>
            </w:r>
          </w:p>
        </w:tc>
        <w:tc>
          <w:tcPr>
            <w:tcW w:w="120" w:type="dxa"/>
            <w:vAlign w:val="bottom"/>
          </w:tcPr>
          <w:p>
            <w:pPr>
              <w:spacing w:after="0"/>
              <w:rPr>
                <w:sz w:val="15"/>
                <w:szCs w:val="15"/>
                <w:color w:val="auto"/>
              </w:rPr>
            </w:pPr>
          </w:p>
        </w:tc>
        <w:tc>
          <w:tcPr>
            <w:tcW w:w="660" w:type="dxa"/>
            <w:vAlign w:val="bottom"/>
            <w:gridSpan w:val="3"/>
          </w:tcPr>
          <w:p>
            <w:pPr>
              <w:jc w:val="right"/>
              <w:ind w:right="3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Proceeds from the disposition of discontinued operations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Capital expenditures</w:t>
            </w:r>
          </w:p>
        </w:tc>
        <w:tc>
          <w:tcPr>
            <w:tcW w:w="12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40" w:type="dxa"/>
            <w:vAlign w:val="bottom"/>
            <w:tcBorders>
              <w:right w:val="single" w:sz="8" w:color="CCEEFF"/>
            </w:tcBorders>
            <w:vMerge w:val="restart"/>
            <w:shd w:val="clear" w:color="auto" w:fill="CCEEFF"/>
          </w:tcPr>
          <w:p>
            <w:pPr>
              <w:ind w:left="680"/>
              <w:spacing w:after="0" w:line="189" w:lineRule="exact"/>
              <w:rPr>
                <w:sz w:val="20"/>
                <w:szCs w:val="20"/>
                <w:color w:val="auto"/>
              </w:rPr>
            </w:pPr>
            <w:r>
              <w:rPr>
                <w:rFonts w:ascii="Times New Roman" w:cs="Times New Roman" w:eastAsia="Times New Roman" w:hAnsi="Times New Roman"/>
                <w:sz w:val="17"/>
                <w:szCs w:val="17"/>
                <w:color w:val="auto"/>
              </w:rPr>
              <w:t>Net cash provided by (used in) investing activities from continuing operations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(6.5)</w:t>
            </w: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Borrowings under line of credit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Repayment under line of credit</w:t>
            </w:r>
          </w:p>
        </w:tc>
        <w:tc>
          <w:tcPr>
            <w:tcW w:w="120" w:type="dxa"/>
            <w:vAlign w:val="bottom"/>
          </w:tcPr>
          <w:p>
            <w:pPr>
              <w:spacing w:after="0"/>
              <w:rPr>
                <w:sz w:val="15"/>
                <w:szCs w:val="15"/>
                <w:color w:val="auto"/>
              </w:rPr>
            </w:pPr>
          </w:p>
        </w:tc>
        <w:tc>
          <w:tcPr>
            <w:tcW w:w="660" w:type="dxa"/>
            <w:vAlign w:val="bottom"/>
            <w:gridSpan w:val="3"/>
          </w:tcPr>
          <w:p>
            <w:pPr>
              <w:jc w:val="right"/>
              <w:ind w:right="3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Repayment of capital lease obligations</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680"/>
              <w:spacing w:after="0" w:line="189" w:lineRule="exact"/>
              <w:rPr>
                <w:sz w:val="20"/>
                <w:szCs w:val="20"/>
                <w:color w:val="auto"/>
              </w:rPr>
            </w:pPr>
            <w:r>
              <w:rPr>
                <w:rFonts w:ascii="Times New Roman" w:cs="Times New Roman" w:eastAsia="Times New Roman" w:hAnsi="Times New Roman"/>
                <w:sz w:val="17"/>
                <w:szCs w:val="17"/>
                <w:color w:val="auto"/>
              </w:rPr>
              <w:t>Net cash provided by (used in) financing activities from continuing operations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40" w:type="dxa"/>
            <w:vAlign w:val="bottom"/>
            <w:tcBorders>
              <w:right w:val="single" w:sz="8" w:color="CCEEFF"/>
            </w:tcBorders>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flows of continuing operations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(5.1)</w:t>
            </w: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Cash flows of discontinued operations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Operating cash flows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Investing cash flows</w:t>
            </w:r>
          </w:p>
        </w:tc>
        <w:tc>
          <w:tcPr>
            <w:tcW w:w="120" w:type="dxa"/>
            <w:vAlign w:val="bottom"/>
          </w:tcPr>
          <w:p>
            <w:pPr>
              <w:spacing w:after="0"/>
              <w:rPr>
                <w:sz w:val="15"/>
                <w:szCs w:val="15"/>
                <w:color w:val="auto"/>
              </w:rPr>
            </w:pPr>
          </w:p>
        </w:tc>
        <w:tc>
          <w:tcPr>
            <w:tcW w:w="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(1.0)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Financing cash flows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6940" w:type="dxa"/>
            <w:vAlign w:val="bottom"/>
            <w:tcBorders>
              <w:bottom w:val="single" w:sz="8" w:color="CCEEFF"/>
            </w:tcBorders>
          </w:tcPr>
          <w:p>
            <w:pPr>
              <w:ind w:left="180"/>
              <w:spacing w:after="0" w:line="176" w:lineRule="exact"/>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40" w:type="dxa"/>
            <w:vAlign w:val="bottom"/>
            <w:tcBorders>
              <w:right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Net cash flows of discontinued operations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rPr>
              <w:t>(0.6)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4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4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rPr>
              <w:t>8.0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4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57" w:orient="portrait"/>
          <w:cols w:equalWidth="0" w:num="1">
            <w:col w:w="9019"/>
          </w:cols>
          <w:pgMar w:left="1440" w:top="133" w:right="1440" w:bottom="0" w:gutter="0" w:footer="0" w:header="0"/>
        </w:sectPr>
      </w:pPr>
    </w:p>
    <w:bookmarkStart w:id="3" w:name="page4"/>
    <w:bookmarkEnd w:id="3"/>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26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0.1</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Description of Business</w:t>
      </w:r>
    </w:p>
    <w:p>
      <w:pPr>
        <w:spacing w:after="0" w:line="106"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Kratos Defense &amp; Security Solutions, Inc. (“Kratos” or “the Company”) was initially incorporated in the state of New York on December 19, 1994 as Wireless Facilities, Inc. (“WFI”), commenced operations in March 1995 and was reincorporated in Delaware in 1998. Kratos historically conducted business in three segments: Wireless Network Services (“WNS”), Government Network Services (“WGS”) and Enterprise Network Services (“ENS”). Kratos was an independent, global provider of outsourced communications and security systems engineering and integration services for the wireless communications industry through WNS, the U.S. government through WGS, and enterprise customers through ENS.</w:t>
      </w:r>
    </w:p>
    <w:p>
      <w:pPr>
        <w:spacing w:after="0" w:line="62"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In 2006 and 2007, the Company undertook a transformation strategy that culminated in the divestiture in 2007 of its wireless-related businesses and chose to aggressively pursue business with the federal government, primarily the U.S. Department of Defense, through strategic acquisition. See Note 6, Significant Transactions. The Company’s divestiture of its European wireless engineering services business which was discontinued and held for sale in December 2006 was completed in March 2007. In addition, the Company’s divestiture of its domestic wireless engineering services business was completed on June 4, 2007. Accordingly, the accompanying financial statements reflect the domestic wireless engineering services business divestiture as of June 4, 2007 and the results from operations through the date of divestiture is reflected as discontinued operations in the accompanying statements of operations. Similarly, the Company’s divestiture of its Wireless Network Deployment business, which was sold on July 24, 2007, is also reflected as a discontinued operation in the accompanying financial statements.</w:t>
      </w:r>
    </w:p>
    <w:p>
      <w:pPr>
        <w:spacing w:after="0" w:line="77" w:lineRule="exact"/>
        <w:rPr>
          <w:sz w:val="20"/>
          <w:szCs w:val="20"/>
          <w:color w:val="auto"/>
        </w:rPr>
      </w:pPr>
    </w:p>
    <w:p>
      <w:pPr>
        <w:ind w:right="420"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divestment of the Company’s wireless related assets and businesses in 2007, the Company changed its corporate name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All previous financial statements prior to September 12, 2007 were issued under the Company’s previous name, Wireless Facilities,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Presentation</w:t>
      </w:r>
    </w:p>
    <w:p>
      <w:pPr>
        <w:spacing w:after="0" w:line="10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The information as of March 31, 2007, and for the three months ended March 31, 2006 and 2007 is unaudited. The consolidated balance sheet as of December 31, 2006 was derived from the Company’s audited consolidated financial statements at that date.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consolidated financial statements should be read in conjunction with the consolidated financial statements and the related notes included in the Company’s audited annual consolidated financial statements for the year ended December 31, 2006, filed on Form 10-K on September 11, 2007, under the WFI name, with the United States Securities and Exchange Commission (“SEC”). Interim operating results are not necessarily indicative of operating results expected in subsequent periods or for the year as a whole.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Principles of Consolidation</w:t>
      </w:r>
    </w:p>
    <w:p>
      <w:pPr>
        <w:spacing w:after="0" w:line="119"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54" w:lineRule="exact"/>
        <w:rPr>
          <w:sz w:val="20"/>
          <w:szCs w:val="20"/>
          <w:color w:val="auto"/>
        </w:rPr>
      </w:pPr>
    </w:p>
    <w:p>
      <w:pPr>
        <w:ind w:right="700" w:firstLine="360"/>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using the cost method as the Company owns less than 20% and the Company has no significant influence over the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Fiscal Year</w:t>
      </w:r>
    </w:p>
    <w:p>
      <w:pPr>
        <w:spacing w:after="0" w:line="11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Company’s fiscal year end is on the last day of the year, December 31st. The interim fiscal periods are on the last day of the calendar month of each quarter.</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(e)</w:t>
      </w:r>
      <w:r>
        <w:rPr>
          <w:sz w:val="20"/>
          <w:szCs w:val="20"/>
          <w:color w:val="auto"/>
        </w:rPr>
        <w:tab/>
      </w:r>
      <w:r>
        <w:rPr>
          <w:rFonts w:ascii="Times New Roman" w:cs="Times New Roman" w:eastAsia="Times New Roman" w:hAnsi="Times New Roman"/>
          <w:sz w:val="17"/>
          <w:szCs w:val="17"/>
          <w:i w:val="1"/>
          <w:iCs w:val="1"/>
          <w:color w:val="auto"/>
        </w:rPr>
        <w:t>Revenue Recognition</w:t>
      </w:r>
    </w:p>
    <w:p>
      <w:pPr>
        <w:spacing w:after="0" w:line="11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w:t>
      </w:r>
    </w:p>
    <w:p>
      <w:pPr>
        <w:sectPr>
          <w:pgSz w:w="11900" w:h="16838" w:orient="portrait"/>
          <w:cols w:equalWidth="0" w:num="1">
            <w:col w:w="11340"/>
          </w:cols>
          <w:pgMar w:left="240" w:top="104" w:right="319" w:bottom="0" w:gutter="0" w:footer="0" w:header="0"/>
        </w:sectPr>
      </w:pPr>
    </w:p>
    <w:bookmarkStart w:id="4" w:name="page5"/>
    <w:bookmarkEnd w:id="4"/>
    <w:p>
      <w:pPr>
        <w:spacing w:after="0" w:line="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associated with a contract is accrued and charged to operations in the period it is determined that it is probable a loss will be realized from the performance of the contract.</w:t>
      </w:r>
    </w:p>
    <w:p>
      <w:pPr>
        <w:spacing w:after="0" w:line="54" w:lineRule="exact"/>
        <w:rPr>
          <w:sz w:val="20"/>
          <w:szCs w:val="20"/>
          <w:color w:val="auto"/>
        </w:rPr>
      </w:pPr>
    </w:p>
    <w:p>
      <w:pPr>
        <w:jc w:val="both"/>
        <w:ind w:right="540" w:firstLine="360"/>
        <w:spacing w:after="0" w:line="266" w:lineRule="auto"/>
        <w:rPr>
          <w:sz w:val="20"/>
          <w:szCs w:val="20"/>
          <w:color w:val="auto"/>
        </w:rPr>
      </w:pPr>
      <w:r>
        <w:rPr>
          <w:rFonts w:ascii="Times New Roman" w:cs="Times New Roman" w:eastAsia="Times New Roman" w:hAnsi="Times New Roman"/>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6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quarter ended March 31, 2007.</w:t>
      </w:r>
    </w:p>
    <w:p>
      <w:pPr>
        <w:spacing w:after="0" w:line="77" w:lineRule="exact"/>
        <w:rPr>
          <w:sz w:val="20"/>
          <w:szCs w:val="20"/>
          <w:color w:val="auto"/>
        </w:rPr>
      </w:pPr>
    </w:p>
    <w:p>
      <w:pPr>
        <w:ind w:right="520"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substantially all of the Company’s fixed price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2006 and March 31, 2007 were $23.4 million and $31.0 million, respectively. The Company periodically performs work under authorizations to proceed or work orders from its customers for which a formal purchase order may not be received until after the work has commenced. As of March 31, 2007, approximately $1.0 million of the Company’s unbilled accounts receivable balance were under an authorization to proceed or work order from its customers where a formal purchase order had not yet been received.</w:t>
      </w:r>
    </w:p>
    <w:p>
      <w:pPr>
        <w:spacing w:after="0" w:line="77"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72"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76"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68" w:lineRule="exact"/>
        <w:rPr>
          <w:sz w:val="20"/>
          <w:szCs w:val="20"/>
          <w:color w:val="auto"/>
        </w:rPr>
      </w:pPr>
    </w:p>
    <w:p>
      <w:pPr>
        <w:ind w:left="1080" w:hanging="35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acts as a principal in the transaction;</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takes title to the products;</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risks and rewards of ownership, such as risk of loss for collection, delivery or returns;</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serves as an agent or broker, with compensation on a commission or fee basis; and</w:t>
      </w:r>
    </w:p>
    <w:p>
      <w:pPr>
        <w:spacing w:after="0" w:line="117" w:lineRule="exact"/>
        <w:rPr>
          <w:rFonts w:ascii="Times New Roman" w:cs="Times New Roman" w:eastAsia="Times New Roman" w:hAnsi="Times New Roman"/>
          <w:sz w:val="18"/>
          <w:szCs w:val="18"/>
          <w:color w:val="auto"/>
        </w:rPr>
      </w:pPr>
    </w:p>
    <w:p>
      <w:pPr>
        <w:ind w:left="1080" w:hanging="352"/>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the credit risk for the amount billed to the customer subsequent to delivery.</w:t>
      </w:r>
    </w:p>
    <w:p>
      <w:pPr>
        <w:spacing w:after="0" w:line="22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w:t>
      </w:r>
    </w:p>
    <w:p>
      <w:pPr>
        <w:spacing w:after="0" w:line="119" w:lineRule="exact"/>
        <w:rPr>
          <w:rFonts w:ascii="Times New Roman" w:cs="Times New Roman" w:eastAsia="Times New Roman" w:hAnsi="Times New Roman"/>
          <w:sz w:val="18"/>
          <w:szCs w:val="18"/>
          <w:i w:val="1"/>
          <w:iCs w:val="1"/>
          <w:color w:val="auto"/>
        </w:rPr>
      </w:pPr>
    </w:p>
    <w:p>
      <w:pPr>
        <w:ind w:left="3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Inventories which are comprised primarily of supplies including parts and materials are stated at the lower of cost or market and are included in other</w:t>
      </w:r>
    </w:p>
    <w:p>
      <w:pPr>
        <w:spacing w:after="0" w:line="2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current assets in the accompanying balance sheets. The Company regularly reviews inventory quantities on hand, future purchase commitments with its suppliers, and the estimated utility of its inventory. If the Company review indicates a reduction in utility below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carrying value, it reduces its inventory to a new cost basis. As of December 31, 2006 and March 31, 2007, the Company had $1.6 million and $2.0 million, respectively, of inventories which were reflected in Other Current Assets on the Consolidated Balance Sheet.</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i w:val="1"/>
          <w:iCs w:val="1"/>
          <w:color w:val="auto"/>
        </w:rPr>
        <w:t>(g)</w:t>
        <w:tab/>
        <w:t>Use of Estimates</w:t>
      </w:r>
    </w:p>
    <w:p>
      <w:pPr>
        <w:spacing w:after="0" w:line="119" w:lineRule="exact"/>
        <w:rPr>
          <w:sz w:val="20"/>
          <w:szCs w:val="20"/>
          <w:color w:val="auto"/>
        </w:rPr>
      </w:pPr>
    </w:p>
    <w:p>
      <w:pPr>
        <w:ind w:right="120" w:firstLine="360"/>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ectPr>
          <w:pgSz w:w="11900" w:h="16869" w:orient="portrait"/>
          <w:cols w:equalWidth="0" w:num="1">
            <w:col w:w="11400"/>
          </w:cols>
          <w:pgMar w:left="240" w:top="121" w:right="2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(h)  Reclassifications</w:t>
      </w:r>
    </w:p>
    <w:p>
      <w:pPr>
        <w:spacing w:after="0" w:line="119"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The accompanying statements of cash flows separately reflect the operating and investing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2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The Company is in the process of determining the impact of this statement on its consolidated financial statements.</w:t>
      </w:r>
    </w:p>
    <w:p>
      <w:pPr>
        <w:spacing w:after="0" w:line="7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February 2007, the FASB issued FASB Statement No. 159, </w:t>
      </w:r>
      <w:r>
        <w:rPr>
          <w:rFonts w:ascii="Times New Roman" w:cs="Times New Roman" w:eastAsia="Times New Roman" w:hAnsi="Times New Roman"/>
          <w:sz w:val="18"/>
          <w:szCs w:val="18"/>
          <w:i w:val="1"/>
          <w:iCs w:val="1"/>
          <w:color w:val="auto"/>
        </w:rPr>
        <w:t>The Fair Value Option for Financial Assets and Financial Liabilities—Including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of FASB Statement No. 115. </w:t>
      </w:r>
      <w:r>
        <w:rPr>
          <w:rFonts w:ascii="Times New Roman" w:cs="Times New Roman" w:eastAsia="Times New Roman" w:hAnsi="Times New Roman"/>
          <w:sz w:val="18"/>
          <w:szCs w:val="18"/>
          <w:color w:val="auto"/>
        </w:rPr>
        <w:t>This standard permits an entity to choose to measure many financial instruments and certain other items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option is available to all entities, including not-for-profit organizations. Most of the provisions in Statement 159 are elective; however, the amendment to FASB Statement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77" w:lineRule="exact"/>
        <w:rPr>
          <w:sz w:val="20"/>
          <w:szCs w:val="20"/>
          <w:color w:val="auto"/>
        </w:rPr>
      </w:pPr>
    </w:p>
    <w:p>
      <w:pPr>
        <w:ind w:right="420" w:firstLine="360"/>
        <w:spacing w:after="0" w:line="282" w:lineRule="auto"/>
        <w:rPr>
          <w:sz w:val="20"/>
          <w:szCs w:val="20"/>
          <w:color w:val="auto"/>
        </w:rPr>
      </w:pPr>
      <w:r>
        <w:rPr>
          <w:rFonts w:ascii="Times New Roman" w:cs="Times New Roman" w:eastAsia="Times New Roman" w:hAnsi="Times New Roman"/>
          <w:sz w:val="18"/>
          <w:szCs w:val="18"/>
          <w:color w:val="auto"/>
        </w:rPr>
        <w:t>The fair value option established by Statement 159 permits all entities to choose to measure eligible items at fair value at specified election dates. A business entity will report unrealized gains and losses 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72"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Company is currently evaluating if it will elect the fair value option for any of its eligible financial instruments and other items.</w:t>
      </w:r>
    </w:p>
    <w:p>
      <w:pPr>
        <w:spacing w:after="0" w:line="72"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 The implementation of this standard did not have a material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21"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The Company had the following three stock option plans under which shares were available for grant at March 31, 2007: the 1999 Equity Incentive Plan (the “1999 Plan”), the 2000 Non-Statutory Stock Option Plan (the “2000 Plan”) and the 2005 Equity Incentive Plan (the “2005 Plan”).</w:t>
      </w:r>
    </w:p>
    <w:p>
      <w:pPr>
        <w:spacing w:after="0" w:line="5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18"/>
          <w:szCs w:val="18"/>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following table summarizes the Company’s Restricted Stock Unit activity:</w:t>
      </w:r>
    </w:p>
    <w:p>
      <w:pPr>
        <w:spacing w:after="0" w:line="195"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0" w:type="dxa"/>
            <w:vAlign w:val="bottom"/>
            <w:gridSpan w:val="4"/>
          </w:tcPr>
          <w:p>
            <w:pPr>
              <w:jc w:val="center"/>
              <w:ind w:left="776"/>
              <w:spacing w:after="0" w:line="135"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8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(000’s)</w:t>
            </w: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tcBorders>
              <w:top w:val="single" w:sz="8" w:color="auto"/>
            </w:tcBorders>
            <w:gridSpan w:val="7"/>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(Shares 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Cancellations/Forfeitures</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restricted stock units, March 31, 2007</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Effective January 2007, for various business reasons, the Company discontinued issuing stock option grants as a form of incentive compensation in lieu of other equity-based incentives. Prior to that time, the Company issued stock option grants as a form of incentive compensation.</w:t>
      </w:r>
    </w:p>
    <w:p>
      <w:pPr>
        <w:sectPr>
          <w:pgSz w:w="11900" w:h="16838" w:orient="portrait"/>
          <w:cols w:equalWidth="0" w:num="1">
            <w:col w:w="11420"/>
          </w:cols>
          <w:pgMar w:left="240" w:top="119" w:right="239" w:bottom="617"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9" w:right="239" w:bottom="617" w:gutter="0" w:footer="0" w:header="0"/>
          <w:type w:val="continuous"/>
        </w:sectPr>
      </w:pPr>
    </w:p>
    <w:bookmarkStart w:id="6" w:name="page7"/>
    <w:bookmarkEnd w:id="6"/>
    <w:p>
      <w:pPr>
        <w:ind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the amounts recognized in the financial statements for the three months ended March 31, 2006 and 2007 for share-based compensation expense related to employees (in millions, except per share data). The share-based compensation expense for the three months ended March 31, 2006 relates to stock option grants and the compensation expense for the three months ended March 31, 2007 primarily relates to the grant of restricted stock units. As of March 31, 2007, all restricted stock units were unvested. In addition, for the three months ended March 31, 2006 and 2007, there was no incremental tax benefit from stock options exercised in the period.</w:t>
      </w:r>
    </w:p>
    <w:p>
      <w:pPr>
        <w:spacing w:after="0" w:line="149"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1"/>
                <w:szCs w:val="11"/>
                <w:color w:val="auto"/>
              </w:rPr>
            </w:pPr>
          </w:p>
        </w:tc>
        <w:tc>
          <w:tcPr>
            <w:tcW w:w="78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08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2"/>
        </w:trPr>
        <w:tc>
          <w:tcPr>
            <w:tcW w:w="5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 cost of employee share-based compensation included in loss from</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before income tax</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increasing net loss from continuing operations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Amount increasing net loss from discontinued operations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increasing net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impact on net loss per common share:</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The Company recorded $ 0.0 million and $ 0.1 million in share-based compensation expense during the three months ended March 31, 2006 and March 31, 2007, respectively, related to share-based awards granted during those periods. The remaining share-based compensation expense primarily relates to stock option awards granted in earlier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Income (loss) Per Common Share</w:t>
      </w:r>
    </w:p>
    <w:p>
      <w:pPr>
        <w:spacing w:after="0" w:line="40"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18"/>
          <w:szCs w:val="18"/>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2006.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ind w:left="8340"/>
        <w:spacing w:after="0" w:line="207" w:lineRule="auto"/>
        <w:rPr>
          <w:sz w:val="20"/>
          <w:szCs w:val="20"/>
          <w:color w:val="auto"/>
        </w:rPr>
      </w:pPr>
      <w:r>
        <w:rPr>
          <w:rFonts w:ascii="Times New Roman" w:cs="Times New Roman" w:eastAsia="Times New Roman" w:hAnsi="Times New Roman"/>
          <w:sz w:val="14"/>
          <w:szCs w:val="14"/>
          <w:b w:val="1"/>
          <w:bCs w:val="1"/>
          <w:color w:val="auto"/>
        </w:rPr>
        <w:t>For the Three</w:t>
      </w:r>
    </w:p>
    <w:p>
      <w:pPr>
        <w:ind w:left="830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ind w:left="8480"/>
        <w:spacing w:after="0" w:line="22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920" w:type="dxa"/>
        <w:tblCellMar>
          <w:top w:w="0" w:type="dxa"/>
          <w:left w:w="0" w:type="dxa"/>
          <w:bottom w:w="0" w:type="dxa"/>
          <w:right w:w="0" w:type="dxa"/>
        </w:tblCellMar>
      </w:tblPr>
      <w:tr>
        <w:trPr>
          <w:trHeight w:val="135"/>
        </w:trPr>
        <w:tc>
          <w:tcPr>
            <w:tcW w:w="58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basic per share amounts:</w:t>
            </w: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diluted per share amounts: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weighted average shares</w:t>
            </w:r>
          </w:p>
        </w:tc>
        <w:tc>
          <w:tcPr>
            <w:tcW w:w="4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 from continuing operations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8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share from discontinued operations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vMerge w:val="continue"/>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 from continuing operations</w:t>
            </w: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40" w:type="dxa"/>
            <w:vAlign w:val="bottom"/>
            <w:vMerge w:val="continue"/>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8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 from discontinued operations</w:t>
            </w: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40" w:type="dxa"/>
            <w:vAlign w:val="bottom"/>
            <w:vMerge w:val="continue"/>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2"/>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weighted average shares from assumed conversion of Series B</w:t>
            </w:r>
          </w:p>
        </w:tc>
        <w:tc>
          <w:tcPr>
            <w:tcW w:w="4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weighted shares from stock options excluded from</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calculation</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per share market value of common stock</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stock option exercise price per share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40"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In July 2006, the FASB issued Interpretation No. 48, Accounting for Uncertainty in Income Taxes—An Interpretation of FASB Statement No. 109 (“FIN 48”). FIN 48 clarifies the accounting for uncertainty in income taxes recognized in an entity’s financial statements in accordance with FASB Statement</w:t>
      </w:r>
    </w:p>
    <w:p>
      <w:pPr>
        <w:ind w:right="140"/>
        <w:spacing w:after="0" w:line="253" w:lineRule="auto"/>
        <w:rPr>
          <w:sz w:val="20"/>
          <w:szCs w:val="20"/>
          <w:color w:val="auto"/>
        </w:rPr>
      </w:pPr>
      <w:r>
        <w:rPr>
          <w:rFonts w:ascii="Times New Roman" w:cs="Times New Roman" w:eastAsia="Times New Roman" w:hAnsi="Times New Roman"/>
          <w:sz w:val="18"/>
          <w:szCs w:val="18"/>
          <w:color w:val="auto"/>
        </w:rPr>
        <w:t>No. 109, Accounting for Income Taxes, and prescribes a recognition threshold and measurement attributes for financial statement disclosure of tax positions taken or expected to be taken on a tax return. Under FIN 48, the impact of an uncertain income tax position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ectPr>
          <w:pgSz w:w="11900" w:h="16838" w:orient="portrait"/>
          <w:cols w:equalWidth="0" w:num="1">
            <w:col w:w="11400"/>
          </w:cols>
          <w:pgMar w:left="240" w:top="121" w:right="259" w:bottom="187" w:gutter="0" w:footer="0" w:header="0"/>
        </w:sectPr>
      </w:pPr>
    </w:p>
    <w:bookmarkStart w:id="7" w:name="page8"/>
    <w:bookmarkEnd w:id="7"/>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The Company adopted the provisions of FIN 48 on January 1, 2007. The total liability for unrecognized tax benefits as of the date of adoption was $4.7 million. As a result of the implementation of FIN 48, the Company recognized a $0.7 million increase in the liability for unrecognized tax benefits, with $0.2 million net decrease in valuation allowance, $0.1 million charged to retained earnings, and $0.4 million recorded to goodwill. In addition, the Company reduced its gross deferred tax assets by $10.8 million for unrecognized tax benefits, which was offset by a reduction in its valuation allowance by the same amount.</w:t>
      </w:r>
    </w:p>
    <w:p>
      <w:pPr>
        <w:spacing w:after="0" w:line="62"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January 1, 2007, are $15.1 million of tax benefits that, if recognized, would affect the effective tax rate. Note that of this amount, $10.8 million of tax benefit may also be impacted by an increase in the valuation allowance, depending upon the Company’s financial condition at the time the benefits are recognized.</w:t>
      </w:r>
    </w:p>
    <w:p>
      <w:pPr>
        <w:spacing w:after="0" w:line="41" w:lineRule="exact"/>
        <w:rPr>
          <w:sz w:val="20"/>
          <w:szCs w:val="20"/>
          <w:color w:val="auto"/>
        </w:rPr>
      </w:pPr>
    </w:p>
    <w:p>
      <w:pPr>
        <w:ind w:right="720" w:firstLine="36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40"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various state and foreign tax jurisdictions. The Company’s tax years for 2001 and forward are subject to examination by the U.S., foreign and state tax authorities due to the existence of net operating loss carryforwards.</w:t>
      </w:r>
    </w:p>
    <w:p>
      <w:pPr>
        <w:spacing w:after="0" w:line="40"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During the first quarter of 2007, the Company’s liability for unrecognized tax benefits was reduced by $1.4 million to a balance of $3.3 million at March 31, 2007. The reduction was the result of the expiration of the statute of limitations for certain federal, foreign and state tax returns. The recognition of these tax benefits resulted in a credit to the tax provision for discontinued operations of $1.2 million and a reduction to goodwill for $0.2 million.</w:t>
      </w:r>
    </w:p>
    <w:p>
      <w:pPr>
        <w:spacing w:after="0" w:line="4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58"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As of March 31, 2007, the Company had a net deferred tax liability of $1.4 million. The deferred tax assets and liabilities were allocated between continuing operations and discontinued operations based upon the underlying asset or liability that produced the deferred taxes. The following table presents the deferred tax assets and liabilities of continuing operations and discontinued operations.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taxes</w:t>
            </w: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2007</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gridSpan w:val="2"/>
            <w:vMerge w:val="continue"/>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Continuing Operations</w:t>
            </w:r>
          </w:p>
        </w:tc>
        <w:tc>
          <w:tcPr>
            <w:tcW w:w="220" w:type="dxa"/>
            <w:vAlign w:val="bottom"/>
          </w:tcPr>
          <w:p>
            <w:pPr>
              <w:spacing w:after="0"/>
              <w:rPr>
                <w:sz w:val="11"/>
                <w:szCs w:val="11"/>
                <w:color w:val="auto"/>
              </w:rPr>
            </w:pPr>
          </w:p>
        </w:tc>
        <w:tc>
          <w:tcPr>
            <w:tcW w:w="1880" w:type="dxa"/>
            <w:vAlign w:val="bottom"/>
            <w:gridSpan w:val="5"/>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4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assets</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liabilities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5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Significant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Discontinued Operations—South American and Latin American Operations, EMEA Operations and WNS Operations</w:t>
      </w:r>
    </w:p>
    <w:p>
      <w:pPr>
        <w:spacing w:after="0" w:line="92"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On December 28, 2006, the Board of Directors of the Company approved a plan to divest portions of the Company’s business where critical mass had not been achieved. This plan involved the divestiture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Company’s EMEA operations and its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68"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On March 9, 2007, the Company signed a Definitive Agreement with LCC International (LCCI) to sell the Company’s EMEA operations in a cash for stock transaction valued at $4 million. The transactions contemplated by the agreement were completed on March 9, 2007 resulting in a gain on disposition of approximately $3.3 million recorded in the first quarter of 2007.</w:t>
      </w:r>
    </w:p>
    <w:p>
      <w:pPr>
        <w:spacing w:after="0" w:line="4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resulting in an approximate gain on disposition of $0.2 million due to lower than expected selling costs.</w:t>
      </w:r>
    </w:p>
    <w:p>
      <w:pPr>
        <w:spacing w:after="0" w:line="37"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18"/>
          <w:szCs w:val="18"/>
          <w:color w:val="auto"/>
        </w:rPr>
        <w:t>On May 29, 2007, the Company entered into an Asset Purchase Agreement (the “</w:t>
      </w:r>
      <w:r>
        <w:rPr>
          <w:rFonts w:ascii="Times New Roman" w:cs="Times New Roman" w:eastAsia="Times New Roman" w:hAnsi="Times New Roman"/>
          <w:sz w:val="18"/>
          <w:szCs w:val="18"/>
          <w:i w:val="1"/>
          <w:iCs w:val="1"/>
          <w:color w:val="auto"/>
        </w:rPr>
        <w:t>Acquisition Agreement</w:t>
      </w:r>
      <w:r>
        <w:rPr>
          <w:rFonts w:ascii="Times New Roman" w:cs="Times New Roman" w:eastAsia="Times New Roman" w:hAnsi="Times New Roman"/>
          <w:sz w:val="18"/>
          <w:szCs w:val="18"/>
          <w:color w:val="auto"/>
        </w:rPr>
        <w:t>”) with LCC International, Inc. (“</w:t>
      </w:r>
      <w:r>
        <w:rPr>
          <w:rFonts w:ascii="Times New Roman" w:cs="Times New Roman" w:eastAsia="Times New Roman" w:hAnsi="Times New Roman"/>
          <w:sz w:val="18"/>
          <w:szCs w:val="18"/>
          <w:i w:val="1"/>
          <w:iCs w:val="1"/>
          <w:color w:val="auto"/>
        </w:rPr>
        <w:t>LCCI</w:t>
      </w:r>
      <w:r>
        <w:rPr>
          <w:rFonts w:ascii="Times New Roman" w:cs="Times New Roman" w:eastAsia="Times New Roman" w:hAnsi="Times New Roman"/>
          <w:sz w:val="18"/>
          <w:szCs w:val="18"/>
          <w:color w:val="auto"/>
        </w:rPr>
        <w:t>”) pursuant to which the Company agreed to sell to LCCI all of the assets used in the conduct of the operation of the Company’s Wireless Network Services business segment that provides engineering services to the non-government wireless communications industry in the United States on the terms set forth in the Acquisition Agreement, subject to the satisfaction of certain closing conditions. The Board of Directors of each of the Company and LCCI approved the Acquisition and the Acquisition Agreement.</w:t>
      </w:r>
    </w:p>
    <w:p>
      <w:pPr>
        <w:spacing w:after="0" w:line="33"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aggregate consideration paid by LCCI in connection with the Acquisition was $46 million subject to certain adjustments. Pursuant to the terms of the Acquisition Agreement, LCCI delivered a subordinated promissory note for the principal amount of $21.6 million (the “</w:t>
      </w:r>
      <w:r>
        <w:rPr>
          <w:rFonts w:ascii="Times New Roman" w:cs="Times New Roman" w:eastAsia="Times New Roman" w:hAnsi="Times New Roman"/>
          <w:sz w:val="18"/>
          <w:szCs w:val="18"/>
          <w:i w:val="1"/>
          <w:iCs w:val="1"/>
          <w:color w:val="auto"/>
        </w:rPr>
        <w:t>Subordinated Promissory Note</w:t>
      </w:r>
      <w:r>
        <w:rPr>
          <w:rFonts w:ascii="Times New Roman" w:cs="Times New Roman" w:eastAsia="Times New Roman" w:hAnsi="Times New Roman"/>
          <w:sz w:val="18"/>
          <w:szCs w:val="18"/>
          <w:color w:val="auto"/>
        </w:rPr>
        <w:t>”), subject to working capital adjustments, and paid $17 million in cash at the closing, and the Company has retained an estimated $7.4 million in net accounts receivable of the Business, subject to working capital adjustments. The transaction was completed on June 4, 2007.</w:t>
      </w:r>
    </w:p>
    <w:p>
      <w:pPr>
        <w:spacing w:after="0" w:line="45"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7"/>
          <w:szCs w:val="17"/>
          <w:color w:val="auto"/>
        </w:rPr>
        <w:t>On July 5, 2007, the Company announced that it had sold the $21.6 million Subordinated Promissory Note in a transaction arranged by KeyBanc Capital Markets (“KeyBanc”). The Company received approximately $19.6 million in net cash proceeds, reflecting a discount from par value of less than five percent and aggregate transaction fees of approximately $1 million, which includes a $0.75 million fee to KeyBanc, an affiliate of the Company’s lender. The note was acquired by a fund affiliated with Silver Point Capital, L.P. (“Silver Point’). The Company did not provide any guaranty for LCCI’s payment obligations.</w:t>
      </w:r>
    </w:p>
    <w:p>
      <w:pPr>
        <w:sectPr>
          <w:pgSz w:w="11900" w:h="16930" w:orient="portrait"/>
          <w:cols w:equalWidth="0" w:num="1">
            <w:col w:w="11400"/>
          </w:cols>
          <w:pgMar w:left="240" w:top="121" w:right="259" w:bottom="0" w:gutter="0" w:footer="0" w:header="0"/>
        </w:sectPr>
      </w:pPr>
    </w:p>
    <w:bookmarkStart w:id="8" w:name="page9"/>
    <w:bookmarkEnd w:id="8"/>
    <w:p>
      <w:pPr>
        <w:ind w:right="60"/>
        <w:spacing w:after="0" w:line="282" w:lineRule="auto"/>
        <w:rPr>
          <w:sz w:val="20"/>
          <w:szCs w:val="20"/>
          <w:color w:val="auto"/>
        </w:rPr>
      </w:pPr>
      <w:r>
        <w:rPr>
          <w:rFonts w:ascii="Times New Roman" w:cs="Times New Roman" w:eastAsia="Times New Roman" w:hAnsi="Times New Roman"/>
          <w:sz w:val="18"/>
          <w:szCs w:val="18"/>
          <w:color w:val="auto"/>
        </w:rPr>
        <w:t>Certain post closing adjustments that, under the terms of the sale of the U.S. Wireless Engineering business were expected to be made to the principal amount of the Note, may instead be made by payments between the Company and LCCI, or between Silver Point and the Company, as applicable.</w:t>
      </w:r>
    </w:p>
    <w:p>
      <w:pPr>
        <w:spacing w:after="0" w:line="13"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18"/>
          <w:szCs w:val="18"/>
          <w:color w:val="auto"/>
        </w:rPr>
        <w:t>On August 10, 2007, in accordance with the terms of the Acquisition Agreement, the Company provided the closing balance sheet working capital calculation, which indicated a $2.6 million working capital adjustment is due to the Company as an increase to the balance of the Subordinated Promissory Note. LCCI had thirty days to review the calculation and notify the Company of any dispute. On September 11, 2007, the Company received a letter from LCCI challenging the Company’s notice and data supporting the calculations. The Company and LCCI are working to resolve the issues as soon as practicable.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On July 7, 2007, the Company entered into a definitive agreement with an affiliate of Platinum Equity to sell the Company’s Wireless Deployment business. Platinum is a Los Angeles based private equity firm whose portfolio includes service and distribution businesses in a number of market sectors. The total consideration for the acquisition is $24 million including $18 million in cash at closing, subject to post closing working capital adjustments, and an aggregate $6 million in a three-year earn-out arrangement through 2010. The deal includes a Transition Services Agreement for the transition of certain services for a period of six months. The assets sold to Platinum Equity include all of the Company’s Wireless Deployment business, and the Wireless Facilities name. The transaction closed on July 24, 2007.</w:t>
      </w:r>
    </w:p>
    <w:p>
      <w:pPr>
        <w:spacing w:after="0" w:line="53"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U.S. engineering and U.S. deployment operations met the criteria to be classified as held for sale in the first quarter of 2007. Accordingly, the Company has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in the first quarter of 2007. The fair value of the assets was determined by utilizing the sale price less costs to sell the business. We recorded a gain in discontinued operations from the sale of the U.S. engineering operations of $14.8 million in the second quarter of 2007.</w:t>
      </w:r>
    </w:p>
    <w:p>
      <w:pPr>
        <w:spacing w:after="0" w:line="3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our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of approximately $7.2 million related to goodwill for this reporting unit which was recorded in the first quarter of 2007.</w:t>
      </w:r>
    </w:p>
    <w:p>
      <w:pPr>
        <w:spacing w:after="0" w:line="37" w:lineRule="exact"/>
        <w:rPr>
          <w:sz w:val="20"/>
          <w:szCs w:val="20"/>
          <w:color w:val="auto"/>
        </w:rPr>
      </w:pPr>
    </w:p>
    <w:p>
      <w:pPr>
        <w:ind w:right="180" w:firstLine="360"/>
        <w:spacing w:after="0" w:line="259" w:lineRule="auto"/>
        <w:rPr>
          <w:sz w:val="20"/>
          <w:szCs w:val="20"/>
          <w:color w:val="auto"/>
        </w:rPr>
      </w:pPr>
      <w:r>
        <w:rPr>
          <w:rFonts w:ascii="Times New Roman" w:cs="Times New Roman" w:eastAsia="Times New Roman" w:hAnsi="Times New Roman"/>
          <w:sz w:val="18"/>
          <w:szCs w:val="18"/>
          <w:color w:val="auto"/>
        </w:rPr>
        <w:t xml:space="preserve">In addition, in accordance with EITF 87-24, </w:t>
      </w:r>
      <w:r>
        <w:rPr>
          <w:rFonts w:ascii="Times New Roman" w:cs="Times New Roman" w:eastAsia="Times New Roman" w:hAnsi="Times New Roman"/>
          <w:sz w:val="18"/>
          <w:szCs w:val="18"/>
          <w:i w:val="1"/>
          <w:iCs w:val="1"/>
          <w:color w:val="auto"/>
        </w:rPr>
        <w:t>Allocation of Interest to Discontinued Operations</w:t>
      </w:r>
      <w:r>
        <w:rPr>
          <w:rFonts w:ascii="Times New Roman" w:cs="Times New Roman" w:eastAsia="Times New Roman" w:hAnsi="Times New Roman"/>
          <w:sz w:val="18"/>
          <w:szCs w:val="18"/>
          <w:color w:val="auto"/>
        </w:rPr>
        <w:t xml:space="preserve"> (“EITF 87-24”), interest expense incurred on the debt that was required to be repaid as a result of the sales of our wireless network services business was allocated to discontinued operations for the periods presented. During the three months ended March 31, 2007 interest expense allocated to discontinued operations was approximately $1.1 million. During the three months ended March 31, 2006 no interest expense was allocated to discontinued operations as we entered into our current credit agreement on October 2, 2006.</w:t>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revenue and net income (loss) before tax for the Latin American and South American operations (in millions):</w:t>
      </w:r>
    </w:p>
    <w:p>
      <w:pPr>
        <w:spacing w:after="0" w:line="7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For the Three</w:t>
      </w:r>
    </w:p>
    <w:p>
      <w:pPr>
        <w:ind w:left="798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ind w:left="816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220" w:type="dxa"/>
        <w:tblCellMar>
          <w:top w:w="0" w:type="dxa"/>
          <w:left w:w="0" w:type="dxa"/>
          <w:bottom w:w="0" w:type="dxa"/>
          <w:right w:w="0" w:type="dxa"/>
        </w:tblCellMar>
      </w:tblPr>
      <w:tr>
        <w:trPr>
          <w:trHeight w:val="136"/>
        </w:trPr>
        <w:tc>
          <w:tcPr>
            <w:tcW w:w="35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1"/>
                <w:szCs w:val="1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3"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The net income after tax of $0.7 million for the three months ended March 31, 2007 reported in discontinued operations included an income tax benefit of $1.2 million due to a reduction of a FIN 48 liability relating to uncertain tax positions in tax years for which the statute of limitations expired during the first quarter of 2007.</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revenue and net income before tax for the EMEA operations (in millions):</w:t>
      </w:r>
    </w:p>
    <w:p>
      <w:pPr>
        <w:spacing w:after="0" w:line="62"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4"/>
          <w:szCs w:val="14"/>
          <w:b w:val="1"/>
          <w:bCs w:val="1"/>
          <w:color w:val="auto"/>
        </w:rPr>
        <w:t>For the Three</w:t>
      </w:r>
    </w:p>
    <w:p>
      <w:pPr>
        <w:jc w:val="center"/>
        <w:ind w:left="580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jc w:val="center"/>
        <w:ind w:left="580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280" w:type="dxa"/>
        <w:tblCellMar>
          <w:top w:w="0" w:type="dxa"/>
          <w:left w:w="0" w:type="dxa"/>
          <w:bottom w:w="0" w:type="dxa"/>
          <w:right w:w="0" w:type="dxa"/>
        </w:tblCellMar>
      </w:tblPr>
      <w:tr>
        <w:trPr>
          <w:trHeight w:val="136"/>
        </w:trPr>
        <w:tc>
          <w:tcPr>
            <w:tcW w:w="3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6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620" w:type="dxa"/>
            <w:vAlign w:val="bottom"/>
            <w:tcBorders>
              <w:top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1"/>
                <w:szCs w:val="1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$ 4.6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$ 3.1</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w:t>
            </w:r>
          </w:p>
        </w:tc>
        <w:tc>
          <w:tcPr>
            <w:tcW w:w="248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color w:val="auto"/>
                <w:w w:val="94"/>
              </w:rPr>
              <w:t>$ 0.1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net income after tax of $2.5 million for the three months ended March 31, 2007 included a $3.3 million gain from the sale of our EMEA operation to LCCI, which was completed in March 2007 and is reported in loss from discontinued operations.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revenue and net income (loss) before tax for the U.S. wireless engineering operations (in millions):</w:t>
      </w:r>
    </w:p>
    <w:p>
      <w:pPr>
        <w:spacing w:after="0" w:line="17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For the Three</w:t>
      </w:r>
    </w:p>
    <w:p>
      <w:pPr>
        <w:ind w:left="802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ind w:left="820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260" w:type="dxa"/>
        <w:tblCellMar>
          <w:top w:w="0" w:type="dxa"/>
          <w:left w:w="0" w:type="dxa"/>
          <w:bottom w:w="0" w:type="dxa"/>
          <w:right w:w="0" w:type="dxa"/>
        </w:tblCellMar>
      </w:tblPr>
      <w:tr>
        <w:trPr>
          <w:trHeight w:val="136"/>
        </w:trPr>
        <w:tc>
          <w:tcPr>
            <w:tcW w:w="386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6"/>
              <w:spacing w:after="0" w:line="136"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CCEEFF"/>
            </w:tcBorders>
          </w:tcPr>
          <w:p>
            <w:pPr>
              <w:spacing w:after="0"/>
              <w:rPr>
                <w:sz w:val="11"/>
                <w:szCs w:val="1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$ 13.5</w:t>
            </w:r>
          </w:p>
        </w:tc>
        <w:tc>
          <w:tcPr>
            <w:tcW w:w="100" w:type="dxa"/>
            <w:vAlign w:val="bottom"/>
            <w:shd w:val="clear" w:color="auto" w:fill="CCEEFF"/>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tax</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(0.9)</w:t>
            </w:r>
          </w:p>
        </w:tc>
      </w:tr>
    </w:tbl>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net loss after tax was $0.9 million for the three months ended March 31, 2007.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revenue and net loss before tax for the U.S. wireless deployment operations (in millions):</w:t>
      </w:r>
    </w:p>
    <w:p>
      <w:pPr>
        <w:sectPr>
          <w:pgSz w:w="11900" w:h="16838" w:orient="portrait"/>
          <w:cols w:equalWidth="0" w:num="1">
            <w:col w:w="11420"/>
          </w:cols>
          <w:pgMar w:left="240" w:top="121" w:right="239" w:bottom="0" w:gutter="0" w:footer="0" w:header="0"/>
        </w:sectPr>
      </w:pPr>
    </w:p>
    <w:bookmarkStart w:id="9" w:name="page10"/>
    <w:bookmarkEnd w:id="9"/>
    <w:p>
      <w:pPr>
        <w:ind w:left="8000"/>
        <w:spacing w:after="0"/>
        <w:rPr>
          <w:sz w:val="20"/>
          <w:szCs w:val="20"/>
          <w:color w:val="auto"/>
        </w:rPr>
      </w:pPr>
      <w:r>
        <w:rPr>
          <w:rFonts w:ascii="Times New Roman" w:cs="Times New Roman" w:eastAsia="Times New Roman" w:hAnsi="Times New Roman"/>
          <w:sz w:val="14"/>
          <w:szCs w:val="14"/>
          <w:b w:val="1"/>
          <w:bCs w:val="1"/>
          <w:color w:val="auto"/>
        </w:rPr>
        <w:t>For the Three</w:t>
      </w:r>
    </w:p>
    <w:p>
      <w:pPr>
        <w:ind w:left="798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ind w:left="816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280" w:type="dxa"/>
        <w:tblCellMar>
          <w:top w:w="0" w:type="dxa"/>
          <w:left w:w="0" w:type="dxa"/>
          <w:bottom w:w="0" w:type="dxa"/>
          <w:right w:w="0" w:type="dxa"/>
        </w:tblCellMar>
      </w:tblPr>
      <w:tr>
        <w:trPr>
          <w:trHeight w:val="136"/>
        </w:trPr>
        <w:tc>
          <w:tcPr>
            <w:tcW w:w="346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9"/>
              <w:spacing w:after="0" w:line="136" w:lineRule="exact"/>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100" w:type="dxa"/>
            <w:vAlign w:val="bottom"/>
            <w:tcBorders>
              <w:bottom w:val="single" w:sz="8" w:color="CCEEFF"/>
            </w:tcBorders>
          </w:tcPr>
          <w:p>
            <w:pPr>
              <w:spacing w:after="0"/>
              <w:rPr>
                <w:sz w:val="11"/>
                <w:szCs w:val="1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270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 (0.6)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3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The net loss after tax of $19.4 million for the three months ended March 31, 2007 includes a total impairment of $20.6 million related to an impairment of $13.4 million for the net assets and $7.2 million related to an impairment of goodwill of the deployment operations which is reported in loss from discontinued operations.</w:t>
      </w:r>
    </w:p>
    <w:p>
      <w:pPr>
        <w:spacing w:after="0" w:line="68" w:lineRule="exact"/>
        <w:rPr>
          <w:sz w:val="20"/>
          <w:szCs w:val="20"/>
          <w:color w:val="auto"/>
        </w:rPr>
      </w:pPr>
    </w:p>
    <w:p>
      <w:pPr>
        <w:ind w:right="700" w:firstLine="360"/>
        <w:spacing w:after="0" w:line="282" w:lineRule="auto"/>
        <w:rPr>
          <w:sz w:val="20"/>
          <w:szCs w:val="20"/>
          <w:color w:val="auto"/>
        </w:rPr>
      </w:pPr>
      <w:r>
        <w:rPr>
          <w:rFonts w:ascii="Times New Roman" w:cs="Times New Roman" w:eastAsia="Times New Roman" w:hAnsi="Times New Roman"/>
          <w:sz w:val="18"/>
          <w:szCs w:val="18"/>
          <w:color w:val="auto"/>
        </w:rPr>
        <w:t>Total tax expense for discontinued operations was $0.4 million for the three months ended March 31, 2006 and total tax benefit for discontinued operations was $1.1 million for the three months ended March 31, 2007.</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Following is a summary of the assets and liabilities of discontinued operations as of December 31, 2006 and March 31, 2007 (in millions) for each of the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2006</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40" w:type="dxa"/>
            <w:vAlign w:val="bottom"/>
            <w:gridSpan w:val="5"/>
          </w:tcPr>
          <w:p>
            <w:pPr>
              <w:jc w:val="center"/>
              <w:ind w:right="300"/>
              <w:spacing w:after="0" w:line="102" w:lineRule="exact"/>
              <w:rPr>
                <w:sz w:val="20"/>
                <w:szCs w:val="20"/>
                <w:color w:val="auto"/>
              </w:rPr>
            </w:pPr>
            <w:r>
              <w:rPr>
                <w:rFonts w:ascii="Times New Roman" w:cs="Times New Roman" w:eastAsia="Times New Roman" w:hAnsi="Times New Roman"/>
                <w:sz w:val="11"/>
                <w:szCs w:val="11"/>
                <w:b w:val="1"/>
                <w:bCs w:val="1"/>
                <w:color w:val="auto"/>
              </w:rPr>
              <w:t>Latin and</w:t>
            </w: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EMEA</w:t>
            </w: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Deployment</w:t>
            </w:r>
          </w:p>
        </w:tc>
        <w:tc>
          <w:tcPr>
            <w:tcW w:w="220" w:type="dxa"/>
            <w:vAlign w:val="bottom"/>
          </w:tcPr>
          <w:p>
            <w:pPr>
              <w:spacing w:after="0"/>
              <w:rPr>
                <w:sz w:val="8"/>
                <w:szCs w:val="8"/>
                <w:color w:val="auto"/>
              </w:rPr>
            </w:pPr>
          </w:p>
        </w:tc>
        <w:tc>
          <w:tcPr>
            <w:tcW w:w="6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740" w:type="dxa"/>
            <w:vAlign w:val="bottom"/>
            <w:gridSpan w:val="4"/>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3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Impairment allowance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vMerge w:val="restart"/>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Current assets of discontinued</w:t>
            </w: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0" w:type="dxa"/>
            <w:vAlign w:val="bottom"/>
          </w:tcPr>
          <w:p>
            <w:pPr>
              <w:spacing w:after="0"/>
              <w:rPr>
                <w:sz w:val="14"/>
                <w:szCs w:val="14"/>
                <w:color w:val="auto"/>
              </w:rPr>
            </w:pPr>
          </w:p>
        </w:tc>
        <w:tc>
          <w:tcPr>
            <w:tcW w:w="3140" w:type="dxa"/>
            <w:vAlign w:val="bottom"/>
            <w:vMerge w:val="continue"/>
            <w:shd w:val="clear" w:color="auto" w:fill="CCEEFF"/>
          </w:tcPr>
          <w:p>
            <w:pPr>
              <w:spacing w:after="0"/>
              <w:rPr>
                <w:sz w:val="14"/>
                <w:szCs w:val="14"/>
                <w:color w:val="auto"/>
              </w:rPr>
            </w:pPr>
          </w:p>
        </w:tc>
        <w:tc>
          <w:tcPr>
            <w:tcW w:w="26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0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40" w:type="dxa"/>
            <w:vAlign w:val="bottom"/>
            <w:gridSpan w:val="2"/>
            <w:vMerge w:val="continue"/>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Impairment allowance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color w:val="auto"/>
              </w:rPr>
              <w:t>Non-current assets of</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26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800" w:type="dxa"/>
            <w:vAlign w:val="bottom"/>
          </w:tcPr>
          <w:p>
            <w:pPr>
              <w:spacing w:after="0"/>
              <w:rPr>
                <w:sz w:val="21"/>
                <w:szCs w:val="21"/>
                <w:color w:val="auto"/>
              </w:rPr>
            </w:pPr>
          </w:p>
        </w:tc>
        <w:tc>
          <w:tcPr>
            <w:tcW w:w="314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3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Billings in excess of cost on completed</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800" w:type="dxa"/>
            <w:vAlign w:val="bottom"/>
          </w:tcPr>
          <w:p>
            <w:pPr>
              <w:spacing w:after="0"/>
              <w:rPr>
                <w:sz w:val="19"/>
                <w:szCs w:val="19"/>
                <w:color w:val="auto"/>
              </w:rPr>
            </w:pPr>
          </w:p>
        </w:tc>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800" w:type="dxa"/>
            <w:vAlign w:val="bottom"/>
          </w:tcPr>
          <w:p>
            <w:pPr>
              <w:spacing w:after="0"/>
              <w:rPr>
                <w:sz w:val="14"/>
                <w:szCs w:val="14"/>
                <w:color w:val="auto"/>
              </w:rPr>
            </w:pPr>
          </w:p>
        </w:tc>
        <w:tc>
          <w:tcPr>
            <w:tcW w:w="3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Current liabilities of</w:t>
            </w:r>
          </w:p>
        </w:tc>
        <w:tc>
          <w:tcPr>
            <w:tcW w:w="26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0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8"/>
                <w:szCs w:val="18"/>
                <w:color w:val="auto"/>
              </w:rPr>
              <w:t>Non-current liabilities of</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40" w:type="dxa"/>
            <w:vAlign w:val="bottom"/>
            <w:gridSpan w:val="2"/>
            <w:vMerge w:val="continue"/>
          </w:tcPr>
          <w:p>
            <w:pPr>
              <w:spacing w:after="0"/>
              <w:rPr>
                <w:sz w:val="17"/>
                <w:szCs w:val="17"/>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80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80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2007</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180" w:type="dxa"/>
            <w:vAlign w:val="bottom"/>
          </w:tcPr>
          <w:p>
            <w:pPr>
              <w:spacing w:after="0"/>
              <w:rPr>
                <w:sz w:val="8"/>
                <w:szCs w:val="8"/>
                <w:color w:val="auto"/>
              </w:rPr>
            </w:pPr>
          </w:p>
        </w:tc>
        <w:tc>
          <w:tcPr>
            <w:tcW w:w="1240" w:type="dxa"/>
            <w:vAlign w:val="bottom"/>
            <w:gridSpan w:val="5"/>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rPr>
              <w:t>Latin and</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EMEA</w:t>
            </w:r>
          </w:p>
        </w:tc>
        <w:tc>
          <w:tcPr>
            <w:tcW w:w="260" w:type="dxa"/>
            <w:vAlign w:val="bottom"/>
          </w:tcPr>
          <w:p>
            <w:pPr>
              <w:spacing w:after="0"/>
              <w:rPr>
                <w:sz w:val="8"/>
                <w:szCs w:val="8"/>
                <w:color w:val="auto"/>
              </w:rPr>
            </w:pPr>
          </w:p>
        </w:tc>
        <w:tc>
          <w:tcPr>
            <w:tcW w:w="10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8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Deployment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3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$ 0.1</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Impairment allowance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Current assets of discontinued</w:t>
            </w: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80" w:type="dxa"/>
            <w:vAlign w:val="bottom"/>
            <w:vMerge w:val="continue"/>
            <w:shd w:val="clear" w:color="auto" w:fill="CCEEFF"/>
          </w:tcPr>
          <w:p>
            <w:pPr>
              <w:spacing w:after="0"/>
              <w:rPr>
                <w:sz w:val="14"/>
                <w:szCs w:val="14"/>
                <w:color w:val="auto"/>
              </w:rPr>
            </w:pPr>
          </w:p>
        </w:tc>
        <w:tc>
          <w:tcPr>
            <w:tcW w:w="26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$ 0.1</w:t>
            </w:r>
          </w:p>
        </w:tc>
        <w:tc>
          <w:tcPr>
            <w:tcW w:w="54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40" w:type="dxa"/>
            <w:vAlign w:val="bottom"/>
            <w:tcBorders>
              <w:left w:val="single" w:sz="8" w:color="CCEEFF"/>
            </w:tcBorders>
            <w:gridSpan w:val="3"/>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Impairment allowance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color w:val="auto"/>
              </w:rPr>
              <w:t>Non-current assets of</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80" w:type="dxa"/>
            <w:vAlign w:val="bottom"/>
            <w:vMerge w:val="continue"/>
          </w:tcPr>
          <w:p>
            <w:pPr>
              <w:spacing w:after="0"/>
              <w:rPr>
                <w:sz w:val="14"/>
                <w:szCs w:val="14"/>
                <w:color w:val="auto"/>
              </w:rPr>
            </w:pPr>
          </w:p>
        </w:tc>
        <w:tc>
          <w:tcPr>
            <w:tcW w:w="26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4"/>
                <w:szCs w:val="14"/>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540" w:type="dxa"/>
            <w:vAlign w:val="bottom"/>
            <w:gridSpan w:val="3"/>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Billings in excess of cost on completed</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Current liabilities of</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$ 0.2</w:t>
            </w:r>
          </w:p>
        </w:tc>
        <w:tc>
          <w:tcPr>
            <w:tcW w:w="54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40" w:type="dxa"/>
            <w:vAlign w:val="bottom"/>
            <w:tcBorders>
              <w:left w:val="single" w:sz="8" w:color="CCEEFF"/>
            </w:tcBorders>
            <w:gridSpan w:val="3"/>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93" w:right="199" w:bottom="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5843270</wp:posOffset>
            </wp:positionH>
            <wp:positionV relativeFrom="page">
              <wp:posOffset>88900</wp:posOffset>
            </wp:positionV>
            <wp:extent cx="360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106045</wp:posOffset>
            </wp:positionV>
            <wp:extent cx="360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88900</wp:posOffset>
            </wp:positionV>
            <wp:extent cx="300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106045</wp:posOffset>
            </wp:positionV>
            <wp:extent cx="300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88900</wp:posOffset>
            </wp:positionV>
            <wp:extent cx="291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106045</wp:posOffset>
            </wp:positionV>
            <wp:extent cx="291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page">
              <wp:posOffset>4102100</wp:posOffset>
            </wp:positionH>
            <wp:positionV relativeFrom="page">
              <wp:posOffset>88900</wp:posOffset>
            </wp:positionV>
            <wp:extent cx="222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page">
              <wp:posOffset>4102100</wp:posOffset>
            </wp:positionH>
            <wp:positionV relativeFrom="page">
              <wp:posOffset>106045</wp:posOffset>
            </wp:positionV>
            <wp:extent cx="2228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88900</wp:posOffset>
            </wp:positionV>
            <wp:extent cx="274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106045</wp:posOffset>
            </wp:positionV>
            <wp:extent cx="274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tbl>
      <w:tblPr>
        <w:tblLayout w:type="fixed"/>
        <w:tblInd w:w="1800" w:type="dxa"/>
        <w:tblCellMar>
          <w:top w:w="0" w:type="dxa"/>
          <w:left w:w="0" w:type="dxa"/>
          <w:bottom w:w="0" w:type="dxa"/>
          <w:right w:w="0" w:type="dxa"/>
        </w:tblCellMar>
      </w:tblPr>
      <w:tr>
        <w:trPr>
          <w:trHeight w:val="24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7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of</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$ 0.0</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Acquisitions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summarize the changes in the carrying amounts of goodwill and other finite-life intangible assets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2007,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940" w:type="dxa"/>
            <w:vAlign w:val="bottom"/>
          </w:tcPr>
          <w:p>
            <w:pPr>
              <w:spacing w:after="0"/>
              <w:rPr>
                <w:sz w:val="13"/>
                <w:szCs w:val="13"/>
                <w:color w:val="auto"/>
              </w:rPr>
            </w:pPr>
          </w:p>
        </w:tc>
      </w:tr>
      <w:tr>
        <w:trPr>
          <w:trHeight w:val="135"/>
        </w:trPr>
        <w:tc>
          <w:tcPr>
            <w:tcW w:w="1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Network</w:t>
            </w:r>
          </w:p>
        </w:tc>
        <w:tc>
          <w:tcPr>
            <w:tcW w:w="1940" w:type="dxa"/>
            <w:vAlign w:val="bottom"/>
          </w:tcPr>
          <w:p>
            <w:pPr>
              <w:spacing w:after="0"/>
              <w:rPr>
                <w:sz w:val="11"/>
                <w:szCs w:val="11"/>
                <w:color w:val="auto"/>
              </w:rPr>
            </w:pPr>
          </w:p>
        </w:tc>
      </w:tr>
      <w:tr>
        <w:trPr>
          <w:trHeight w:val="162"/>
        </w:trPr>
        <w:tc>
          <w:tcPr>
            <w:tcW w:w="1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940" w:type="dxa"/>
            <w:vAlign w:val="bottom"/>
          </w:tcPr>
          <w:p>
            <w:pPr>
              <w:spacing w:after="0"/>
              <w:rPr>
                <w:sz w:val="14"/>
                <w:szCs w:val="14"/>
                <w:color w:val="auto"/>
              </w:rPr>
            </w:pPr>
          </w:p>
        </w:tc>
      </w:tr>
      <w:tr>
        <w:trPr>
          <w:trHeight w:val="196"/>
        </w:trPr>
        <w:tc>
          <w:tcPr>
            <w:tcW w:w="19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Goodwill</w:t>
            </w:r>
          </w:p>
        </w:tc>
        <w:tc>
          <w:tcPr>
            <w:tcW w:w="3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2006</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$ 129.9</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MRC acquisition purchase price adjustment</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FIN48 adjustment</w:t>
            </w:r>
          </w:p>
        </w:tc>
        <w:tc>
          <w:tcPr>
            <w:tcW w:w="3340" w:type="dxa"/>
            <w:vAlign w:val="bottom"/>
            <w:tcBorders>
              <w:bottom w:val="single" w:sz="8" w:color="CCEEFF"/>
            </w:tcBorders>
            <w:gridSpan w:val="2"/>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940" w:type="dxa"/>
            <w:vAlign w:val="bottom"/>
          </w:tcPr>
          <w:p>
            <w:pPr>
              <w:spacing w:after="0"/>
              <w:rPr>
                <w:sz w:val="18"/>
                <w:szCs w:val="18"/>
                <w:color w:val="auto"/>
              </w:rPr>
            </w:pPr>
          </w:p>
        </w:tc>
      </w:tr>
      <w:tr>
        <w:trPr>
          <w:trHeight w:val="277"/>
        </w:trPr>
        <w:tc>
          <w:tcPr>
            <w:tcW w:w="19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2007</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130.2</w:t>
            </w:r>
          </w:p>
        </w:tc>
        <w:tc>
          <w:tcPr>
            <w:tcW w:w="200" w:type="dxa"/>
            <w:vAlign w:val="bottom"/>
            <w:tcBorders>
              <w:right w:val="single" w:sz="8" w:color="CCEEFF"/>
            </w:tcBorders>
            <w:shd w:val="clear" w:color="auto" w:fill="CCEEFF"/>
          </w:tcPr>
          <w:p>
            <w:pPr>
              <w:spacing w:after="0"/>
              <w:rPr>
                <w:sz w:val="24"/>
                <w:szCs w:val="24"/>
                <w:color w:val="auto"/>
              </w:rPr>
            </w:pPr>
          </w:p>
        </w:tc>
        <w:tc>
          <w:tcPr>
            <w:tcW w:w="1940" w:type="dxa"/>
            <w:vAlign w:val="bottom"/>
          </w:tcPr>
          <w:p>
            <w:pPr>
              <w:spacing w:after="0"/>
              <w:rPr>
                <w:sz w:val="24"/>
                <w:szCs w:val="24"/>
                <w:color w:val="auto"/>
              </w:rPr>
            </w:pPr>
          </w:p>
        </w:tc>
      </w:tr>
      <w:tr>
        <w:trPr>
          <w:trHeight w:val="696"/>
        </w:trPr>
        <w:tc>
          <w:tcPr>
            <w:tcW w:w="1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75"/>
        </w:trPr>
        <w:tc>
          <w:tcPr>
            <w:tcW w:w="1920" w:type="dxa"/>
            <w:vAlign w:val="bottom"/>
            <w:tcBorders>
              <w:bottom w:val="single" w:sz="8" w:color="010101"/>
            </w:tcBorders>
          </w:tcPr>
          <w:p>
            <w:pPr>
              <w:spacing w:after="0"/>
              <w:rPr>
                <w:sz w:val="24"/>
                <w:szCs w:val="24"/>
                <w:color w:val="auto"/>
              </w:rPr>
            </w:pPr>
          </w:p>
        </w:tc>
        <w:tc>
          <w:tcPr>
            <w:tcW w:w="352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82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2006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2007</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02"/>
        </w:trPr>
        <w:tc>
          <w:tcPr>
            <w:tcW w:w="3020" w:type="dxa"/>
            <w:vAlign w:val="bottom"/>
          </w:tcPr>
          <w:p>
            <w:pPr>
              <w:spacing w:after="0"/>
              <w:rPr>
                <w:sz w:val="8"/>
                <w:szCs w:val="8"/>
                <w:color w:val="auto"/>
              </w:rPr>
            </w:pPr>
          </w:p>
        </w:tc>
        <w:tc>
          <w:tcPr>
            <w:tcW w:w="480" w:type="dxa"/>
            <w:vAlign w:val="bottom"/>
            <w:gridSpan w:val="2"/>
          </w:tcPr>
          <w:p>
            <w:pPr>
              <w:jc w:val="right"/>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8"/>
                <w:szCs w:val="8"/>
                <w:color w:val="auto"/>
              </w:rPr>
            </w:pPr>
          </w:p>
        </w:tc>
        <w:tc>
          <w:tcPr>
            <w:tcW w:w="1060" w:type="dxa"/>
            <w:vAlign w:val="bottom"/>
            <w:gridSpan w:val="4"/>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ind w:right="36"/>
              <w:spacing w:after="0" w:line="102" w:lineRule="exact"/>
              <w:rPr>
                <w:sz w:val="20"/>
                <w:szCs w:val="20"/>
                <w:color w:val="auto"/>
              </w:rPr>
            </w:pPr>
            <w:r>
              <w:rPr>
                <w:rFonts w:ascii="Times New Roman" w:cs="Times New Roman" w:eastAsia="Times New Roman" w:hAnsi="Times New Roman"/>
                <w:sz w:val="11"/>
                <w:szCs w:val="11"/>
                <w:b w:val="1"/>
                <w:bCs w:val="1"/>
                <w:color w:val="auto"/>
              </w:rPr>
              <w:t>Net</w:t>
            </w:r>
          </w:p>
        </w:tc>
        <w:tc>
          <w:tcPr>
            <w:tcW w:w="220" w:type="dxa"/>
            <w:vAlign w:val="bottom"/>
          </w:tcPr>
          <w:p>
            <w:pPr>
              <w:spacing w:after="0"/>
              <w:rPr>
                <w:sz w:val="8"/>
                <w:szCs w:val="8"/>
                <w:color w:val="auto"/>
              </w:rPr>
            </w:pPr>
          </w:p>
        </w:tc>
        <w:tc>
          <w:tcPr>
            <w:tcW w:w="56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8"/>
                <w:szCs w:val="8"/>
                <w:color w:val="auto"/>
              </w:rPr>
            </w:pPr>
          </w:p>
        </w:tc>
        <w:tc>
          <w:tcPr>
            <w:tcW w:w="1040" w:type="dxa"/>
            <w:vAlign w:val="bottom"/>
            <w:gridSpan w:val="4"/>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56"/>
              <w:spacing w:after="0" w:line="102" w:lineRule="exact"/>
              <w:rPr>
                <w:sz w:val="20"/>
                <w:szCs w:val="20"/>
                <w:color w:val="auto"/>
              </w:rPr>
            </w:pPr>
            <w:r>
              <w:rPr>
                <w:rFonts w:ascii="Times New Roman" w:cs="Times New Roman" w:eastAsia="Times New Roman" w:hAnsi="Times New Roman"/>
                <w:sz w:val="11"/>
                <w:szCs w:val="11"/>
                <w:b w:val="1"/>
                <w:bCs w:val="1"/>
                <w:color w:val="auto"/>
              </w:rPr>
              <w:t>Net</w:t>
            </w:r>
          </w:p>
        </w:tc>
        <w:tc>
          <w:tcPr>
            <w:tcW w:w="60" w:type="dxa"/>
            <w:vAlign w:val="bottom"/>
          </w:tcPr>
          <w:p>
            <w:pPr>
              <w:spacing w:after="0"/>
              <w:rPr>
                <w:sz w:val="8"/>
                <w:szCs w:val="8"/>
                <w:color w:val="auto"/>
              </w:rPr>
            </w:pPr>
          </w:p>
        </w:tc>
      </w:tr>
      <w:tr>
        <w:trPr>
          <w:trHeight w:val="162"/>
        </w:trPr>
        <w:tc>
          <w:tcPr>
            <w:tcW w:w="30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4"/>
                <w:szCs w:val="14"/>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Intangible Assets</w:t>
            </w: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$ 10.0</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$ 10.0</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Contracts and Backlog</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r>
      <w:tr>
        <w:trPr>
          <w:trHeight w:val="210"/>
        </w:trPr>
        <w:tc>
          <w:tcPr>
            <w:tcW w:w="3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$0.4 million and $0.7 million for the quarters ended March 31, 2006 and 2007,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Madison Research Corporation</w:t>
      </w:r>
    </w:p>
    <w:p>
      <w:pPr>
        <w:spacing w:after="0" w:line="92" w:lineRule="exact"/>
        <w:rPr>
          <w:sz w:val="20"/>
          <w:szCs w:val="20"/>
          <w:color w:val="auto"/>
        </w:rPr>
      </w:pPr>
    </w:p>
    <w:p>
      <w:pPr>
        <w:ind w:right="240" w:firstLine="360"/>
        <w:spacing w:after="0" w:line="261" w:lineRule="auto"/>
        <w:rPr>
          <w:sz w:val="20"/>
          <w:szCs w:val="20"/>
          <w:color w:val="auto"/>
        </w:rPr>
      </w:pPr>
      <w:r>
        <w:rPr>
          <w:rFonts w:ascii="Times New Roman" w:cs="Times New Roman" w:eastAsia="Times New Roman" w:hAnsi="Times New Roman"/>
          <w:sz w:val="18"/>
          <w:szCs w:val="18"/>
          <w:color w:val="auto"/>
        </w:rPr>
        <w:t>On October 2, 2006 the Company acquired Huntsville, Alabama based Madison Research Technology Corporation (“MRC”) as part of the Company’s Government Network Services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45"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purchase price was approximately $73.8 million, including a working capital adjustment of $4.6 million and transaction costs of $0.2 million, and is subject to certain post-closing adjustments. The Company paid $62.1 million at closing, the working capital adjustment of $4.6 million was paid in</w:t>
      </w:r>
    </w:p>
    <w:p>
      <w:pPr>
        <w:ind w:right="160"/>
        <w:spacing w:after="0" w:line="252" w:lineRule="auto"/>
        <w:rPr>
          <w:sz w:val="20"/>
          <w:szCs w:val="20"/>
          <w:color w:val="auto"/>
        </w:rPr>
      </w:pPr>
      <w:r>
        <w:rPr>
          <w:rFonts w:ascii="Times New Roman" w:cs="Times New Roman" w:eastAsia="Times New Roman" w:hAnsi="Times New Roman"/>
          <w:sz w:val="18"/>
          <w:szCs w:val="18"/>
          <w:color w:val="auto"/>
        </w:rPr>
        <w:t>April 2007 and the remaining $6.9 million was held back to secure the Company’s indemnity rights and will be released, subject to indemnity rights, in installments following 6, 12, and 18 months from the date of close. In April 2007, $1.5 million of the holdback was released and paid to the former shareholders of MRC. The Company entered into a new $85 million credit facility with KeyBank National Association (“KeyBank”) to fund the acquisition, which replaced the Company’s previous credit facility of $15 million. Refer to Note 9 for further discussion. The results of operations of MRC have been included in the Company’s consolidated statement of operations for the period from the acquisition date of October 2, 2006 in the Company’s fourth quarter of 2006.</w:t>
      </w:r>
    </w:p>
    <w:p>
      <w:pPr>
        <w:spacing w:after="0" w:line="55"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supplemental statement of income information on an unaudited pro forma basis as if the acquisition of MRC had occurred on January 1, 2006 and includes adjustments that were directly attributable to the transaction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except per share amounts are in millions):</w:t>
      </w:r>
    </w:p>
    <w:p>
      <w:pPr>
        <w:spacing w:after="0" w:line="14"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35"/>
        </w:trPr>
        <w:tc>
          <w:tcPr>
            <w:tcW w:w="29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2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2006</w:t>
            </w:r>
          </w:p>
        </w:tc>
      </w:tr>
      <w:tr>
        <w:trPr>
          <w:trHeight w:val="183"/>
        </w:trPr>
        <w:tc>
          <w:tcPr>
            <w:tcW w:w="2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 forma revenue</w:t>
            </w:r>
          </w:p>
        </w:tc>
        <w:tc>
          <w:tcPr>
            <w:tcW w:w="28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2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 forma net loss</w:t>
            </w:r>
          </w:p>
        </w:tc>
        <w:tc>
          <w:tcPr>
            <w:tcW w:w="3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6"/>
                <w:szCs w:val="16"/>
                <w:color w:val="auto"/>
              </w:rPr>
            </w:pPr>
          </w:p>
        </w:tc>
      </w:tr>
      <w:tr>
        <w:trPr>
          <w:trHeight w:val="189"/>
        </w:trPr>
        <w:tc>
          <w:tcPr>
            <w:tcW w:w="2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Basic Pro forma net loss per share</w:t>
            </w:r>
          </w:p>
        </w:tc>
        <w:tc>
          <w:tcPr>
            <w:tcW w:w="3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6"/>
                <w:szCs w:val="16"/>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Diluted Pro forma net loss per share</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r>
      <w:tr>
        <w:trPr>
          <w:trHeight w:val="616"/>
        </w:trPr>
        <w:tc>
          <w:tcPr>
            <w:tcW w:w="2960" w:type="dxa"/>
            <w:vAlign w:val="bottom"/>
          </w:tcPr>
          <w:p>
            <w:pPr>
              <w:spacing w:after="0"/>
              <w:rPr>
                <w:sz w:val="24"/>
                <w:szCs w:val="24"/>
                <w:color w:val="auto"/>
              </w:rPr>
            </w:pPr>
          </w:p>
        </w:tc>
        <w:tc>
          <w:tcPr>
            <w:tcW w:w="280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Acquisition Consideration</w:t>
      </w:r>
    </w:p>
    <w:p>
      <w:pPr>
        <w:spacing w:after="0" w:line="36"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A summary of the contingent acquisition consideration as of December 31, 2006 and March 31, 2007 is summarized in the following table. The balance as of December 31,</w:t>
      </w:r>
    </w:p>
    <w:p>
      <w:pPr>
        <w:sectPr>
          <w:pgSz w:w="11900" w:h="16838" w:orient="portrait"/>
          <w:cols w:equalWidth="0" w:num="1">
            <w:col w:w="11460"/>
          </w:cols>
          <w:pgMar w:left="240" w:top="202" w:right="199" w:bottom="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2006 and March 31, 2007 is comprised of $9.8 million and $8.9 million, respectively, in the accrued contingent acquisition consideration and $1.8 million and $2.8 million, respectively, in other long term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Contingent Acquisition Consideration</w:t>
      </w:r>
    </w:p>
    <w:p>
      <w:pPr>
        <w:spacing w:after="0" w:line="128" w:lineRule="exact"/>
        <w:rPr>
          <w:sz w:val="20"/>
          <w:szCs w:val="20"/>
          <w:color w:val="auto"/>
        </w:rPr>
      </w:pPr>
    </w:p>
    <w:tbl>
      <w:tblPr>
        <w:tblLayout w:type="fixed"/>
        <w:tblInd w:w="192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MRC</w:t>
            </w:r>
          </w:p>
        </w:tc>
      </w:tr>
      <w:tr>
        <w:trPr>
          <w:trHeight w:val="183"/>
        </w:trPr>
        <w:tc>
          <w:tcPr>
            <w:tcW w:w="7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as of December 31, 2006</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$ 11.6</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0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payable accrual</w:t>
            </w:r>
          </w:p>
        </w:tc>
        <w:tc>
          <w:tcPr>
            <w:tcW w:w="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6"/>
                <w:szCs w:val="16"/>
                <w:color w:val="auto"/>
              </w:rPr>
            </w:pPr>
          </w:p>
        </w:tc>
      </w:tr>
      <w:tr>
        <w:trPr>
          <w:trHeight w:val="189"/>
        </w:trPr>
        <w:tc>
          <w:tcPr>
            <w:tcW w:w="70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Payments</w:t>
            </w:r>
          </w:p>
        </w:tc>
        <w:tc>
          <w:tcPr>
            <w:tcW w:w="5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0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as of March 31, 2007</w:t>
            </w: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$ 11.7</w:t>
            </w:r>
          </w:p>
        </w:tc>
        <w:tc>
          <w:tcPr>
            <w:tcW w:w="60" w:type="dxa"/>
            <w:vAlign w:val="bottom"/>
          </w:tcPr>
          <w:p>
            <w:pPr>
              <w:spacing w:after="0"/>
              <w:rPr>
                <w:sz w:val="15"/>
                <w:szCs w:val="15"/>
                <w:color w:val="auto"/>
              </w:rPr>
            </w:pP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Comprehensive Income (Loss)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and other gains and losses affecting shareholders’ equity that, under accounting principles generally accepted in the United States of America are excluded from net income (loss).</w:t>
      </w:r>
    </w:p>
    <w:p>
      <w:pPr>
        <w:sectPr>
          <w:pgSz w:w="11900" w:h="16838" w:orient="portrait"/>
          <w:cols w:equalWidth="0" w:num="1">
            <w:col w:w="11400"/>
          </w:cols>
          <w:pgMar w:left="240" w:top="121" w:right="259" w:bottom="0" w:gutter="0" w:footer="0" w:header="0"/>
        </w:sectPr>
      </w:pP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components of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-119380</wp:posOffset>
            </wp:positionV>
            <wp:extent cx="482790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7905" cy="146050"/>
                    </a:xfrm>
                    <a:prstGeom prst="rect">
                      <a:avLst/>
                    </a:prstGeom>
                    <a:noFill/>
                  </pic:spPr>
                </pic:pic>
              </a:graphicData>
            </a:graphic>
          </wp:anchor>
        </w:drawing>
      </w:r>
    </w:p>
    <w:p>
      <w:pPr>
        <w:spacing w:after="0" w:line="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Foreign currency translation adjustment/reclassification</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-130810</wp:posOffset>
            </wp:positionV>
            <wp:extent cx="482790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7905" cy="163195"/>
                    </a:xfrm>
                    <a:prstGeom prst="rect">
                      <a:avLst/>
                    </a:prstGeom>
                    <a:noFill/>
                  </pic:spPr>
                </pic:pic>
              </a:graphicData>
            </a:graphic>
          </wp:anchor>
        </w:drawing>
      </w:r>
    </w:p>
    <w:p>
      <w:pPr>
        <w:spacing w:after="0" w:line="304" w:lineRule="exact"/>
        <w:rPr>
          <w:sz w:val="20"/>
          <w:szCs w:val="20"/>
          <w:color w:val="auto"/>
        </w:rPr>
      </w:pPr>
    </w:p>
    <w:p>
      <w:pPr>
        <w:ind w:right="2940"/>
        <w:spacing w:after="0" w:line="378" w:lineRule="auto"/>
        <w:rPr>
          <w:sz w:val="20"/>
          <w:szCs w:val="20"/>
          <w:color w:val="auto"/>
        </w:rPr>
      </w:pPr>
      <w:r>
        <w:rPr>
          <w:rFonts w:ascii="Times New Roman" w:cs="Times New Roman" w:eastAsia="Times New Roman" w:hAnsi="Times New Roman"/>
          <w:sz w:val="18"/>
          <w:szCs w:val="18"/>
          <w:b w:val="1"/>
          <w:bCs w:val="1"/>
          <w:color w:val="auto"/>
        </w:rPr>
        <w:t>Note 9. Notes Payable and Other Financing Arrangements (a)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For the Three</w:t>
      </w:r>
    </w:p>
    <w:p>
      <w:pPr>
        <w:jc w:val="center"/>
        <w:ind w:right="2000"/>
        <w:spacing w:after="0" w:line="201" w:lineRule="auto"/>
        <w:rPr>
          <w:sz w:val="20"/>
          <w:szCs w:val="20"/>
          <w:color w:val="auto"/>
        </w:rPr>
      </w:pPr>
      <w:r>
        <w:rPr>
          <w:rFonts w:ascii="Times New Roman" w:cs="Times New Roman" w:eastAsia="Times New Roman" w:hAnsi="Times New Roman"/>
          <w:sz w:val="14"/>
          <w:szCs w:val="14"/>
          <w:b w:val="1"/>
          <w:bCs w:val="1"/>
          <w:color w:val="auto"/>
        </w:rPr>
        <w:t>Months Ended</w:t>
      </w:r>
    </w:p>
    <w:p>
      <w:pPr>
        <w:jc w:val="center"/>
        <w:ind w:right="200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372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20" w:hanging="114"/>
        <w:spacing w:after="0"/>
        <w:tabs>
          <w:tab w:leader="none" w:pos="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 (19.9)</w:t>
      </w:r>
    </w:p>
    <w:p>
      <w:pPr>
        <w:spacing w:after="0" w:line="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auto"/>
        </w:rPr>
        <w:t>$ 0.3</w:t>
      </w:r>
      <w:r>
        <w:rPr>
          <w:sz w:val="20"/>
          <w:szCs w:val="20"/>
          <w:color w:val="auto"/>
        </w:rPr>
        <w:tab/>
      </w:r>
      <w:r>
        <w:rPr>
          <w:rFonts w:ascii="Times New Roman" w:cs="Times New Roman" w:eastAsia="Times New Roman" w:hAnsi="Times New Roman"/>
          <w:sz w:val="18"/>
          <w:szCs w:val="18"/>
          <w:u w:val="single" w:color="auto"/>
          <w:color w:val="auto"/>
        </w:rPr>
        <w:t>$ (19.9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37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977" w:lineRule="exact"/>
        <w:rPr>
          <w:sz w:val="20"/>
          <w:szCs w:val="20"/>
          <w:color w:val="auto"/>
        </w:rPr>
      </w:pPr>
    </w:p>
    <w:p>
      <w:pPr>
        <w:sectPr>
          <w:pgSz w:w="11900" w:h="16838" w:orient="portrait"/>
          <w:cols w:equalWidth="0" w:num="2">
            <w:col w:w="7520" w:space="720"/>
            <w:col w:w="3160"/>
          </w:cols>
          <w:pgMar w:left="240" w:top="121" w:right="259" w:bottom="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On March 16, 2005, the Company entered into a credit agreement with KeyBank National Association (“KeyBank”) to provide a $15.0 million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KeyBank was designated as the sole arranger and sole book manager. The facility had a three-year term and could have been expanded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facility. The Company used the facility for general corporate purposes and to fund acquisitions. On October 2, 2006, the Company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credit agreement with Key Bank to provide an $85 million senior credit facility, which replaced the Company’s existing $15 million senior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99"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18"/>
          <w:szCs w:val="18"/>
          <w:color w:val="auto"/>
        </w:rPr>
        <w:t>The facility has a 5 year term with principal due in 2011 and interest payable on a monthly basis. At the Company’s option, interest is payable at the London Interbank Offer Rate plus 1.75-3.50%, or at the prime rate plus 0.30-0.75%, with either option adjusted quarterly based on the Company’s total net debt-to-EBITDA ratio. The Company used the facility to fund its acquisition of Madison Research Corporation (MRC) and for general corporate purposes. The terms of the new credit agreement require the Company to provide certain customary covenants for a credit agreement, including certain financial covenants, computed as defined by the terms of the agreement. These financial covenants include a maximum total net debt leverage ratio of 4.00 to 1.00 as of March 31, 2007, 3.75 as of June 30, 2007,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3.50 as of September 30, 2007 and thereafter, a minimum liquidity ratio of 1.35 to 1.00, and a minimum fixed charge coverage ratio of 1.10 to 1.00. The facility is collateralized by all the assets of the Company.</w:t>
      </w:r>
    </w:p>
    <w:p>
      <w:pPr>
        <w:spacing w:after="0" w:line="54"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The facility contains customary events of default, including payment defaults, breaches of representations and warranties, and covenant defaults. As of March 31, 2007, the Company was in technical default of this agreement as it had not yet filed its Form 10-K and 2006 audited financials statements. On April 6, 2007, the Company entered into an amendment to the credit agreement whereby Key Bank waived this technical default and provided an extension through April 30, 2007 for filing our report on Form 10-K and 2006 audited financial statements. On June 1, 2007, the Company entered into a second amendment to the credit agreement whereby Key Bank extended the original waiver for filing our report on Form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resulting from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 On September 28, 2007, the Company received an additional waiver from Key Bank extending the waiver for filing our quarterly unaudited financial statements for the fiscal quarters ended March 31, 2007 and June 30, 2007 through October 19, 2007 and changing the minimum liquidity ratio for the period ended September 30, 2007 from 1.35 to 1.10.</w:t>
      </w:r>
    </w:p>
    <w:p>
      <w:pPr>
        <w:spacing w:after="0" w:line="56"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As of March 31, 2007, the Company’s outstanding balance on the facility was $51.0 million and the weighted average interest rate was 7.57%. As of September 28, 2007, the Company’s outstanding net debt was zero as proceeds from the divestitures of our wireless network business were used to pay down the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Financing</w:t>
      </w:r>
    </w:p>
    <w:p>
      <w:pPr>
        <w:spacing w:after="0" w:line="81"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March 31, 2007, $0.2 million was outstanding on this financing.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Significant Customers</w:t>
      </w:r>
    </w:p>
    <w:p>
      <w:pPr>
        <w:spacing w:after="0" w:line="81"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key customers from continuing operations for the periods presented and the percentage of net sales made to such customers (in millions):</w:t>
      </w:r>
    </w:p>
    <w:p>
      <w:pPr>
        <w:spacing w:after="0" w:line="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Key Customers</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4620" w:type="dxa"/>
            <w:vAlign w:val="bottom"/>
            <w:gridSpan w:val="3"/>
            <w:vMerge w:val="continue"/>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2006</w:t>
            </w:r>
          </w:p>
        </w:tc>
        <w:tc>
          <w:tcPr>
            <w:tcW w:w="16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U.S. Navy</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rPr>
              <w:t>$ 7.4</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U.S. Army</w:t>
            </w:r>
          </w:p>
        </w:tc>
        <w:tc>
          <w:tcPr>
            <w:tcW w:w="620" w:type="dxa"/>
            <w:vAlign w:val="bottom"/>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$ 0.9</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7"/>
                <w:szCs w:val="17"/>
                <w:color w:val="auto"/>
              </w:rPr>
            </w:pPr>
          </w:p>
        </w:tc>
        <w:tc>
          <w:tcPr>
            <w:tcW w:w="1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FMS</w:t>
            </w:r>
          </w:p>
        </w:tc>
        <w:tc>
          <w:tcPr>
            <w:tcW w:w="620" w:type="dxa"/>
            <w:vAlign w:val="bottom"/>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0" w:gutter="0" w:footer="0" w:header="0"/>
          <w:type w:val="continuous"/>
        </w:sectPr>
      </w:pPr>
    </w:p>
    <w:bookmarkStart w:id="12" w:name="page13"/>
    <w:bookmarkEnd w:id="12"/>
    <w:p>
      <w:pPr>
        <w:spacing w:after="0" w:line="31"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The customers are all part of our Government Services segment. Our top five customers accounted for approximately 47% and 60% of our total revenue for the three months ended March 31, 2006 and March 31, 2007,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94"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The Company has historically organized its business along service lines to include three reportable segments: Wireless Network Services, Enterprise Network Services and Government Network Services. The Wireless Network Services segment was discontinued in the first quarter of 2007 see Note 6. Certain income and charges that are not allocated to segments in the Company’s management reports because they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are not considered in evaluating the segments’ operating performance are categorized as reconciling items in the table below. Unallocated charges are related to corporate expenses previously allocated to the discontinued wireless network services segment, share based compensation charges and related tax adjustments, and expenses related to the stock option investigation that was completed in September 2007. Revenues and operating income generated by the Company’s reporting segments for the three months ended March 31, 2006 and March 31, 2007 are as follows (in millions).</w:t>
      </w:r>
    </w:p>
    <w:p>
      <w:pPr>
        <w:spacing w:after="0" w:line="1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40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880" w:type="dxa"/>
        <w:tblCellMar>
          <w:top w:w="0" w:type="dxa"/>
          <w:left w:w="0" w:type="dxa"/>
          <w:bottom w:w="0" w:type="dxa"/>
          <w:right w:w="0" w:type="dxa"/>
        </w:tblCellMar>
      </w:tblPr>
      <w:tr>
        <w:trPr>
          <w:trHeight w:val="136"/>
        </w:trPr>
        <w:tc>
          <w:tcPr>
            <w:tcW w:w="61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r>
      <w:tr>
        <w:trPr>
          <w:trHeight w:val="183"/>
        </w:trPr>
        <w:tc>
          <w:tcPr>
            <w:tcW w:w="6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57"/>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61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Government Network Services</w:t>
            </w: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3"/>
        </w:trPr>
        <w:tc>
          <w:tcPr>
            <w:tcW w:w="6140" w:type="dxa"/>
            <w:vAlign w:val="bottom"/>
            <w:tcBorders>
              <w:bottom w:val="single" w:sz="8" w:color="CCEEFF"/>
            </w:tcBorders>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revenues from continuing operations</w:t>
            </w:r>
          </w:p>
        </w:tc>
        <w:tc>
          <w:tcPr>
            <w:tcW w:w="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$ 32.9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r>
      <w:tr>
        <w:trPr>
          <w:trHeight w:val="237"/>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57"/>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r>
      <w:tr>
        <w:trPr>
          <w:trHeight w:val="189"/>
        </w:trPr>
        <w:tc>
          <w:tcPr>
            <w:tcW w:w="61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Government Network Services</w:t>
            </w:r>
          </w:p>
        </w:tc>
        <w:tc>
          <w:tcPr>
            <w:tcW w:w="5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1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Reconciling items</w:t>
            </w:r>
          </w:p>
        </w:tc>
        <w:tc>
          <w:tcPr>
            <w:tcW w:w="6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6"/>
                <w:szCs w:val="16"/>
                <w:color w:val="auto"/>
              </w:rPr>
            </w:pPr>
          </w:p>
        </w:tc>
        <w:tc>
          <w:tcPr>
            <w:tcW w:w="6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r>
      <w:tr>
        <w:trPr>
          <w:trHeight w:val="183"/>
        </w:trPr>
        <w:tc>
          <w:tcPr>
            <w:tcW w:w="6140" w:type="dxa"/>
            <w:vAlign w:val="bottom"/>
            <w:tcBorders>
              <w:top w:val="single" w:sz="8" w:color="CCEEFF"/>
              <w:bottom w:val="single" w:sz="8" w:color="CCEEFF"/>
            </w:tcBorders>
            <w:shd w:val="clear" w:color="auto" w:fill="CCEEFF"/>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loss from continuing operations</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5"/>
              </w:rPr>
              <w:t>$ (1.7</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 (3.3</w:t>
            </w:r>
          </w:p>
        </w:tc>
        <w:tc>
          <w:tcPr>
            <w:tcW w:w="1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previous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77"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Through March 31, 2007, the Company had received notices from the holders to convert an aggregate number of 80,000 shares of Series B Convertible Preferred Stock into an aggregate 8,000,000 shares of the Company’s Common Stock. On March 31, 2007, the total liquidation preference equaled $5.0 million.</w:t>
      </w:r>
    </w:p>
    <w:p>
      <w:pPr>
        <w:spacing w:after="0" w:line="68"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18"/>
          <w:szCs w:val="18"/>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$0.1 million for the three months ended March 30, 2006 and 2007, is reflected in the statements of operations.</w:t>
      </w:r>
    </w:p>
    <w:p>
      <w:pPr>
        <w:spacing w:after="0" w:line="68"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TLA in January 2005, the Company assumed certain facility lease obligations for a facility owned by the previous shareholders. The lease expense, which approximates $0.2 million for the three months ended March 31, 2006 and 2007, is reflected in continuing operations in the consolidated statements of operations.</w:t>
      </w:r>
    </w:p>
    <w:p>
      <w:pPr>
        <w:spacing w:after="0" w:line="68"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as of July 31, 2007, Massih Tayebi owns or controls approximately 8.2% of the total voting power of the Company’s capital stock. He is also the brother of Masood Tayebi, who was the Company’s Chairman of the Board of Directors until March 6, 2007. Masood Tayebi had no personal financial interest in the transaction and has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8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would have resulted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w:t>
      </w:r>
    </w:p>
    <w:p>
      <w:pPr>
        <w:sectPr>
          <w:pgSz w:w="11900" w:h="16869" w:orient="portrait"/>
          <w:cols w:equalWidth="0" w:num="1">
            <w:col w:w="11400"/>
          </w:cols>
          <w:pgMar w:left="240" w:top="121" w:right="259" w:bottom="0" w:gutter="0" w:footer="0" w:header="0"/>
        </w:sectPr>
      </w:pPr>
    </w:p>
    <w:bookmarkStart w:id="13" w:name="page14"/>
    <w:bookmarkEnd w:id="13"/>
    <w:p>
      <w:pPr>
        <w:ind w:right="440"/>
        <w:spacing w:after="0" w:line="282" w:lineRule="auto"/>
        <w:rPr>
          <w:sz w:val="20"/>
          <w:szCs w:val="20"/>
          <w:color w:val="auto"/>
        </w:rPr>
      </w:pPr>
      <w:r>
        <w:rPr>
          <w:rFonts w:ascii="Times New Roman" w:cs="Times New Roman" w:eastAsia="Times New Roman" w:hAnsi="Times New Roman"/>
          <w:sz w:val="18"/>
          <w:szCs w:val="18"/>
          <w:color w:val="auto"/>
        </w:rPr>
        <w:t>The remaining note receivable balance of $9.5 million which included accrued interest through December 29, 2006, was paid in full in on December 29,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Securities Litigation</w:t>
      </w:r>
    </w:p>
    <w:p>
      <w:pPr>
        <w:spacing w:after="0" w:line="121"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Initial Public Offering Securities Litigation</w:t>
      </w:r>
      <w:r>
        <w:rPr>
          <w:rFonts w:ascii="Times New Roman" w:cs="Times New Roman" w:eastAsia="Times New Roman" w:hAnsi="Times New Roman"/>
          <w:sz w:val="18"/>
          <w:szCs w:val="18"/>
          <w:color w:val="auto"/>
        </w:rPr>
        <w:t>, Case No. 01-CV-4779. In the amended complaint, the plaintiffs allege that the Company, certain of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7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The court has not yet set a deadline for the plaintiffs to file amended complaints in the other IPO lawsuits. The Company is covered by a claims-made liability insurance policy which it believes will satisfy any potential liability of the Company under this settlement. Due to the inherent uncertainties of litigation, and because the settlement may not receive final approval from the Court, the ultimate outcome of this matter cannot be predicted. In accordance with FASB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xml:space="preserve"> the Company believes any contingent liability related to this claim is not probable or estimable and therefore no amounts have been accrued in regards to this matter.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2004 Securities Litigation</w:t>
      </w:r>
    </w:p>
    <w:p>
      <w:pPr>
        <w:spacing w:after="0" w:line="121"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Litigation, </w:t>
      </w:r>
      <w:r>
        <w:rPr>
          <w:rFonts w:ascii="Times New Roman" w:cs="Times New Roman" w:eastAsia="Times New Roman" w:hAnsi="Times New Roman"/>
          <w:sz w:val="18"/>
          <w:szCs w:val="18"/>
          <w:color w:val="auto"/>
        </w:rPr>
        <w:t>Master File No. 04CV1589-JAH. Plaintiffs filed a First Amended Consolidated Class Action Complaint on April 1, 2005.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86"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2004, two derivative lawsuits were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and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were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w:t>
      </w:r>
    </w:p>
    <w:p>
      <w:pPr>
        <w:sectPr>
          <w:pgSz w:w="11900" w:h="16838" w:orient="portrait"/>
          <w:cols w:equalWidth="0" w:num="1">
            <w:col w:w="11420"/>
          </w:cols>
          <w:pgMar w:left="240" w:top="121" w:right="239" w:bottom="0" w:gutter="0" w:footer="0" w:header="0"/>
        </w:sectPr>
      </w:pPr>
    </w:p>
    <w:bookmarkStart w:id="14" w:name="page15"/>
    <w:bookmarkEnd w:id="14"/>
    <w:p>
      <w:pPr>
        <w:spacing w:after="0" w:line="255" w:lineRule="auto"/>
        <w:rPr>
          <w:sz w:val="20"/>
          <w:szCs w:val="20"/>
          <w:color w:val="auto"/>
        </w:rPr>
      </w:pPr>
      <w:r>
        <w:rPr>
          <w:rFonts w:ascii="Times New Roman" w:cs="Times New Roman" w:eastAsia="Times New Roman" w:hAnsi="Times New Roman"/>
          <w:sz w:val="18"/>
          <w:szCs w:val="18"/>
          <w:color w:val="auto"/>
        </w:rPr>
        <w:t>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the Company, along with any remaining individual defendant found subject to the court’s jurisdiction, may again move to dismiss the complaint as to them.</w:t>
      </w:r>
    </w:p>
    <w:p>
      <w:pPr>
        <w:spacing w:after="0" w:line="77"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In April 2007, another derivative complaint was filed in the United States District Court for the Southern District of California, Hameed v. Tayebi, 07-CV-0680 BTM(RBB) (the “Hameed Action”), against several of the Company’s current and former officers and directors. The allegations in this new derivative complaint mirror the amended allegations in the 2004 federal derivative action. Pursuant to a Court order and agreement between the parties, the defendants need not respond to the complaint in the Hameed 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77"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7"/>
          <w:szCs w:val="17"/>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Times New Roman" w:cs="Times New Roman" w:eastAsia="Times New Roman" w:hAnsi="Times New Roman"/>
          <w:sz w:val="17"/>
          <w:szCs w:val="17"/>
          <w:i w:val="1"/>
          <w:iCs w:val="1"/>
          <w:color w:val="auto"/>
        </w:rPr>
        <w:t>In re Wireless Facilities,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Derivative Litigation, </w:t>
      </w:r>
      <w:r>
        <w:rPr>
          <w:rFonts w:ascii="Times New Roman" w:cs="Times New Roman" w:eastAsia="Times New Roman" w:hAnsi="Times New Roman"/>
          <w:sz w:val="17"/>
          <w:szCs w:val="17"/>
          <w:color w:val="auto"/>
        </w:rPr>
        <w:t>California Superior Court, San Diego County, Lead Case No. GIC 834253. The plaintiffs filed a Consolidated Shareholder Derivative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Securities Litigation</w:t>
      </w:r>
    </w:p>
    <w:p>
      <w:pPr>
        <w:spacing w:after="0" w:line="121"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2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March 31, 2007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81"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7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On May 3, 2007, the Company announced that it had a filed a lawsuit against a former employee, Vencent Donlan, who previously served as its stock option administrator and left the Company in mid-2004, and his spouse. The lawsuit seeks to recover damages resulting from the theft by Donlan of Company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The Company had promptly reported this discovery to the SEC in March 2007 when the theft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w:t>
      </w:r>
    </w:p>
    <w:p>
      <w:pPr>
        <w:sectPr>
          <w:pgSz w:w="11900" w:h="16838" w:orient="portrait"/>
          <w:cols w:equalWidth="0" w:num="1">
            <w:col w:w="11400"/>
          </w:cols>
          <w:pgMar w:left="240" w:top="121" w:right="259" w:bottom="77"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77" w:gutter="0" w:footer="0" w:header="0"/>
          <w:type w:val="continuous"/>
        </w:sectPr>
      </w:pPr>
    </w:p>
    <w:bookmarkStart w:id="15" w:name="page16"/>
    <w:bookmarkEnd w:id="15"/>
    <w:p>
      <w:pPr>
        <w:ind w:right="260"/>
        <w:spacing w:after="0" w:line="282" w:lineRule="auto"/>
        <w:rPr>
          <w:sz w:val="20"/>
          <w:szCs w:val="20"/>
          <w:color w:val="auto"/>
        </w:rPr>
      </w:pPr>
      <w:r>
        <w:rPr>
          <w:rFonts w:ascii="Times New Roman" w:cs="Times New Roman" w:eastAsia="Times New Roman" w:hAnsi="Times New Roman"/>
          <w:sz w:val="18"/>
          <w:szCs w:val="18"/>
          <w:color w:val="auto"/>
        </w:rPr>
        <w:t>The U.S. Attorney’s Office indicted Donlan for the theft and he plead guilty to federal criminal charges. The Company has cooperated with, and intends to continue to cooperate with both the SEC and the U.S. Attorney’s Office on this matter and otherwise.</w:t>
      </w:r>
    </w:p>
    <w:p>
      <w:pPr>
        <w:spacing w:after="0" w:line="54"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failure to successfully consummate acquisitions or integrate acquired operations; the rate of growth of adoption of WLAN and wireless security systems by enterprises; and competition in the marketplace which could reduce revenues and profit margins.</w:t>
      </w:r>
    </w:p>
    <w:p>
      <w:pPr>
        <w:spacing w:after="0" w:line="8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72"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Certain of the information set forth herein, including costs and expenses that exclude the impact of stock compensation expense and amortization costs of purchased intangibles in 2006 and 2007,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77" w:lineRule="exact"/>
        <w:rPr>
          <w:sz w:val="20"/>
          <w:szCs w:val="20"/>
          <w:color w:val="auto"/>
        </w:rPr>
      </w:pPr>
    </w:p>
    <w:p>
      <w:pPr>
        <w:ind w:right="20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2006 and other reports and filings made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Structure</w:t>
      </w:r>
    </w:p>
    <w:p>
      <w:pPr>
        <w:spacing w:after="0" w:line="121"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18"/>
          <w:szCs w:val="18"/>
          <w:color w:val="auto"/>
        </w:rPr>
        <w:t>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Former Operating Segments</w:t>
      </w:r>
    </w:p>
    <w:p>
      <w:pPr>
        <w:spacing w:after="0" w:line="121"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In 2006, we had three operating segments which consisted of our Wireless Network Services (“WNS”) segment, our Enterprise Network Services (“ENS”) segment, and our Government Network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segment, also known as WFI Government Services, Inc. In the first quarter of 2007 we discontinued the WNS segment and all financial information related to this segment has been presented as discontinued operations. For additional information regarding our operating segments, see Note 11 of Notes to Consolidated Financial Statements.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Wireless Network Services Segment</w:t>
      </w:r>
    </w:p>
    <w:p>
      <w:pPr>
        <w:spacing w:after="0" w:line="121" w:lineRule="exact"/>
        <w:rPr>
          <w:sz w:val="20"/>
          <w:szCs w:val="20"/>
          <w:color w:val="auto"/>
        </w:rPr>
      </w:pPr>
    </w:p>
    <w:p>
      <w:pPr>
        <w:ind w:right="840" w:firstLine="360"/>
        <w:spacing w:after="0" w:line="282" w:lineRule="auto"/>
        <w:rPr>
          <w:sz w:val="20"/>
          <w:szCs w:val="20"/>
          <w:color w:val="auto"/>
        </w:rPr>
      </w:pPr>
      <w:r>
        <w:rPr>
          <w:rFonts w:ascii="Times New Roman" w:cs="Times New Roman" w:eastAsia="Times New Roman" w:hAnsi="Times New Roman"/>
          <w:sz w:val="18"/>
          <w:szCs w:val="18"/>
          <w:color w:val="auto"/>
        </w:rPr>
        <w:t>Our Wireless Network Services segment historically consisted of two primary services: Wireless Engineering Services and Wireless Network Deployment Services.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Wireless Engineering Services</w:t>
      </w:r>
    </w:p>
    <w:p>
      <w:pPr>
        <w:spacing w:after="0" w:line="119" w:lineRule="exact"/>
        <w:rPr>
          <w:sz w:val="20"/>
          <w:szCs w:val="20"/>
          <w:color w:val="auto"/>
        </w:rPr>
      </w:pPr>
    </w:p>
    <w:p>
      <w:pPr>
        <w:ind w:right="280" w:firstLine="360"/>
        <w:spacing w:after="0" w:line="258" w:lineRule="auto"/>
        <w:rPr>
          <w:sz w:val="20"/>
          <w:szCs w:val="20"/>
          <w:color w:val="auto"/>
        </w:rPr>
      </w:pPr>
      <w:r>
        <w:rPr>
          <w:rFonts w:ascii="Times New Roman" w:cs="Times New Roman" w:eastAsia="Times New Roman" w:hAnsi="Times New Roman"/>
          <w:sz w:val="18"/>
          <w:szCs w:val="18"/>
          <w:color w:val="auto"/>
        </w:rPr>
        <w:t>Wireless Engineering Services (which was sold in June 2007 and has been reflected as discontinued operations) provided network engineering and business consulting services for all pre-deployment planning for wireless carriers, including technology assessment, market analysis, and business plan development. This service area studied and analyzed the traffic patterns, population density, and topography and propagation environment in each market under consideration. It analyzed the financial, engineering, competitive and technology issues applicable to a proposed technology or network deployment project.</w:t>
      </w:r>
    </w:p>
    <w:p>
      <w:pPr>
        <w:sectPr>
          <w:pgSz w:w="11900" w:h="16838" w:orient="portrait"/>
          <w:cols w:equalWidth="0" w:num="1">
            <w:col w:w="11400"/>
          </w:cols>
          <w:pgMar w:left="240" w:top="364" w:right="259" w:bottom="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18"/>
          <w:szCs w:val="18"/>
          <w:i w:val="1"/>
          <w:iCs w:val="1"/>
          <w:color w:val="auto"/>
        </w:rPr>
        <w:t>Wireless Deployment Services</w:t>
      </w:r>
    </w:p>
    <w:p>
      <w:pPr>
        <w:spacing w:after="0" w:line="119" w:lineRule="exact"/>
        <w:rPr>
          <w:sz w:val="20"/>
          <w:szCs w:val="20"/>
          <w:color w:val="auto"/>
        </w:rPr>
      </w:pPr>
    </w:p>
    <w:p>
      <w:pPr>
        <w:jc w:val="both"/>
        <w:ind w:right="140" w:firstLine="360"/>
        <w:spacing w:after="0" w:line="266" w:lineRule="auto"/>
        <w:rPr>
          <w:sz w:val="20"/>
          <w:szCs w:val="20"/>
          <w:color w:val="auto"/>
        </w:rPr>
      </w:pPr>
      <w:r>
        <w:rPr>
          <w:rFonts w:ascii="Times New Roman" w:cs="Times New Roman" w:eastAsia="Times New Roman" w:hAnsi="Times New Roman"/>
          <w:sz w:val="18"/>
          <w:szCs w:val="18"/>
          <w:color w:val="auto"/>
        </w:rPr>
        <w:t>Wireless Deployment Services (which was sold in July 2007 and has been reflected as discontinued operations) provided a range of services for the full design and deployment of wireless networks carrier customers. Such services included: Radio Frequency Engineering; Spectrum Relocation; Fixed Network Engineering; Site Development; and Installation and Optimization Services.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Government Network Services Segment</w:t>
      </w:r>
    </w:p>
    <w:p>
      <w:pPr>
        <w:spacing w:after="0" w:line="121" w:lineRule="exact"/>
        <w:rPr>
          <w:sz w:val="20"/>
          <w:szCs w:val="20"/>
          <w:color w:val="auto"/>
        </w:rPr>
      </w:pPr>
    </w:p>
    <w:p>
      <w:pPr>
        <w:jc w:val="both"/>
        <w:ind w:right="160" w:firstLine="360"/>
        <w:spacing w:after="0" w:line="282" w:lineRule="auto"/>
        <w:rPr>
          <w:sz w:val="20"/>
          <w:szCs w:val="20"/>
          <w:color w:val="auto"/>
        </w:rPr>
      </w:pPr>
      <w:r>
        <w:rPr>
          <w:rFonts w:ascii="Times New Roman" w:cs="Times New Roman" w:eastAsia="Times New Roman" w:hAnsi="Times New Roman"/>
          <w:sz w:val="18"/>
          <w:szCs w:val="18"/>
          <w:color w:val="auto"/>
        </w:rPr>
        <w:t>Our Government Network Services segment primarily serves the Federal Department of Defense and Federal Information Technology and Engineering services markets. These markets include the following:</w:t>
      </w:r>
    </w:p>
    <w:p>
      <w:pPr>
        <w:spacing w:after="0" w:line="54" w:lineRule="exact"/>
        <w:rPr>
          <w:sz w:val="20"/>
          <w:szCs w:val="20"/>
          <w:color w:val="auto"/>
        </w:rPr>
      </w:pPr>
    </w:p>
    <w:p>
      <w:pPr>
        <w:ind w:left="500" w:hanging="13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life cycle extension of legacy weapons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command and control systems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engineering and other services at military weapons and targets ranges, and,</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deployment, integration and management of communications and information networks.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Enterprise Network Services Segment</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Our Enterprise Network Services segment is primarily focused on state, local, and municipal government and commercial customers. We provide system design, deployment, integration, monitoring and support services for security systems and other enterprise networks. These services relate to applications such as total facility monitoring and installation of building security, access control, video surveillance, temperature control and fire alarm. We provide services that combine such systems and offer integrated solutions on an Ethernet-based platform. We also offer solutions that combine voice, data, electronic security and building automation systems with fixed or wireless connectivity 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Transformation</w:t>
      </w:r>
    </w:p>
    <w:p>
      <w:pPr>
        <w:spacing w:after="0" w:line="121" w:lineRule="exact"/>
        <w:rPr>
          <w:sz w:val="20"/>
          <w:szCs w:val="20"/>
          <w:color w:val="auto"/>
        </w:rPr>
      </w:pPr>
    </w:p>
    <w:p>
      <w:pPr>
        <w:ind w:right="620" w:firstLine="360"/>
        <w:spacing w:after="0" w:line="282" w:lineRule="auto"/>
        <w:rPr>
          <w:sz w:val="20"/>
          <w:szCs w:val="20"/>
          <w:color w:val="auto"/>
        </w:rPr>
      </w:pPr>
      <w:r>
        <w:rPr>
          <w:rFonts w:ascii="Times New Roman" w:cs="Times New Roman" w:eastAsia="Times New Roman" w:hAnsi="Times New Roman"/>
          <w:sz w:val="18"/>
          <w:szCs w:val="18"/>
          <w:color w:val="auto"/>
        </w:rPr>
        <w:t>In 2006 and 2007, we undertook a transformation strategy whereby we divested our wireless-related businesses and chose to aggressively pursue business with the federal government, primarily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Department of Defense, through strategic acquisitions. These divestitures and acquisitions are described in more detail below.</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Sale and Discontinuance of Significant Subsidiaries</w:t>
      </w:r>
    </w:p>
    <w:p>
      <w:pPr>
        <w:spacing w:after="0" w:line="121"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In December 2005, our Board made the decision to exit our Mexican operations and certain of our other deployment businesses in South America. Prior to this decision, these operations had been reported in our WNS segment. We determined that these operations met the criteria to be classified as held for sale. Accordingly, we reflected these operations as discontinued in accordance with SFAS No. 144, “Accounting for the Impairment or Disposal of Long-Lived Assets” in our financial statements as of and for the year ended 2005. The other South American operations were substantially shut down as of the end of December 2005.</w:t>
      </w:r>
    </w:p>
    <w:p>
      <w:pPr>
        <w:spacing w:after="0" w:line="76"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On February 17, 2006, we entered into an Equity Purchase Agreement to sell all of the stock of our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w:t>
      </w:r>
    </w:p>
    <w:p>
      <w:pPr>
        <w:spacing w:after="0" w:line="72" w:lineRule="exact"/>
        <w:rPr>
          <w:sz w:val="20"/>
          <w:szCs w:val="20"/>
          <w:color w:val="auto"/>
        </w:r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The Equity Purchase Agreement provided that we would receive total approximate consideration of $18.9 million, with $1.5 million in cash and the balance by a secured promissory note. As of December 31, 2006, we had received all installment payments due under the promissory note.</w:t>
      </w:r>
    </w:p>
    <w:p>
      <w:pPr>
        <w:spacing w:after="0" w:line="54"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The impact of the divestiture has been reflected in the consolidated balance sheets as of December 31, 2006. There was no gain or loss realized on the sale since the business was sold at its net carrying value.</w:t>
      </w:r>
    </w:p>
    <w:p>
      <w:pPr>
        <w:spacing w:after="0" w:line="54" w:lineRule="exact"/>
        <w:rPr>
          <w:sz w:val="20"/>
          <w:szCs w:val="20"/>
          <w:color w:val="auto"/>
        </w:rPr>
      </w:pPr>
    </w:p>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On December 28, 2006, our Board approved a plan to divest portions of our business where critical mass had not been achieved. This plan involved the divestiture of our EMEA operations and remaining South American operations. We determined that these operations met the criteria to be classified as held for sale. Accordingly, we have reflected these operations as discontinued in accordance with SFAS No. 144, “Accounting for the Impairment or Disposal of Long-Lived Assets” in our financial statements commencing as of and for the year ended December 31, 2006.</w:t>
      </w:r>
    </w:p>
    <w:p>
      <w:pPr>
        <w:spacing w:after="0" w:line="72"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On March 9, 2007, we completed the sale of our EMEA operations to LCC Wireless Engineering Services Limited, a wholly-owned subsidiary of LCC International, Inc. (“LCCI”) in a cash for stock transaction valued at $4 million. The sale of EMEA generated a gain of $3.3 million which was recorded in the first quarter of 2007.</w:t>
      </w:r>
    </w:p>
    <w:p>
      <w:pPr>
        <w:spacing w:after="0" w:line="68"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April 20, 2007, we completed the sale of all of the issued and outstanding equity interests of our wholly owned subsidiary WFI de Brazil Techlogia en Telecomunicaciones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We recorded an impairment charge in the fourth quarter of 2006 of approximately $5.2 million to reduce the current carrying value of the South American operations to their estimated fair value less selling costs.</w:t>
      </w:r>
    </w:p>
    <w:p>
      <w:pPr>
        <w:spacing w:after="0" w:line="76"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On June 4, 2007, the Company completed the sale to LCCI of the assets used in the conduct of the operation of the Company’s Wireless Engineering Services portion of the wireless network services segment that provides engineering services to the non-government wireless communications industry in the United States.</w:t>
      </w:r>
    </w:p>
    <w:p>
      <w:pPr>
        <w:spacing w:after="0" w:line="68"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The aggregate consideration in connection with the sale was $46 million, subject to certain adjustments. LCCI delivered a subordinated promissory note for the principal amount of $21.6 million</w:t>
      </w:r>
    </w:p>
    <w:p>
      <w:pPr>
        <w:sectPr>
          <w:pgSz w:w="11900" w:h="16838" w:orient="portrait"/>
          <w:cols w:equalWidth="0" w:num="1">
            <w:col w:w="11420"/>
          </w:cols>
          <w:pgMar w:left="240" w:top="119" w:right="239" w:bottom="185"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9" w:right="239" w:bottom="185" w:gutter="0" w:footer="0" w:header="0"/>
          <w:type w:val="continuous"/>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working capital adjustments, and paid $17 million in cash at the closing, and we have retained an estimated $7.4 million in net accounts receivable of the business, subject to working capital adjustments.</w:t>
      </w:r>
    </w:p>
    <w:p>
      <w:pPr>
        <w:spacing w:after="0" w:line="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On July 5, 2007, we sold the $21.6 million subordinated promissory note taken in the sale of assets to LCCI. We received approximately $19.6 million in net cash proceeds, reflecting a discount from par value of less than five percent and aggregate transaction fees of approximately $1 million. The note was acquired by a fund affiliated with Silver Point Capital, L.P. We are not providing any guaranty for LCCI’s payment obligations. Certain post closing adjustments that, under the terms of the sale of our U.S. Wireless Engineering business are expected to be made to the principal amount of the Note, may instead be made by payments between the Company and LCCI or between Silver Point and the Company, as applicable.</w:t>
      </w:r>
    </w:p>
    <w:p>
      <w:pPr>
        <w:spacing w:after="0" w:line="76"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On August 10, 2007, in accordance with the terms of the agreement, we provided the closing balance sheet working capital calculation, which indicated a $2.6 million working capital adjustment was due to the Company as an increase to the balance of the Subordinated Promissory Note. LCCI has 30 days to review the calculation and notify us of any dispute. On September 11, 2007, the Company received a letter from LCCI challenging the Company’s notice and data supporting the calculations. The Company and LCCI are working to resolve the issues as soon as practicable.</w:t>
      </w:r>
    </w:p>
    <w:p>
      <w:pPr>
        <w:spacing w:after="0" w:line="72"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On July 24, 2007, we completed the sale to an affiliate of Platinum Equity of our Wireless Deployment services portion of the wireless network services segment. The total consideration for the acquisition was $24 million including $18 million in cash at closing, subject to typical post closing working capital adjustments, and an aggregate $6 million in a three-year earn-out arrangement through 2010. The deal includes a Transition Services Agreement for the transition of certain services for a period of six months and the deployment business employees will remain our employees until October 1, 2007; under an employee leasing arrangement with Platinum. The assets sold to Platinum Equity include all of our Wireless Deployment business, and the Wireless Facilities name.</w:t>
      </w:r>
    </w:p>
    <w:p>
      <w:pPr>
        <w:spacing w:after="0" w:line="80"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We determined that the U.S. engineering and U.S. deployment operations met the criteria to be classified as held for sale in the first quarter of 2007. Accordingly, we have reflected these operations as discontinued and assessed these assets for impairment in accordance with SFAS No. 144, “Accounting for the Impairment or Disposal of Long-Lived Assets”. The Company determined that the assets of the U.S. deployment operations were impaired and recorded a loss of approximately $13.4 million in the first quarter of 2007. The fair value of the assets was determined by utilizing the sale price less costs to sell the business. We recorded a gain in discontinued operations from the sale of the U.S. engineering operations of $14.8 million in the second quarter of 2007.</w:t>
      </w:r>
    </w:p>
    <w:p>
      <w:pPr>
        <w:spacing w:after="0" w:line="7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our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of approximately $7.2 million related to goodwill for this reporting unit which was recorded in the first quarter of 2007.</w:t>
      </w:r>
    </w:p>
    <w:p>
      <w:pPr>
        <w:spacing w:after="0" w:line="78"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18"/>
          <w:szCs w:val="18"/>
          <w:color w:val="auto"/>
        </w:rPr>
        <w:t xml:space="preserve">In addition, in accordance with EITF 87-24, </w:t>
      </w:r>
      <w:r>
        <w:rPr>
          <w:rFonts w:ascii="Times New Roman" w:cs="Times New Roman" w:eastAsia="Times New Roman" w:hAnsi="Times New Roman"/>
          <w:sz w:val="18"/>
          <w:szCs w:val="18"/>
          <w:i w:val="1"/>
          <w:iCs w:val="1"/>
          <w:color w:val="auto"/>
        </w:rPr>
        <w:t>Allocation of Interest to Discontinued Operations</w:t>
      </w:r>
      <w:r>
        <w:rPr>
          <w:rFonts w:ascii="Times New Roman" w:cs="Times New Roman" w:eastAsia="Times New Roman" w:hAnsi="Times New Roman"/>
          <w:sz w:val="18"/>
          <w:szCs w:val="18"/>
          <w:color w:val="auto"/>
        </w:rPr>
        <w:t xml:space="preserve"> (“EITF 87-24”), interest expense incurred on the debt that was required to be repaid as a result of the sales of our wireless network services business was allocated to discontinued operations for the periods presented. During the three months ended March 31, 2007 interest expense allocated to discontinued operations was approximately $1.1 million. During the three months ended March 31, 2006 no interest expense was allocated to discontinued operations as we entered into our current credit agreement on October 2, 2006.</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Transition to New Company Name</w:t>
      </w:r>
    </w:p>
    <w:p>
      <w:pPr>
        <w:spacing w:after="0" w:line="121" w:lineRule="exact"/>
        <w:rPr>
          <w:sz w:val="20"/>
          <w:szCs w:val="20"/>
          <w:color w:val="auto"/>
        </w:rPr>
      </w:pPr>
    </w:p>
    <w:p>
      <w:pPr>
        <w:jc w:val="both"/>
        <w:ind w:right="600" w:firstLine="360"/>
        <w:spacing w:after="0" w:line="266" w:lineRule="auto"/>
        <w:rPr>
          <w:sz w:val="20"/>
          <w:szCs w:val="20"/>
          <w:color w:val="auto"/>
        </w:rPr>
      </w:pPr>
      <w:r>
        <w:rPr>
          <w:rFonts w:ascii="Times New Roman" w:cs="Times New Roman" w:eastAsia="Times New Roman" w:hAnsi="Times New Roman"/>
          <w:sz w:val="18"/>
          <w:szCs w:val="18"/>
          <w:color w:val="auto"/>
        </w:rPr>
        <w:t>As noted above, the final wireless related divestiture of the Company’s Wireless Deployment business included the sale of the Company’s name, Wireless Facilities, Inc. Accordingly, the Company announced on September 12, 2007 the change of its corporate name to Kratos Defense &amp; Security Solutions, Inc. and it began trading under its new sticker (“KTOS”) on September 17, 2007.</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complete description of our business is set forth in Form 10-K filed with the SEC on September 11, 2007.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Organization</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Our current organization is consistent with our primary customer sets and strategic focus. We currently have two primary types of target markets for our business operations within our Government Network Services (WGS) segment and our Enterprise Network Services (ENS) segment: federal government; and state, local, municipal and commercial customers. Our WGS business has certain areas of focus and expertise which are defined as: “Communications &amp; Technology,” “Technical Resources,” and “Engineering Design and Solutions.” Our Enterprise Business and our Enterprise Network Services Segment, is focused on State, Local, Municipal and Commercial customers. We maintain regional offices where our primary resources and customers are located.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WGS Segment—Primary Customers and Services</w:t>
      </w:r>
    </w:p>
    <w:p>
      <w:pPr>
        <w:spacing w:after="0" w:line="121"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Our WGS segment serves primarily the United States Department of Defense marketplace and the federal information technology services market, which includes the engineering and technical services related to the maintenance and lifecycle extension of weapon systems, operations and ancillary services for military weapons and targets ranges, installation of command and control systems and equipment, and, the design, development, deployment, integration and management of communications and information networks.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 Segment—Primary Customers and Services</w:t>
      </w:r>
    </w:p>
    <w:p>
      <w:pPr>
        <w:spacing w:after="0" w:line="121"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Our ENS segment provides system design, deployment, integration, monitoring and support services for non-federal, state, local and municipal governments and civilian customers. This type of non-federal government customer work has been traditionally segregated into systems related to security, data, access control, video surveillance, temperature control and fire alarm. We provide services that combine such systems and offer integrated solutions on Ethernet-based and IP based platforms. We also offer solutions that combine overall security and safety, voice, data, electronic security and building automation systems with fixed or wireless connectivity 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ectPr>
          <w:pgSz w:w="11900" w:h="16838" w:orient="portrait"/>
          <w:cols w:equalWidth="0" w:num="1">
            <w:col w:w="11400"/>
          </w:cols>
          <w:pgMar w:left="240" w:top="364" w:right="259" w:bottom="0" w:gutter="0" w:footer="0" w:header="0"/>
        </w:sectPr>
      </w:pPr>
    </w:p>
    <w:bookmarkStart w:id="18" w:name="page19"/>
    <w:bookmarkEnd w:id="18"/>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For a discussion of our complete critical accounting matters, please refer to Item 7, “Management’s Discussion and Analysis of Financial Condition and Results of Operations,” in our 2006 Report on Form 10-K under the heading “Critical Accounting Matters.”</w:t>
      </w:r>
    </w:p>
    <w:p>
      <w:pPr>
        <w:spacing w:after="0" w:line="52"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have derived a significant percentage of our revenue from long-term contracts and accounted for these contracts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Statement of Position 81-1, “Accounting for Performance of Construction-Type and Certain Production-Type Contracts”. Revenue on time and materials contracts is recognized as services are rendered at contracted labor rates plus material and other direct costs incurred. Revenue on fixed-price contracts is recognized using the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cancellation, schedule delay, or modification of a fixed-price contract which is accounted for using the percentage-of-completion method</w:t>
      </w:r>
    </w:p>
    <w:p>
      <w:pPr>
        <w:spacing w:after="0" w:line="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78"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68" w:lineRule="exact"/>
        <w:rPr>
          <w:sz w:val="20"/>
          <w:szCs w:val="20"/>
          <w:color w:val="auto"/>
        </w:rPr>
      </w:pPr>
    </w:p>
    <w:p>
      <w:pPr>
        <w:ind w:right="520" w:firstLine="360"/>
        <w:spacing w:after="0" w:line="282" w:lineRule="auto"/>
        <w:rPr>
          <w:sz w:val="20"/>
          <w:szCs w:val="20"/>
          <w:color w:val="auto"/>
        </w:rPr>
      </w:pPr>
      <w:r>
        <w:rPr>
          <w:rFonts w:ascii="Times New Roman" w:cs="Times New Roman" w:eastAsia="Times New Roman" w:hAnsi="Times New Roman"/>
          <w:sz w:val="18"/>
          <w:szCs w:val="18"/>
          <w:color w:val="auto"/>
        </w:rPr>
        <w:t>During the reporting periods contained herein, we did experience revenue and margin adjustments of certain projects based on the aforementioned factors.</w:t>
      </w:r>
    </w:p>
    <w:p>
      <w:pPr>
        <w:spacing w:after="0" w:line="52"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Long-lived and Intangible Assets. </w:t>
      </w:r>
      <w:r>
        <w:rPr>
          <w:rFonts w:ascii="Times New Roman" w:cs="Times New Roman" w:eastAsia="Times New Roman" w:hAnsi="Times New Roman"/>
          <w:sz w:val="18"/>
          <w:szCs w:val="18"/>
          <w:color w:val="auto"/>
        </w:rPr>
        <w:t>We account for long-lived assets in accordance with the provisions of SFAS No. 144,</w:t>
      </w:r>
      <w:r>
        <w:rPr>
          <w:rFonts w:ascii="Times New Roman" w:cs="Times New Roman" w:eastAsia="Times New Roman" w:hAnsi="Times New Roman"/>
          <w:sz w:val="18"/>
          <w:szCs w:val="18"/>
          <w:i w:val="1"/>
          <w:iCs w:val="1"/>
          <w:color w:val="auto"/>
        </w:rPr>
        <w:t xml:space="preserve"> Accounting for the Impairment or Disposal of Long-Lived Assets </w:t>
      </w:r>
      <w:r>
        <w:rPr>
          <w:rFonts w:ascii="Times New Roman" w:cs="Times New Roman" w:eastAsia="Times New Roman" w:hAnsi="Times New Roman"/>
          <w:sz w:val="18"/>
          <w:szCs w:val="18"/>
          <w:color w:val="auto"/>
        </w:rPr>
        <w:t>(“SFAS 144”). SFAS 144 addresses financial accounting and reporting for the impairment or disposal of long-lived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Statement requires that 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SFAS 144 requires companies to separately report discontinued operations, including components of an entity that either have been disposed of (by sale, abandonment or in a distribution to owners) or classified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held for sale. Assets to be disposed of are reported at the lower of the carrying amount or fair value less costs to sell.</w:t>
      </w:r>
    </w:p>
    <w:p>
      <w:pPr>
        <w:spacing w:after="0" w:line="117"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SFAS 144,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68" w:lineRule="exact"/>
        <w:rPr>
          <w:sz w:val="20"/>
          <w:szCs w:val="20"/>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117" w:lineRule="exact"/>
        <w:rPr>
          <w:sz w:val="20"/>
          <w:szCs w:val="20"/>
          <w:color w:val="auto"/>
        </w:rPr>
      </w:pPr>
    </w:p>
    <w:p>
      <w:pPr>
        <w:ind w:right="440" w:firstLine="360"/>
        <w:spacing w:after="0" w:line="282" w:lineRule="auto"/>
        <w:rPr>
          <w:sz w:val="20"/>
          <w:szCs w:val="20"/>
          <w:color w:val="auto"/>
        </w:rPr>
      </w:pPr>
      <w:r>
        <w:rPr>
          <w:rFonts w:ascii="Times New Roman" w:cs="Times New Roman" w:eastAsia="Times New Roman" w:hAnsi="Times New Roman"/>
          <w:sz w:val="18"/>
          <w:szCs w:val="18"/>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54"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On a quarterly basis, we assess whether events or changes in circumstances have occurred that potentially indicate the carrying value of long-lived assets may not be recoverable.</w:t>
      </w:r>
    </w:p>
    <w:p>
      <w:pPr>
        <w:spacing w:after="0" w:line="52" w:lineRule="exact"/>
        <w:rPr>
          <w:sz w:val="20"/>
          <w:szCs w:val="20"/>
          <w:color w:val="auto"/>
        </w:rPr>
      </w:pPr>
    </w:p>
    <w:p>
      <w:pPr>
        <w:ind w:right="28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Purchased Intangible Assets. </w:t>
      </w:r>
      <w:r>
        <w:rPr>
          <w:rFonts w:ascii="Times New Roman" w:cs="Times New Roman" w:eastAsia="Times New Roman" w:hAnsi="Times New Roman"/>
          <w:sz w:val="18"/>
          <w:szCs w:val="18"/>
          <w:color w:val="auto"/>
        </w:rPr>
        <w:t>We evaluate our goodwill and intangible assets for impairment pursuant to SFAS No. 142,</w:t>
      </w:r>
      <w:r>
        <w:rPr>
          <w:rFonts w:ascii="Times New Roman" w:cs="Times New Roman" w:eastAsia="Times New Roman" w:hAnsi="Times New Roman"/>
          <w:sz w:val="18"/>
          <w:szCs w:val="18"/>
          <w:i w:val="1"/>
          <w:iCs w:val="1"/>
          <w:color w:val="auto"/>
        </w:rPr>
        <w:t xml:space="preserve"> Goodwill and Other Intangible Assets </w:t>
      </w:r>
      <w:r>
        <w:rPr>
          <w:rFonts w:ascii="Times New Roman" w:cs="Times New Roman" w:eastAsia="Times New Roman" w:hAnsi="Times New Roman"/>
          <w:sz w:val="18"/>
          <w:szCs w:val="18"/>
          <w:color w:val="auto"/>
        </w:rPr>
        <w:t>(“SFAS 142”), which provides that goodwill and other intangible assets with indefinite lives are not amortized but tested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annually which we do in the fourth quarter or more frequently if circumstances indicate potential impairment. These events or circumstances</w:t>
      </w:r>
    </w:p>
    <w:p>
      <w:pPr>
        <w:sectPr>
          <w:pgSz w:w="11900" w:h="16838" w:orient="portrait"/>
          <w:cols w:equalWidth="0" w:num="1">
            <w:col w:w="11420"/>
          </w:cols>
          <w:pgMar w:left="240" w:top="121" w:right="239" w:bottom="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could include a significant change in the business climate, legal factors, operating performance indicators, competition or sale or disposition of a significant portion of a reporting unit. The impairment test is comprised of two steps:</w:t>
      </w:r>
    </w:p>
    <w:p>
      <w:pPr>
        <w:spacing w:after="0" w:line="54" w:lineRule="exact"/>
        <w:rPr>
          <w:sz w:val="20"/>
          <w:szCs w:val="20"/>
          <w:color w:val="auto"/>
        </w:rPr>
      </w:pPr>
    </w:p>
    <w:p>
      <w:pPr>
        <w:jc w:val="both"/>
        <w:ind w:left="360" w:right="600" w:firstLine="368"/>
        <w:spacing w:after="0" w:line="266"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unit’s fair value is compared to its carrying value. The carrying values of each reporting unit are determined by specifically identifying and allocating the assets and liabilities of the Company to each reporting unit based on headcount, relative revenues or costs, or other methods as deemed appropriate by management. If the fair value is less than its carrying value, impairment is indicated;</w:t>
      </w:r>
    </w:p>
    <w:p>
      <w:pPr>
        <w:spacing w:after="0" w:line="68" w:lineRule="exact"/>
        <w:rPr>
          <w:rFonts w:ascii="Times New Roman" w:cs="Times New Roman" w:eastAsia="Times New Roman" w:hAnsi="Times New Roman"/>
          <w:sz w:val="18"/>
          <w:szCs w:val="18"/>
          <w:color w:val="auto"/>
        </w:rPr>
      </w:pPr>
    </w:p>
    <w:p>
      <w:pPr>
        <w:ind w:left="360" w:right="20" w:firstLine="368"/>
        <w:spacing w:after="0" w:line="282"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impairment is indicated in the first step, it is measured by comparing the implied fair value of goodwill and intangible assets to their carrying value at the reporting unit level.</w:t>
      </w:r>
    </w:p>
    <w:p>
      <w:pPr>
        <w:spacing w:after="0" w:line="54"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18"/>
          <w:szCs w:val="18"/>
          <w:color w:val="auto"/>
        </w:rPr>
        <w:t>The fair value of each reporting unit is estimated using a discounted cash flow methodology or market information if it is available. The use of the discounted cash flow methodology requires significant judgments including estimation of future cash flows, which is dependent on internal forecasts, estimation of the long-term rate of growth for our business, the useful life over which cash flows will occur, and determination of our weighted average cost of capital. Changes in these estimates and assumptions could materially affect the determination of fair value and/or goodwill impairment for each reporting unit. We allocate goodwill to reporting units based on the reporting unit expected to benefit from the combination. We reassign goodwill using a relative fair value allocation approach.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March 31, 2006 to the Three Months Ended March 31, 2007</w:t>
      </w:r>
    </w:p>
    <w:p>
      <w:pPr>
        <w:spacing w:after="0" w:line="119" w:lineRule="exact"/>
        <w:rPr>
          <w:sz w:val="20"/>
          <w:szCs w:val="20"/>
          <w:color w:val="auto"/>
        </w:rPr>
      </w:pPr>
    </w:p>
    <w:p>
      <w:pPr>
        <w:ind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$16.1 million from $32.9 million for the three months ended March 31, 2006 to $49.0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2007. This increase was primarily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due to $18.2 million in revenues from MRC, which was acquired in October 2006, partially offset by decreases due to program delays and program reductions from two of our Department of Defense (“Department of Defense (“DOD”)”) customers in our Government Network segment, as well as slight reductions in our Enterprise and Wireless Network segments.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Revenues by operating segment for the three months ended March 31, 2006 and 2007 are as follows (in millions):</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5"/>
                <w:szCs w:val="15"/>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$ 12.6</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$ 12.0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(0.6)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8"/>
                <w:szCs w:val="18"/>
                <w:color w:val="auto"/>
              </w:rPr>
            </w:pPr>
          </w:p>
        </w:tc>
      </w:tr>
      <w:tr>
        <w:trPr>
          <w:trHeight w:val="223"/>
        </w:trPr>
        <w:tc>
          <w:tcPr>
            <w:tcW w:w="4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52"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from $26.7 million for the three months ended March 31, 2006 to $41.7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2007 primarily as a result of the increase in revenues from MRC. Gross margin during the three months ended March 31, 2007 decreased from 18.8% in the first quarter of 2006 to 14.9%. The decrease in gross margin primarily resulted from an increased mix of Government network services business, which generally reports the classification of cost elements based upon definitions in accordance with government contracting regulations. As a result, cost of revenues in the 2007 periods includes certain cost elements that would otherwise be classified as SG&amp;A expense under a commercial contract.</w:t>
      </w:r>
    </w:p>
    <w:p>
      <w:pPr>
        <w:spacing w:after="0" w:line="58"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increased from $7.9 million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2006 to $9.1 million in the three months ended March 31, 2007. The increase was due to the increase in SG&amp;A as a result of the MRC acquisition. In addition, amortization of costs of purchased intangibles increased from $0.4 million to $0.7 million in the first quarter of 2006 to 2007, respectively. Excluding amortization of costs of purchased intangibles SG&amp;A increased from $7.5 million to $8.4 million, or decreased from 22.8% of revenues to 17.1% of revenues, due partially to the classification of cost elements for the increased mix of government contracts as described above.</w:t>
      </w:r>
    </w:p>
    <w:p>
      <w:pPr>
        <w:spacing w:after="0" w:line="58" w:lineRule="exact"/>
        <w:rPr>
          <w:sz w:val="20"/>
          <w:szCs w:val="20"/>
          <w:color w:val="auto"/>
        </w:rPr>
      </w:pPr>
    </w:p>
    <w:p>
      <w:pPr>
        <w:jc w:val="both"/>
        <w:ind w:right="48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 Investigation and Related Fees. </w:t>
      </w:r>
      <w:r>
        <w:rPr>
          <w:rFonts w:ascii="Times New Roman" w:cs="Times New Roman" w:eastAsia="Times New Roman" w:hAnsi="Times New Roman"/>
          <w:sz w:val="18"/>
          <w:szCs w:val="18"/>
          <w:color w:val="auto"/>
        </w:rPr>
        <w:t>The costs in the first quarter of 2007 of $1.5 million were comprised of legal, accounting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related to our Equity Award Review which was completed in September 2007. We anticipate that additional fees of approximately $11 million to $13 million will be incurred during 2007 related to this review and other related items.</w:t>
      </w:r>
    </w:p>
    <w:p>
      <w:pPr>
        <w:spacing w:after="0" w:line="38"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income increased from $0.2 million to $0.5 million for the three months ended March 31, 2006 and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Interest expense increased in 2007, due primarily to interest from the Line of Credit borrowings used to fund the acquisition of MRC. In accordance with EITF 87-24, </w:t>
      </w:r>
      <w:r>
        <w:rPr>
          <w:rFonts w:ascii="Times New Roman" w:cs="Times New Roman" w:eastAsia="Times New Roman" w:hAnsi="Times New Roman"/>
          <w:sz w:val="18"/>
          <w:szCs w:val="18"/>
          <w:i w:val="1"/>
          <w:iCs w:val="1"/>
          <w:color w:val="auto"/>
        </w:rPr>
        <w:t>Allocation of Interest to Discontinued Operations</w:t>
      </w:r>
      <w:r>
        <w:rPr>
          <w:rFonts w:ascii="Times New Roman" w:cs="Times New Roman" w:eastAsia="Times New Roman" w:hAnsi="Times New Roman"/>
          <w:sz w:val="18"/>
          <w:szCs w:val="18"/>
          <w:color w:val="auto"/>
        </w:rPr>
        <w:t xml:space="preserve"> (“EITF 87-24”), interest expense incurred on the debt of $1.1 million for the period ended March 31, 2007 that was required to be repaid as a result of the sales of our wireless network services business was allocated to discontinued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operations for the periods presented. See Note 6, significant transactions. The increase of $0.3 million for the three months ended March 31, 2007 compared to the three months ended March 31, 2006 was primarily a result of an increase in other income of $0.5 million as the result of a sale of assets.</w:t>
      </w:r>
    </w:p>
    <w:p>
      <w:pPr>
        <w:spacing w:after="0" w:line="38"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Provision (benefit) for income taxes increased from a benefit of $0.8 million or a rate of 53.3% on $1.5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before income taxes in the first quarter of 2006 to a provision of $0.2 million or a negative 7.1% rate on a loss before income taxes of $2.8 million. The tax provision in the first quarter of 2007 was primarily due to an increase in the deferred tax liability related to temporary differences on indefinite life intangibles that were not offset by deferred tax assets due to the full valuation allowance we have recorded on these assets. During the first quarter of 2007, the Company implemented FIN 48 to account for uncertain tax position resulting in a charge to retained earnings of $0.1 million.</w:t>
      </w:r>
    </w:p>
    <w:p>
      <w:pPr>
        <w:sectPr>
          <w:pgSz w:w="11900" w:h="16838" w:orient="portrait"/>
          <w:cols w:equalWidth="0" w:num="1">
            <w:col w:w="11420"/>
          </w:cols>
          <w:pgMar w:left="240" w:top="121" w:right="239" w:bottom="0" w:gutter="0" w:footer="0" w:header="0"/>
        </w:sectPr>
      </w:pPr>
    </w:p>
    <w:bookmarkStart w:id="20" w:name="page21"/>
    <w:bookmarkEnd w:id="20"/>
    <w:p>
      <w:pPr>
        <w:ind w:right="28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w:t>
      </w:r>
      <w:r>
        <w:rPr>
          <w:rFonts w:ascii="Times New Roman" w:cs="Times New Roman" w:eastAsia="Times New Roman" w:hAnsi="Times New Roman"/>
          <w:sz w:val="18"/>
          <w:szCs w:val="18"/>
          <w:color w:val="auto"/>
        </w:rPr>
        <w:t>Loss from discontinued operations changed from a loss of $0.1 million to a loss of $17.1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2006 and 2007, respectively. The increased loss was primarily due to impairment of assets related to the Wireless Deployment business of $13.4 million and an impairment of goodwill related to this business of $7.2 million, partially offset by a gain of $3.3 million on the sale of the EMEA operations in the first quarter of 2007.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sources of liquidity include cash and cash equivalents, cash from operations and other external sources of funds. As of March 31, 2007, we had cash and cash equivalents totaling $8.0 million and restricted cash of $1.0 million. The restricted cash was related to a $1.0 million standby letter of credit for performance of an international contract that we acquired with MRC. The Company has replaced the letter of credit with one issued under its KeyBank facility. The original letter of credit and restricted cash was released in the second quarter of 2007.</w:t>
      </w:r>
    </w:p>
    <w:p>
      <w:pPr>
        <w:spacing w:after="0" w:line="5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field equipment, computer hardware and software and improvement of our physical properties in order to maintain suitable conditions to conduct our business.</w:t>
      </w:r>
    </w:p>
    <w:p>
      <w:pPr>
        <w:spacing w:after="0" w:line="62"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Cash from continuing operations is primarily derived from our customer contracts in progress and associated changes in working capital components. Cash used by continuing operations was $5.5 million for the three months ended March 31, 2006 and cash provided by continuing operations was</w:t>
      </w:r>
    </w:p>
    <w:p>
      <w:pPr>
        <w:ind w:right="80"/>
        <w:spacing w:after="0" w:line="255" w:lineRule="auto"/>
        <w:rPr>
          <w:sz w:val="20"/>
          <w:szCs w:val="20"/>
          <w:color w:val="auto"/>
        </w:rPr>
      </w:pPr>
      <w:r>
        <w:rPr>
          <w:rFonts w:ascii="Times New Roman" w:cs="Times New Roman" w:eastAsia="Times New Roman" w:hAnsi="Times New Roman"/>
          <w:sz w:val="18"/>
          <w:szCs w:val="18"/>
          <w:color w:val="auto"/>
        </w:rPr>
        <w:t>$2.5 million for the three months ended March 31, 2007. The improvement was due to an improvement in collections of accounts receivable, primarily as a result of the achievement of contractual billing milestones that enabled us to bill our customers. Our Days Sales Outstanding (DSO) decreased from 110 days at December 31, 2006 to 101 days at March 31, 2007.</w:t>
      </w:r>
    </w:p>
    <w:p>
      <w:pPr>
        <w:spacing w:after="0" w:line="5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Cash used by investing activities from continuing operations was $6.5 million for the three months ended March 31, 2006 compared to cash provided by investing activities of $2.1 million for the three months ended March 31, 2007. During the three months ended March 31, 2006, investing activities included cash paid of $7.3 million related to contingent consideration related to prior acquisitions and capital expenditures of $0.7 million, partially offset by proceeds received from the disposition of our Mexican operations of $1.5 million. During the three months ended March 31, 2007, investing activities included capital expenditures of $0.7 million and cash received for the sale of our EMEA operations of $2.9 million. See Notes 6 and 7 to our unaudited consolidated financial statements for further discussion of our acquisitions and divestitures.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from continuing operations was $6.9 million for the three months ended March 31, 2006. The positive cash flow from financing activities for this period consisted primarily of $7.0 million of proceeds from the Line of Credit (“LOC”). Cash used by financing activities from continuing operations was $0.1 million for the three months ended March 31, 2007. Borrowings of $4.0 million under the LOC were offset by payments of $4.0 million under the LOC and repayment of capital lease obligations of $0.1 million.</w:t>
      </w:r>
    </w:p>
    <w:p>
      <w:pPr>
        <w:spacing w:after="0" w:line="72"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Cash generated by discontinued operations was $4.5 million for the three months ended March 31, 2006. Cash used by discontinued operations was $1.9 million for the three months ended March 31, 2007.</w:t>
      </w:r>
    </w:p>
    <w:p>
      <w:pPr>
        <w:spacing w:after="0" w:line="54" w:lineRule="exact"/>
        <w:rPr>
          <w:sz w:val="20"/>
          <w:szCs w:val="20"/>
          <w:color w:val="auto"/>
        </w:rPr>
      </w:pPr>
    </w:p>
    <w:p>
      <w:pPr>
        <w:ind w:right="680" w:firstLine="360"/>
        <w:spacing w:after="0" w:line="282" w:lineRule="auto"/>
        <w:rPr>
          <w:sz w:val="20"/>
          <w:szCs w:val="20"/>
          <w:color w:val="auto"/>
        </w:rPr>
      </w:pPr>
      <w:r>
        <w:rPr>
          <w:rFonts w:ascii="Times New Roman" w:cs="Times New Roman" w:eastAsia="Times New Roman" w:hAnsi="Times New Roman"/>
          <w:sz w:val="18"/>
          <w:szCs w:val="18"/>
          <w:color w:val="auto"/>
        </w:rPr>
        <w:t>We intend to fund our cash requirements with cash flows from operating activities, proceeds from the sale of our European, US engineering and deployment WNS divisions, and borrowings under our Senior Credit Facility.</w:t>
      </w:r>
    </w:p>
    <w:p>
      <w:pPr>
        <w:spacing w:after="0" w:line="54"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18"/>
          <w:szCs w:val="18"/>
          <w:color w:val="auto"/>
        </w:rPr>
        <w:t>Our credit facility contains customary events of default, including payment defaults, breaches of representations and warranties, and covenant defaults. As of June 30, 2007, we were in technical default of this agreement as we had not yet filed our Report on Form 10-K and 2006 audited financial statements. On April 6, 2007, we entered into an amendment to the credit agreement whereby KeyBank waived this technical default and provided an extension through April 30, 2007 for filing our Report on Form 10-K and 2006 audited financial statements. On June 1, 2007, we entered into a second amendment to the credit agreement whereby KeyBank extended the original waiver for filing our Report on Form 10-K and 2006 audited financial statements and the quarterly unaudited financial statements for the fiscal quarters ended March 31, 2007 and June 30, 2007 through September 30, 2007 and reduced the total Facility to $50 million to reflect the net pay downs of the revolving line of credit resulting from the divestiture of our EMEA business in March 2007 and the divesture of our domestic engineering business. In addition, the second amendment provides for the further reduction of our credit facility to $35 million effective upon receipt of principal payments under the note received from the buyer of the domestic engineering business, which occurred on July 3, 2007. On September 28, 2007, we received an additional waiver from KeyBank extending the waiver for filing our quarterly unaudited financial statements for the fiscal quarters ended March 31, 2007 and June 30, 2007 through October 19, 2007 and changing the minimum liquidity ratio for the period ended September 30, 2007 from 1.35 to 1.10. As of March 31, 2007, the Company’s outstanding balance on the facility was $51.0 million and the weighted average interest rate was 7.57%. As of September 28, 2007, the Company’s outstanding net debt was zero as proceeds from the divestitures of our wireless network business were used to pay down the debt.</w:t>
      </w:r>
    </w:p>
    <w:p>
      <w:pPr>
        <w:spacing w:after="0" w:line="9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We believe these sources should be sufficient to meet our cash needs for the foreseeable future. However, if we become subject to significant judgments, settlements or fines related to the matters discussed in Note 13—Legal Matters to the unaudited consolidated financial statements included in Item 1 of Part I of this Quarterly Report, or any other matters, we could be required to make significant payments that could materially and adversely affect our financial condition, potentially impacting our ability to access the capital markets and our compliance with our debt covenants.</w:t>
      </w:r>
    </w:p>
    <w:p>
      <w:pPr>
        <w:spacing w:after="0" w:line="72"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Balance Sheet Changes</w:t>
      </w:r>
    </w:p>
    <w:p>
      <w:pPr>
        <w:sectPr>
          <w:pgSz w:w="11900" w:h="16838" w:orient="portrait"/>
          <w:cols w:equalWidth="0" w:num="1">
            <w:col w:w="11420"/>
          </w:cols>
          <w:pgMar w:left="240" w:top="119" w:right="239" w:bottom="0" w:gutter="0" w:footer="0" w:header="0"/>
          <w:type w:val="continuous"/>
        </w:sectPr>
      </w:pPr>
    </w:p>
    <w:bookmarkStart w:id="21" w:name="page22"/>
    <w:bookmarkEnd w:id="21"/>
    <w:p>
      <w:pPr>
        <w:jc w:val="both"/>
        <w:ind w:right="140" w:firstLine="360"/>
        <w:spacing w:after="0" w:line="261" w:lineRule="auto"/>
        <w:rPr>
          <w:sz w:val="20"/>
          <w:szCs w:val="20"/>
          <w:color w:val="auto"/>
        </w:rPr>
      </w:pPr>
      <w:r>
        <w:rPr>
          <w:rFonts w:ascii="Times New Roman" w:cs="Times New Roman" w:eastAsia="Times New Roman" w:hAnsi="Times New Roman"/>
          <w:sz w:val="18"/>
          <w:szCs w:val="18"/>
          <w:color w:val="auto"/>
        </w:rPr>
        <w:t>Our total assets have decreased from $337.0 million as of December 31, 2006 to $306.6 million as of March 31, 2007. The impairment of our Wireless Network Services segment goodwill of $7.2 million and the impairment of assets related to our wireless network deployment business of $13.4 million that we recorded in the first quarter of 2007 had a significant impact on the reduction of total assets between those periods. See Note 6 for a further discussion of this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In the fourth quarter of 2006, the Company entered into an $85 million credit facility with KeyBank National Association (“KeyBank”) to fund its October 2, 2006 acquisition of Madison Research Technology Corporation (MRC) replacing the Company’s previous credit facility of $15 million. MRC was a privately-held technical solutions and services company focused on advanced telecommunications programs, software and IT solutions, product solutions and space programs. The purchase price was approximately $73.8 million and included a $4.6 million working capital adjustment and a $6.9 million holdback to secure the Company’s indemnity rights. The Company paid $62.1 million at closing and, in April 2007, the Company paid the $4.6 million working capital adjustment and $1.5 million of the holdback. The remaining holdback will be released, subject to indemnity right, in installments occurring in October 2007 and April 2008.</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weighted average interest rate of the Company’s debt was 7.57% and we had drawn $51 million on the facility as of March 31. 2007.</w:t>
      </w:r>
    </w:p>
    <w:p>
      <w:pPr>
        <w:spacing w:after="0" w:line="11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Other than our normal recurring trade payables, expense accruals, operating and capital leases, and working capital adjustments and purchase holdbacks related to our acquisition of MRC which are currently expected to be funded through existing working capital and future cash flows from operations and professional fees expected to be incurred related to our stock option review of approximately $13 million to $14 million, we have no other material commitments. Other future cash requirements may include the payment of certain tax contingencies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detailed information regarding related party transactions, see Note 12 to our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We are in the process of determining the impact of this statement on its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February 2007, the FASB issued FASB Statement No. 159, </w:t>
      </w:r>
      <w:r>
        <w:rPr>
          <w:rFonts w:ascii="Times New Roman" w:cs="Times New Roman" w:eastAsia="Times New Roman" w:hAnsi="Times New Roman"/>
          <w:sz w:val="18"/>
          <w:szCs w:val="18"/>
          <w:i w:val="1"/>
          <w:iCs w:val="1"/>
          <w:color w:val="auto"/>
        </w:rPr>
        <w:t>The Fair Value Option for Financial Assets and Financial Liabilities—Including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of FASB Statement No. 115. </w:t>
      </w:r>
      <w:r>
        <w:rPr>
          <w:rFonts w:ascii="Times New Roman" w:cs="Times New Roman" w:eastAsia="Times New Roman" w:hAnsi="Times New Roman"/>
          <w:sz w:val="18"/>
          <w:szCs w:val="18"/>
          <w:color w:val="auto"/>
        </w:rPr>
        <w:t>This standard permits an entity to choose to measure many financial instruments and certain other items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option is available to all entities, including not-for-profit organizations. Most of the provisions in Statement 159 are elective; however, the amendment to FASB Statement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 xml:space="preserve"> applies to all entities with available-for-sale and trading securities. Some requirements apply differently to entities that do not report net income. The FASB’s stated objective in issuing this standard is as follows: “to improve financial reporting by providing entities with the opportunity to mitigate volatility in reported earnings caused by measuring related assets and liabilities differently without having to apply complex hedge accounting provisions.”</w:t>
      </w:r>
    </w:p>
    <w:p>
      <w:pPr>
        <w:spacing w:after="0" w:line="7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The fair value option established by Statement 159 permits all entities to choose to measure eligible items at fair value at specified election dates. A business entity will report unrealized gains and losses on items for which the fair value option has been elected in earnings (or another performance indicator if the business entity does not report earnings) at each subsequent reporting date. A not-for-profit organization will report unrealized gains and losses in its statement of activities or similar statement.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w:t>
      </w:r>
    </w:p>
    <w:p>
      <w:pPr>
        <w:spacing w:after="0" w:line="80"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Statement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We are currently evaluating if it will elect the fair value option for any of its eligible financial instruments and other items.</w:t>
      </w:r>
    </w:p>
    <w:p>
      <w:pPr>
        <w:spacing w:after="0" w:line="72"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18"/>
          <w:szCs w:val="18"/>
          <w:color w:val="auto"/>
        </w:rPr>
        <w:t>In May 2007, the FASB issued FASB Staff Position (“FSP”) FIN 48-1 Definition of Settlement in FASB Interpretation No. 48 (FSP FIN 48-1). FSP FIN 48-1 provides guidance on how to determine whether a tax position is effectively settled for the purpose of recognizing previously unrecognized tax benefits. FSP FIN 48-1 is effective retroactively to January 1, 2007.</w:t>
      </w:r>
    </w:p>
    <w:p>
      <w:pPr>
        <w:spacing w:after="0" w:line="1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in connection with changes in interest rates, primarily in connection with outstanding balances under its credit facility with KeyBank National Association. Based on the Company’s average outstanding balances during the three months ended March 31, 2007 a 1% change in the LIBOR rate would impact the Company’s financial position and results of operations by approximately $510 thousand over the next year. We currently do not utilize any derivative financial instruments to hedge interest rate risks. Cash and cash equivalents as of March 31, 2007 were $8.0 million and are primarily invested in money market interest bearing accounts. A hypothetical 10% adverse change in the average interest rate on our money market cash investments and short-term investments would have had no material effect on net income for the three months ended March 31, 2007.</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ectPr>
          <w:pgSz w:w="11900" w:h="16838" w:orient="portrait"/>
          <w:cols w:equalWidth="0" w:num="1">
            <w:col w:w="11400"/>
          </w:cols>
          <w:pgMar w:left="240" w:top="121" w:right="259" w:bottom="9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ectPr>
          <w:pgSz w:w="11900" w:h="16838" w:orient="portrait"/>
          <w:cols w:equalWidth="0" w:num="1">
            <w:col w:w="11400"/>
          </w:cols>
          <w:pgMar w:left="240" w:top="121" w:right="259" w:bottom="90" w:gutter="0" w:footer="0" w:header="0"/>
          <w:type w:val="continuous"/>
        </w:sectPr>
      </w:pPr>
    </w:p>
    <w:bookmarkStart w:id="22" w:name="page23"/>
    <w:bookmarkEnd w:id="22"/>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Officer, as appropriate to allow timely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68" w:lineRule="exact"/>
        <w:rPr>
          <w:sz w:val="20"/>
          <w:szCs w:val="20"/>
          <w:color w:val="auto"/>
        </w:rPr>
      </w:pPr>
    </w:p>
    <w:p>
      <w:pPr>
        <w:ind w:right="720" w:firstLine="360"/>
        <w:spacing w:after="0" w:line="266" w:lineRule="auto"/>
        <w:rPr>
          <w:sz w:val="20"/>
          <w:szCs w:val="20"/>
          <w:color w:val="auto"/>
        </w:rPr>
      </w:pPr>
      <w:r>
        <w:rPr>
          <w:rFonts w:ascii="Times New Roman" w:cs="Times New Roman" w:eastAsia="Times New Roman" w:hAnsi="Times New Roman"/>
          <w:sz w:val="18"/>
          <w:szCs w:val="18"/>
          <w:color w:val="auto"/>
        </w:rPr>
        <w:t>As previously disclosed in Item 9A of our Annual Report on Form 10-K for the fiscal year ended December 31, 2006, we determined that as of December 31, 2006, there were material weaknesses affecting our internal control over financial reporting and, as a result of those weaknesses, the Company’s disclosure controls and procedures were not effective as of that date.</w:t>
      </w:r>
    </w:p>
    <w:p>
      <w:pPr>
        <w:spacing w:after="0" w:line="68"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addition, the Company failed to classify its wireless engineering and deployment businesses as held for sale and discontinued operations as of March 31, 2007 resulting in a material adjustment to the carrying value of the assets of the deployment business. The Company also omitted certain disclosures from the March 31, 2007 financial statements. The aggregation of these items constituted a material weakness and are indicative that the material weaknesses identified as of December 31, 2006 have not been remediated as of March 31, 2007. Management has concluded that the Company’s disclosure controls and procedures were not effective as of March 31, 2007. The Company corrected the classification of its wireless engineering and deployment businesses and disclosed them as discontinued operations, recorded the adjustments to the carrying value of the assets in the deployment business, and revised the financial statement disclosures to include all omitted items in this Report on Form 10-Q. Accordingly, management believes that the consolidated financial statements included in this quarterly report fairly present, in all material respects, our financial condition, results of operations and cash flows for the periods presented.</w:t>
      </w:r>
    </w:p>
    <w:p>
      <w:pPr>
        <w:spacing w:after="0" w:line="77"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Management intends to continue to evaluate and perform test procedures regarding the effectiveness of our controls over financial reporting over the coming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On October 2, 2006 we completed the acquisition of Madison Research Corporation. We continue to integrate MRC’s historical internal controls over financial reporting into our own internal controls over financial reporting. Accordingly, certain changes have been made and will continue to be made to our internal controls over financial reporting until such time as this integration is complete.</w:t>
      </w:r>
    </w:p>
    <w:p>
      <w:pPr>
        <w:spacing w:after="0" w:line="68"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accounting and reporting (as defined in Rules 13a-15(f) and 15d-15(f) of the Exchange Act) during the fiscal quarter ended March 31, 2007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Securities Litigation</w:t>
      </w:r>
    </w:p>
    <w:p>
      <w:pPr>
        <w:spacing w:after="0" w:line="12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Beginning in June 2001, the Company and certain of its officers and directors were named as defendants in several parallel class action shareholder complaints filed in the United States District Court for the Southern District of New York, now consolidated under the caption, </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Initial Public Offering Securities Litigation</w:t>
      </w:r>
      <w:r>
        <w:rPr>
          <w:rFonts w:ascii="Times New Roman" w:cs="Times New Roman" w:eastAsia="Times New Roman" w:hAnsi="Times New Roman"/>
          <w:sz w:val="18"/>
          <w:szCs w:val="18"/>
          <w:color w:val="auto"/>
        </w:rPr>
        <w:t>, Case No. 01-CV-4779. In the amended complaint, the plaintiffs allege that the Company, certain of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and the underwriters of the Company’s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stay remains in place and the plaintiffs and Issuers have stated that they are prepared to discuss how the settlement might be amended or renegotiated to comply with the Second Circuit’s decision. Plaintiffs filed amended complaints in the six focus cases on or about August 14, 2007. The court has not yet set a deadline for the plaintiffs to file amended complaints in the other IPO lawsuits. Due to the inherent uncertainties of litigation, and because the settlement may not receive final approval from the Court, the ultimate outcome of this matter cannot be predicted. In accordance with FASB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xml:space="preserve"> the Company believes any contingent liability related to this claim is not probable or estimable and therefore no amounts have been accrued in regards to this matter.</w:t>
      </w:r>
    </w:p>
    <w:p>
      <w:pPr>
        <w:sectPr>
          <w:pgSz w:w="11900" w:h="16838" w:orient="portrait"/>
          <w:cols w:equalWidth="0" w:num="1">
            <w:col w:w="11400"/>
          </w:cols>
          <w:pgMar w:left="240" w:top="121" w:right="259" w:bottom="170" w:gutter="0" w:footer="0" w:header="0"/>
        </w:sectPr>
      </w:pPr>
    </w:p>
    <w:bookmarkStart w:id="23" w:name="page24"/>
    <w:bookmarkEnd w:id="23"/>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2004 Securities Litigation</w:t>
      </w:r>
    </w:p>
    <w:p>
      <w:pPr>
        <w:spacing w:after="0" w:line="121"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18"/>
          <w:szCs w:val="18"/>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w:t>
      </w:r>
      <w:r>
        <w:rPr>
          <w:rFonts w:ascii="Times New Roman" w:cs="Times New Roman" w:eastAsia="Times New Roman" w:hAnsi="Times New Roman"/>
          <w:sz w:val="18"/>
          <w:szCs w:val="18"/>
          <w:i w:val="1"/>
          <w:iCs w:val="1"/>
          <w:color w:val="auto"/>
        </w:rPr>
        <w:t>In re Wireless Facilities, Inc. Securities Litigation,</w:t>
      </w:r>
      <w:r>
        <w:rPr>
          <w:rFonts w:ascii="Times New Roman" w:cs="Times New Roman" w:eastAsia="Times New Roman" w:hAnsi="Times New Roman"/>
          <w:sz w:val="18"/>
          <w:szCs w:val="18"/>
          <w:color w:val="auto"/>
        </w:rPr>
        <w:t xml:space="preserve"> Master File No. 04CV1589-JAH. Plaintiffs filed a First Amended Consolidated</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8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2004, two derivative lawsuits were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and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were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That motion is set to be heard on November 5, 2007. Once the court has decided the issue of personal jurisdiction, the Company, along with any remaining individual defendant found subject to the court’s jurisdiction, may again move to dismiss the complaint as to them.</w:t>
      </w:r>
    </w:p>
    <w:p>
      <w:pPr>
        <w:spacing w:after="0" w:line="8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In April 2007, another derivative complaint was filed in the United States District Court for the Southern District of California, Hameed v. Tayebi, 07-CV-0680 BTM(RBB) (the “Hameed Action”), against several of the Company’s current and former officers and directors. The allegations in this new derivative complaint mirror the amended allegations in the 2004 federal derivative action. Pursuant to 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Court order and agreement between the parties, the defendants need not respond to the complaint in the Hameed Action until the Court rules on the motion to dismiss for lack of personal jurisdiction currently pending in the 2004 derivative litigation. Once the court in that matter has decided the issue of personal jurisdiction, the parties will meet and confer regarding defendants’ response to the Hameed Action.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76"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7"/>
          <w:szCs w:val="17"/>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w:t>
      </w:r>
      <w:r>
        <w:rPr>
          <w:rFonts w:ascii="Times New Roman" w:cs="Times New Roman" w:eastAsia="Times New Roman" w:hAnsi="Times New Roman"/>
          <w:sz w:val="17"/>
          <w:szCs w:val="17"/>
          <w:i w:val="1"/>
          <w:iCs w:val="1"/>
          <w:color w:val="auto"/>
        </w:rPr>
        <w:t>In re Wireless Facilities,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Derivative Litigation, </w:t>
      </w:r>
      <w:r>
        <w:rPr>
          <w:rFonts w:ascii="Times New Roman" w:cs="Times New Roman" w:eastAsia="Times New Roman" w:hAnsi="Times New Roman"/>
          <w:sz w:val="17"/>
          <w:szCs w:val="17"/>
          <w:color w:val="auto"/>
        </w:rPr>
        <w:t>California Superior Court, San Diego County, Lead Case No. GIC 834253. The plaintiffs filed a Consolidated Shareholder Derivative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Complaint on October 14, 2004. This action has been stayed pending a decision in federal court on a motion to dismiss the federal derivative lawsuits. The parties will appear before the judge in October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Securities Litigation</w:t>
      </w:r>
    </w:p>
    <w:p>
      <w:pPr>
        <w:spacing w:after="0" w:line="121"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is conducting a voluntary internal review of its stock option granting processes. These actions have been consolidated into a single</w:t>
      </w:r>
    </w:p>
    <w:p>
      <w:pPr>
        <w:sectPr>
          <w:pgSz w:w="11900" w:h="16865" w:orient="portrait"/>
          <w:cols w:equalWidth="0" w:num="1">
            <w:col w:w="11400"/>
          </w:cols>
          <w:pgMar w:left="240" w:top="117" w:right="259" w:bottom="0" w:gutter="0" w:footer="0" w:header="0"/>
        </w:sectPr>
      </w:pPr>
    </w:p>
    <w:bookmarkStart w:id="24" w:name="page25"/>
    <w:bookmarkEnd w:id="24"/>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action, In re Wireless Facilities, Inc. Securities Litigation II, Master File No. 07-CV-0482-BTM-NLS. A consolidated class action complaint has not been filed. At this time, we are unable to form a professional judgment that an unfavorable outcome is either probable or remote. Moreover, if an unfavorable outcome should eventually occur, we are not at this time able to estimate the amount or range of possible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challenged the basis for the award on several theories. The Company has accrued approximately $0.3 million as of December 31, 2006 related to this matter. On August 22, 2007, the appeals court partially upheld the Company’s appeal, although it upheld the individual’s designation as an employee. The court is reviewing possible damage calculations before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publishing a final decision. The Company’s counsel is preparing a motion for clarification of the judgment due to omissions in the decision. The Company is unable to determine the ultimate outcome of this matter.</w:t>
      </w:r>
    </w:p>
    <w:p>
      <w:pPr>
        <w:spacing w:after="0" w:line="54"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Based on our research to date, the Company has not concluded that it has any liability in the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7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On May 3, 2007, the Company announced that it has a filed a lawsuit against a former employee, Vencent Donlan, who previously served as its stock option administrator and left the Company in mid-2004, and his spouse. The lawsuit seeks to recover damages resulting from the theft by Donlan of Company stock options and common stock valued in excess of $6.3 million. The thefts, which appear to have taken place during 2002 and 2003, were discovered through the Company’s review of its past practices related to the granting and pricing of employee stock options with the assistance of its outside counsel and forensic computer consultants. The complaint also alleges that Donlan attempted to cover up the scheme by, among other things, deleting entries from the Company’s records. The Company had promptly reported this discovery to the SEC in March 2007 when the theft was discovered. The SEC commenced an enforcement action against Donlan, and the U.S. Attorney’s Office forwarded a grand jury subpoena to the company seeking records related to Donlan and our historical option granting practices. The SEC filed a federal lawsuit and obtained a temporary restraining order and asset freeze against Donlan and his spouse. The U.S. Attorney’s Office indicted Donlan for the theft and he plead guilty to the federal criminal charges. The Company has cooperated with, and intends to continue to cooperate with both the SEC and the U.S. Attorney’s Office on this matter and otherwise.</w:t>
      </w:r>
    </w:p>
    <w:p>
      <w:pPr>
        <w:spacing w:after="0" w:line="78"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9" w:lineRule="exact"/>
        <w:rPr>
          <w:sz w:val="20"/>
          <w:szCs w:val="20"/>
          <w:color w:val="auto"/>
        </w:rPr>
      </w:pPr>
    </w:p>
    <w:p>
      <w:pPr>
        <w:ind w:right="22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burden the Company and have a material adverse effect on us.</w:t>
      </w:r>
    </w:p>
    <w:p>
      <w:pPr>
        <w:spacing w:after="0" w:line="5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Our current executive management team, which has been in place since 2004, initiated the Equity Award Review in the summer of 2006 in reaction to media reports regarding stock option granting practices of public companies. The Equity Award Review was conducted with oversight from the Board and assistance from our outside counsel, Morrison &amp; Foerster.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81" w:lineRule="exact"/>
        <w:rPr>
          <w:sz w:val="20"/>
          <w:szCs w:val="20"/>
          <w:color w:val="auto"/>
        </w:rPr>
      </w:pPr>
    </w:p>
    <w:p>
      <w:pPr>
        <w:ind w:right="40" w:firstLine="360"/>
        <w:spacing w:after="0" w:line="277" w:lineRule="auto"/>
        <w:rPr>
          <w:sz w:val="20"/>
          <w:szCs w:val="20"/>
          <w:color w:val="auto"/>
        </w:rPr>
      </w:pPr>
      <w:r>
        <w:rPr>
          <w:rFonts w:ascii="Times New Roman" w:cs="Times New Roman" w:eastAsia="Times New Roman" w:hAnsi="Times New Roman"/>
          <w:sz w:val="17"/>
          <w:szCs w:val="17"/>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w:t>
      </w:r>
    </w:p>
    <w:p>
      <w:pPr>
        <w:sectPr>
          <w:pgSz w:w="11900" w:h="16838" w:orient="portrait"/>
          <w:cols w:equalWidth="0" w:num="1">
            <w:col w:w="11420"/>
          </w:cols>
          <w:pgMar w:left="240" w:top="121" w:right="239" w:bottom="0" w:gutter="0" w:footer="0" w:header="0"/>
        </w:sectPr>
      </w:pPr>
    </w:p>
    <w:bookmarkStart w:id="25" w:name="page26"/>
    <w:bookmarkEnd w:id="25"/>
    <w:p>
      <w:pPr>
        <w:spacing w:after="0" w:line="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Pillsbury Winthrop, and FTI Consulting.</w:t>
      </w:r>
    </w:p>
    <w:p>
      <w:pPr>
        <w:spacing w:after="0" w:line="68"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81"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In light of the Equity Award Review, the Audit Committee of our Board concluded that our prior financial statements for periods from 1998 through our filing of interim financial statements for the period ended September 30, 2006, can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w:t>
      </w:r>
    </w:p>
    <w:p>
      <w:pPr>
        <w:spacing w:after="0" w:line="80"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II, Item 1, “Legal Proceedings,” several derivative complaints have been filed in state and federal courts against our current directors, some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of our former directors and some of our current and former executive officers pertaining to allegations relating to stock option grants. The SEC has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which could result in civil and/or criminal actions seeking, among other things, injunctions against us and the payment of significant fines and penalties by us. We are cooperating with the SEC and the United States Attorney’s Office for the Southern District of California, and expect to continue to do so.</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been in compliance with The Nasdaq Stock Market’s continued listing requirements and remain subject to the risk of our stock being delisted from The Nasdaq Global Select Market, which would have a material adverse effect on us and our stockholders.</w:t>
      </w:r>
    </w:p>
    <w:p>
      <w:pPr>
        <w:spacing w:after="0" w:line="51"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Due to the Equity Award Review and resulting restatements, we could not timely file with the SEC our Annual Report on Form 10-K for the year ended December 31, 2006 or our Quarterly Reports on Form 10-Q for the periods ended March 31, 2007 and June 30, 2007. As a result, and as described in Part II, Item 1, “Legal Proceedings,” we were not in compliance with the filing requirements for continued listing on The Nasdaq Global Select Market as set forth in Marketplace Rule 4310(c)(14) and were subject to delisting from The Nasdaq Global Select Market. Until we file our Quarterly Report on Form 10-Q for the periods ended March 31, 2007 and June 30, 2007, we will continue to be in non-compliance with Marketplace Rule 4310(c) (14), and our common stock may be delisted from The Nasdaq Select Global Market. If our stock is delisted, it would be uncertain when, if ever, our common stock would be relisted. If a delisting did happen, the price of our stock and the ability of our stockholders to trade in our stock could be adversely affected and, depending on the duration of the delisting, some institutions whose charters disallow holding securities in unlisted companies might sell our shares, which could have a further adverse effect on the price of our stock.</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restating our financial statements, making the associated disclosures, and complying with SEC requirements are subject to uncertainty and evolving requirements.</w:t>
      </w:r>
    </w:p>
    <w:p>
      <w:pPr>
        <w:spacing w:after="0" w:line="51"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We have worked with our outside legal counsel and our independent registered public accounting firms to make our filings comply with all related requirements. Nevertheless the issues surrounding our historical stock option grant practices are complex and the regulatory guidelines or requirements continue to evolve. There can be no assurance that further SEC and other requirements will not evolve and that we will not be required to further amend this and other filings. In addition to the cost and time to amend financial reports, such amendments may have a material adverse affect on investors and common stock price and could result in a delisting of our common stock from The Nasdaq Global Select Market.</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number of our current and former executive officers and directors have been named as parties to several derivative action lawsuits arising from our internal option review, and there is a possibility of additional lawsuits, all of which could require significant management time and attention and result in significant legal expenses.</w:t>
      </w:r>
    </w:p>
    <w:p>
      <w:pPr>
        <w:spacing w:after="0" w:line="6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We are subject to a number of lawsuits purportedly on behalf of the Company against certain of our current and former executive officers and board members, and we may become the subject of additional private lawsuits. Subject to certain limitations, we are obligated to indemnify our current and former directors, officers and employees in connection with the investigation of our historical stock option practices and such lawsuits. The expenses associated with these lawsuits may be significant, the amount of time to resolve these lawsuits is unpredictable and defending these lawsuits may divert management’s attention from the day-to-day operations of our business, which could have a material adverse effect on our financial condition, business,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government inquiries relating to our past stock option practices may be time consuming and expensive and could result in injunctions, fines and penalties that may have a material adverse effect on our financial condition and results of operations.</w:t>
      </w:r>
    </w:p>
    <w:p>
      <w:pPr>
        <w:spacing w:after="0" w:line="51"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inquiries by the Department of Justice (“DOJ”) and the SEC into our past stock option practices are ongoing. We have cooperated with the DOJ and the SEC and expect to continue to do so. The period of time necessary to resolve these inquiries is uncertain, and we cannot predict the outcome of these inquiries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w:t>
      </w:r>
    </w:p>
    <w:p>
      <w:pPr>
        <w:sectPr>
          <w:pgSz w:w="11900" w:h="16861" w:orient="portrait"/>
          <w:cols w:equalWidth="0" w:num="1">
            <w:col w:w="11420"/>
          </w:cols>
          <w:pgMar w:left="240" w:top="121" w:right="239" w:bottom="0" w:gutter="0" w:footer="0" w:header="0"/>
        </w:sectPr>
      </w:pPr>
    </w:p>
    <w:bookmarkStart w:id="26" w:name="page27"/>
    <w:bookmarkEnd w:id="26"/>
    <w:p>
      <w:pPr>
        <w:spacing w:after="0" w:line="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 stock option practices, these DOJ and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51"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76" w:lineRule="exact"/>
        <w:rPr>
          <w:sz w:val="20"/>
          <w:szCs w:val="20"/>
          <w:color w:val="auto"/>
        </w:rPr>
      </w:pPr>
    </w:p>
    <w:p>
      <w:pPr>
        <w:ind w:left="540" w:hanging="17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winning very large-scale government contracts, a risk that is enhanced by the recent trend in government procurement practices to bundle services into larger contracts;</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us to charge lower prices; or</w:t>
      </w:r>
    </w:p>
    <w:p>
      <w:pPr>
        <w:spacing w:after="0" w:line="117" w:lineRule="exact"/>
        <w:rPr>
          <w:rFonts w:ascii="Times New Roman" w:cs="Times New Roman" w:eastAsia="Times New Roman" w:hAnsi="Times New Roman"/>
          <w:sz w:val="18"/>
          <w:szCs w:val="18"/>
          <w:color w:val="auto"/>
        </w:rPr>
      </w:pPr>
    </w:p>
    <w:p>
      <w:pPr>
        <w:ind w:left="540" w:hanging="17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relationships with current clients, including our ability to continue to win competitively awarded engagements in which we are the incumbent.</w:t>
      </w:r>
    </w:p>
    <w:p>
      <w:pPr>
        <w:spacing w:after="0" w:line="54"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as a result of factors outside of our control, which could cause the market price of our common stock to decline.</w:t>
      </w:r>
    </w:p>
    <w:p>
      <w:pPr>
        <w:spacing w:after="0" w:line="51"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As a result, our operating results may fall below the expectations of securities analysts and investors, which could cause the price of our common stock to decline. Factors that may affect our operating results include those listed in this “Risk Factors” section and others such as:</w:t>
      </w:r>
    </w:p>
    <w:p>
      <w:pPr>
        <w:spacing w:after="0" w:line="68" w:lineRule="exact"/>
        <w:rPr>
          <w:sz w:val="20"/>
          <w:szCs w:val="20"/>
          <w:color w:val="auto"/>
        </w:rPr>
      </w:pPr>
    </w:p>
    <w:p>
      <w:pPr>
        <w:ind w:left="500" w:hanging="13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recognized on contracts;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117" w:lineRule="exact"/>
        <w:rPr>
          <w:rFonts w:ascii="Times New Roman" w:cs="Times New Roman" w:eastAsia="Times New Roman" w:hAnsi="Times New Roman"/>
          <w:sz w:val="18"/>
          <w:szCs w:val="18"/>
          <w:color w:val="auto"/>
        </w:rPr>
      </w:pPr>
    </w:p>
    <w:p>
      <w:pPr>
        <w:ind w:left="540" w:right="240" w:hanging="17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the GSA Schedule 70 Contracts, government wide acquisition contracts (GWACs), blanket purchase agreements and other Indefinite Delivery/Indefinite Quantity (ID/IQ) contracts;</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shutdowns or temporary facility closings;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outsourced network services or engineering services;</w:t>
      </w:r>
    </w:p>
    <w:p>
      <w:pPr>
        <w:spacing w:after="0" w:line="117" w:lineRule="exact"/>
        <w:rPr>
          <w:rFonts w:ascii="Times New Roman" w:cs="Times New Roman" w:eastAsia="Times New Roman" w:hAnsi="Times New Roman"/>
          <w:sz w:val="18"/>
          <w:szCs w:val="18"/>
          <w:color w:val="auto"/>
        </w:rPr>
      </w:pPr>
    </w:p>
    <w:p>
      <w:pPr>
        <w:ind w:left="540" w:right="300" w:hanging="17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117"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68"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18"/>
          <w:szCs w:val="18"/>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changes in budgetary priorities of the Federal Government.</w:t>
      </w:r>
    </w:p>
    <w:p>
      <w:pPr>
        <w:spacing w:after="0" w:line="121"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Because we derive a significant portion of our revenue from contracts with the Federal Government, we believe that the success and development of our business will continue to depend on our successful participation in Federal Government contract programs. Changes in Federal Government budgetary priorities could directly affect our financial performance. A significant decline in government expenditures, a shift of expenditures away from programs that call for the types of services that we provide, or a change in Federal Government contracting policies could cause Federal Governmental agencies to reduce</w:t>
      </w:r>
    </w:p>
    <w:p>
      <w:pPr>
        <w:sectPr>
          <w:pgSz w:w="11900" w:h="16875" w:orient="portrait"/>
          <w:cols w:equalWidth="0" w:num="1">
            <w:col w:w="11380"/>
          </w:cols>
          <w:pgMar w:left="240" w:top="121" w:right="279" w:bottom="0" w:gutter="0" w:footer="0" w:header="0"/>
        </w:sectPr>
      </w:pPr>
    </w:p>
    <w:bookmarkStart w:id="27" w:name="page28"/>
    <w:bookmarkEnd w:id="27"/>
    <w:p>
      <w:pPr>
        <w:ind w:right="200"/>
        <w:spacing w:after="0" w:line="261" w:lineRule="auto"/>
        <w:rPr>
          <w:sz w:val="20"/>
          <w:szCs w:val="20"/>
          <w:color w:val="auto"/>
        </w:rPr>
      </w:pPr>
      <w:r>
        <w:rPr>
          <w:rFonts w:ascii="Times New Roman" w:cs="Times New Roman" w:eastAsia="Times New Roman" w:hAnsi="Times New Roman"/>
          <w:sz w:val="18"/>
          <w:szCs w:val="18"/>
          <w:color w:val="auto"/>
        </w:rPr>
        <w:t>their expenditures under contracts, to exercise their right to terminate contracts at any time without penalty, not to exercise options to extend contracts, or to delay or not enter into new contracts. Any of those actions could seriously harm our business, prospects, financial condition or operating results. Moreover, although our contracts with governmental agencies often contemplate that our services will be performed over a period of several years, Congress usually must approve funds for a given program each government fiscal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year and may significantly reduce or eliminate funding for a program. Significant reductions in these appropriations by Congress could have a material adverse effect on our business. Additional factors that could have a serious adverse effect on our Federal Government contracting business include:</w:t>
      </w:r>
    </w:p>
    <w:p>
      <w:pPr>
        <w:spacing w:after="0" w:line="54" w:lineRule="exact"/>
        <w:rPr>
          <w:sz w:val="20"/>
          <w:szCs w:val="20"/>
          <w:color w:val="auto"/>
        </w:rPr>
      </w:pPr>
    </w:p>
    <w:p>
      <w:pPr>
        <w:ind w:left="500" w:hanging="13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Government programs or requirements;</w:t>
      </w:r>
    </w:p>
    <w:p>
      <w:pPr>
        <w:spacing w:after="0" w:line="117" w:lineRule="exact"/>
        <w:rPr>
          <w:rFonts w:ascii="Times New Roman" w:cs="Times New Roman" w:eastAsia="Times New Roman" w:hAnsi="Times New Roman"/>
          <w:sz w:val="18"/>
          <w:szCs w:val="18"/>
          <w:color w:val="auto"/>
        </w:rPr>
      </w:pPr>
    </w:p>
    <w:p>
      <w:pPr>
        <w:ind w:left="540" w:right="160" w:hanging="17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priorities limiting or delaying Federal Government spending generally, or by specific departments or agencies in particular, and changes in fiscal policies or available funding, including potential governmental shutdowns;</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Federal Government’s use of technology and/or professional services &amp; solutions firms; and</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number of contracts reserved for small businesses which could result in our inability to compete directly for these prime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the Federal Government may be terminated or adversely modified prior to completion, which could adversely affect our business.</w:t>
      </w:r>
    </w:p>
    <w:p>
      <w:pPr>
        <w:spacing w:after="0" w:line="121"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Federal Government contracts generally contain provisions, and are subject to laws and regulations, that give the Federal Government rights and remedies not typically found in commercial contracts, including provisions permitting the Federal Government to:</w:t>
      </w:r>
    </w:p>
    <w:p>
      <w:pPr>
        <w:spacing w:after="0" w:line="54" w:lineRule="exact"/>
        <w:rPr>
          <w:sz w:val="20"/>
          <w:szCs w:val="20"/>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potential future income from our existing contracts;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Federal Government or with any specific government agency;</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penalties;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criminal prosecution;</w:t>
      </w:r>
    </w:p>
    <w:p>
      <w:pPr>
        <w:spacing w:after="0" w:line="117" w:lineRule="exact"/>
        <w:rPr>
          <w:rFonts w:ascii="Times New Roman" w:cs="Times New Roman" w:eastAsia="Times New Roman" w:hAnsi="Times New Roman"/>
          <w:sz w:val="18"/>
          <w:szCs w:val="18"/>
          <w:color w:val="auto"/>
        </w:rPr>
      </w:pPr>
    </w:p>
    <w:p>
      <w:pPr>
        <w:jc w:val="both"/>
        <w:ind w:left="540" w:right="60" w:hanging="17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w:t>
      </w:r>
    </w:p>
    <w:p>
      <w:pPr>
        <w:spacing w:after="0" w:line="68"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work under existing multiple year contracts and related task orders if the necessary funds are not appropriated by Congress;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multiple year contract; and</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technologies and systems invented, developed or produced by us.</w:t>
      </w:r>
    </w:p>
    <w:p>
      <w:pPr>
        <w:spacing w:after="0" w:line="117"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Federal Government may terminate a contract with us either “for convenience” (for instance, due to a change in its perceived needs or its desire to consolidate work under another contract) or if we default by failing to perform under the contract. If the Federal Government terminates a contract with us for convenience, we generally would be entitled to recover only our incurred or committed costs, settlement expenses and profit on the work completed prior to termination. If the Federal Government terminates a contract with us based upon our default, we generally would be denied any recovery for undelivered work, and instead may be liable for excess costs incurred by the Federal Government in procuring undelivered items from an alternative source and other damages as authorized by law. As is common with government contractors, we have experienced and continue to experience occasional performance issues under some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contracts. We may in the future receive show-cause or cure notices under contracts that, if not addressed to the Federal Government’s satisfaction, could give the government the right to terminate those contracts for default or to cease procuring our services under those contracts.</w:t>
      </w:r>
    </w:p>
    <w:p>
      <w:pPr>
        <w:spacing w:after="0" w:line="54"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Our Federal Government contracts typically have terms of one or more base years and one or more option years. Many of the option periods cover more than half of the contract’s potential term. Federal governmental agencies generally have the right not to exercise options to extend a contract. A decision to terminate or not to exercise options to extend our existing contracts could have a material adverse effect on our business, prospects, financial condition and results of operations.</w:t>
      </w:r>
    </w:p>
    <w:p>
      <w:pPr>
        <w:spacing w:after="0" w:line="72"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Certain of our Federal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important relationships with government entities and agencies, our ability to successfully bid for new business may be adversely affected.</w:t>
      </w:r>
    </w:p>
    <w:p>
      <w:pPr>
        <w:spacing w:after="0" w:line="51"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w:t>
      </w:r>
    </w:p>
    <w:p>
      <w:pPr>
        <w:sectPr>
          <w:pgSz w:w="11900" w:h="16838" w:orient="portrait"/>
          <w:cols w:equalWidth="0" w:num="1">
            <w:col w:w="11420"/>
          </w:cols>
          <w:pgMar w:left="240" w:top="121" w:right="239" w:bottom="94"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strong relationships with other government contractors could result in a decline in our revenue.</w:t>
      </w:r>
    </w:p>
    <w:p>
      <w:pPr>
        <w:sectPr>
          <w:pgSz w:w="11900" w:h="16838" w:orient="portrait"/>
          <w:cols w:equalWidth="0" w:num="1">
            <w:col w:w="11420"/>
          </w:cols>
          <w:pgMar w:left="240" w:top="121" w:right="239" w:bottom="94" w:gutter="0" w:footer="0" w:header="0"/>
          <w:type w:val="continuous"/>
        </w:sectPr>
      </w:pPr>
    </w:p>
    <w:bookmarkStart w:id="28" w:name="page29"/>
    <w:bookmarkEnd w:id="28"/>
    <w:p>
      <w:pPr>
        <w:spacing w:after="0" w:line="5"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18"/>
          <w:szCs w:val="18"/>
          <w:color w:val="auto"/>
        </w:rPr>
        <w:t>In our federal business we often act as a subcontractor or in “teaming” arrangements in which we and other contractors bid together on particular contracts or programs.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contracts will result in actual revenue.</w:t>
      </w:r>
    </w:p>
    <w:p>
      <w:pPr>
        <w:spacing w:after="0" w:line="121"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contracts will result in actual revenue in any particular period, or at all, or that any contract will be profitable. The actual receipt and timing of any revenue is subject to various contingencies, many of which are beyond our control. The actual receipt of revenue on contracts may never occur or may change because a program schedule could change, the program could be canceled, a contract could be reduced, modified or terminated early, or an option that we had assumed would be exercised not being exercised. Further, while many of our federal government contracts require performance over a period of years, Congress often appropriates funds for these contracts for only one year at a time. Consequently, our contracts typically are only partially funded at any point during their term, and all or some of the work intended to be performed under the contracts will remain unfunded pending subsequent Congressional appropriations and the obligation of additional funds to the contract by the procuring agency. Our estimates of contract value are based on our experience under such contracts and similar contracts. However, there can be no assurances that all, or any, of such estimated contract value will be recognized as revenue.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our GSA contracts or GWACs would impair our ability to attract new business.</w:t>
      </w:r>
    </w:p>
    <w:p>
      <w:pPr>
        <w:spacing w:after="0" w:line="121"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We are a prime contractor under several GSA contracts and GWAC schedule contracts. We believe that our ability to continue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5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Further, obtaining and maintaining security clearances for employees involves a lengthy process, and it is difficult to identify, recruit and retain employees who already hold security clearances. If we are unable to recruit and retain a sufficient number of these employees, our ability to maintain and grow our business could be limited. In a tight labor market, our direct labor costs could increase or we may be required to engage large numbers of subcontractor personnel, which could cause our profit margins to suffer.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77"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In addition, certain federal government contracts require us, and some of our employees, to maintain security clearances. If our employees lose or are unable to obtain security clearances, or if we are unable to hire employees with the appropriate security clearances, the client may terminate the contract or decide not to renew the contract upon its expiration. As a result, we may not derive the revenue anticipated from the contract, which, if not replaced with revenue from other contracts, could seriously harm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appropriate staffing levels could adversely affect our business.</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51" w:lineRule="exact"/>
        <w:rPr>
          <w:sz w:val="20"/>
          <w:szCs w:val="20"/>
          <w:color w:val="auto"/>
        </w:rPr>
      </w:pPr>
    </w:p>
    <w:p>
      <w:pPr>
        <w:ind w:right="80" w:firstLine="360"/>
        <w:spacing w:after="0" w:line="313" w:lineRule="auto"/>
        <w:rPr>
          <w:sz w:val="20"/>
          <w:szCs w:val="20"/>
          <w:color w:val="auto"/>
        </w:rPr>
      </w:pPr>
      <w:r>
        <w:rPr>
          <w:rFonts w:ascii="Times New Roman" w:cs="Times New Roman" w:eastAsia="Times New Roman" w:hAnsi="Times New Roman"/>
          <w:sz w:val="17"/>
          <w:szCs w:val="17"/>
          <w:color w:val="auto"/>
        </w:rPr>
        <w:t>As a prime contractor, we often rely significantly upon other companies as subcontractors to perform work we are obligated to perform for our clients. As we secure more work under our GWAC vehicles, we expect to require an increasing level of support from subcontractors that provide complementary and</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5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ectPr>
          <w:pgSz w:w="11900" w:h="16844" w:orient="portrait"/>
          <w:cols w:equalWidth="0" w:num="1">
            <w:col w:w="11420"/>
          </w:cols>
          <w:pgMar w:left="240" w:top="121" w:right="2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systems or service failure, our reputation could be harmed and our clients could assert claims against us for damages or refunds.</w:t>
      </w:r>
    </w:p>
    <w:p>
      <w:pPr>
        <w:spacing w:after="0" w:line="108" w:lineRule="exact"/>
        <w:rPr>
          <w:sz w:val="20"/>
          <w:szCs w:val="20"/>
          <w:color w:val="auto"/>
        </w:rPr>
      </w:pPr>
    </w:p>
    <w:p>
      <w:pPr>
        <w:ind w:right="100" w:firstLine="360"/>
        <w:spacing w:after="0" w:line="313" w:lineRule="auto"/>
        <w:rPr>
          <w:sz w:val="20"/>
          <w:szCs w:val="20"/>
          <w:color w:val="auto"/>
        </w:rPr>
      </w:pPr>
      <w:r>
        <w:rPr>
          <w:rFonts w:ascii="Times New Roman" w:cs="Times New Roman" w:eastAsia="Times New Roman" w:hAnsi="Times New Roman"/>
          <w:sz w:val="17"/>
          <w:szCs w:val="17"/>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3" w:lineRule="exact"/>
        <w:rPr>
          <w:sz w:val="20"/>
          <w:szCs w:val="20"/>
          <w:color w:val="auto"/>
        </w:rPr>
      </w:pPr>
    </w:p>
    <w:p>
      <w:pPr>
        <w:ind w:left="500" w:hanging="13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 due to adverse client reaction;</w:t>
      </w:r>
    </w:p>
    <w:p>
      <w:pPr>
        <w:spacing w:after="0" w:line="10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additional services to a client at no charge;</w:t>
      </w:r>
    </w:p>
    <w:p>
      <w:pPr>
        <w:spacing w:after="0" w:line="10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negative publicity, which could damage our reputation and adversely affect our ability to attract or retain clients; and</w:t>
      </w:r>
    </w:p>
    <w:p>
      <w:pPr>
        <w:spacing w:after="0" w:line="90"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claims for substantial damages.</w:t>
      </w:r>
    </w:p>
    <w:p>
      <w:pPr>
        <w:spacing w:after="0" w:line="104" w:lineRule="exact"/>
        <w:rPr>
          <w:sz w:val="20"/>
          <w:szCs w:val="20"/>
          <w:color w:val="auto"/>
        </w:rPr>
      </w:pPr>
    </w:p>
    <w:p>
      <w:pPr>
        <w:ind w:right="420" w:firstLine="360"/>
        <w:spacing w:after="0" w:line="282" w:lineRule="auto"/>
        <w:rPr>
          <w:sz w:val="20"/>
          <w:szCs w:val="20"/>
          <w:color w:val="auto"/>
        </w:rPr>
      </w:pPr>
      <w:r>
        <w:rPr>
          <w:rFonts w:ascii="Times New Roman" w:cs="Times New Roman" w:eastAsia="Times New Roman" w:hAnsi="Times New Roman"/>
          <w:sz w:val="18"/>
          <w:szCs w:val="18"/>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40"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While many of our contracts limit our liability for consequential damages that may arise from negligence in rendering services to our clients, we cannot assure you that these contractual provisions will be legally sufficient to protect us if we are sued.</w:t>
      </w:r>
    </w:p>
    <w:p>
      <w:pPr>
        <w:spacing w:after="0" w:line="27"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18"/>
          <w:szCs w:val="18"/>
          <w:color w:val="auto"/>
        </w:rPr>
        <w:t>In addition, our errors and omissions and product liability insurance coverage may not continue to be available on reasonable terms or in sufficient amounts to cover one or more large claims, or the insurer may disclaim coverage as to some types of future claims. As we continue to grow and expand our business into new areas, our insurance coverage may not be adequate.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in sensitive federal government systems could result in the loss of clients and negative publicity.</w:t>
      </w:r>
    </w:p>
    <w:p>
      <w:pPr>
        <w:spacing w:after="0" w:line="108"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18"/>
          <w:szCs w:val="18"/>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which could cause us to lose contracts.</w:t>
      </w:r>
    </w:p>
    <w:p>
      <w:pPr>
        <w:spacing w:after="0" w:line="108"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acquisition candidates and if we undertake acquisitions, they could increase our costs or liabilities and impair our revenue and operating results.</w:t>
      </w:r>
    </w:p>
    <w:p>
      <w:pPr>
        <w:spacing w:after="0" w:line="51"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18"/>
          <w:szCs w:val="18"/>
          <w:color w:val="auto"/>
        </w:rPr>
        <w:t>One of our strategies is to pursue growth through acquisitions. We may not be able to identify suitable acquisition candidates at prices that we consider appropriate. If we do identify an appropriate acquisition candidate, we may not be able to successfully negotiate the terms of the acquisition or finance the acquisition on terms that are satisfactory to us. Negotiations of potential acquisitions and the integration of acquired business operations could disrupt our business by diverting management attention from day-to-day operations. Acquisitions of businesses or other material operations may require additional debt or equity financing, resulting in additional leverage or dilution of ownership. We may encounter increased competition for acquisitions, which may increase the price of our acquisitions.</w:t>
      </w:r>
    </w:p>
    <w:p>
      <w:pPr>
        <w:spacing w:after="0" w:line="66"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We have completed several acquisitions of complementary businesses in recent years, and we continually evaluate opportunities to acquire new businesses as part of our ongoing strategy. On October 2, 2006, we acquired MRC as an expansion of our Government Network Services segment, and we cannot assure you that we will obtain the anticipated benefits of this acquisition. Further, our integration of historic and future acquisitions, including MRC,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w:t>
      </w:r>
    </w:p>
    <w:p>
      <w:pPr>
        <w:spacing w:after="0" w:line="64"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integrate companies we may acquire in the future, our revenue and operating results could suffer. The integration of such businesses into our operations may result in unforeseen operating difficulties (including incompatible accounting and information management systems), may absorb significant management attention and may require significant financial resources that would otherwise be available for the ongoing development or expansion of our business. These difficulties of integration may require us to coordinate geographically dispersed organizations, integrate personnel with disparate business backgrounds and reconcile different corporate cultures. In certain acquisitions, federal acquisition regulations may require us to enter into government novation agreements, a potentially time-consuming process. In addition, we may not be successful in achieving the anticipated synergies from these acquisitions, including our strategy of offering our services to clients of acquired companies to increase our revenue. We may experience increased attrition, including, but not limited to, key employees of the acquired companies, during and following the integration of acquired companies that could reduce our future revenue.</w:t>
      </w:r>
    </w:p>
    <w:p>
      <w:pPr>
        <w:spacing w:after="0" w:line="81"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In addition, we may need to record write-downs from future impairments of identified intangible assets and goodwill, which could reduce our future reported earnings. Acquired companies may have liabilities or adverse operating issues that we fail to discover through due diligence prior to the acquisition.</w:t>
      </w:r>
    </w:p>
    <w:p>
      <w:pPr>
        <w:sectPr>
          <w:pgSz w:w="11900" w:h="16838" w:orient="portrait"/>
          <w:cols w:equalWidth="0" w:num="1">
            <w:col w:w="11420"/>
          </w:cols>
          <w:pgMar w:left="240" w:top="117" w:right="239" w:bottom="9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90" w:gutter="0" w:footer="0" w:header="0"/>
          <w:type w:val="continuous"/>
        </w:sectPr>
      </w:pPr>
    </w:p>
    <w:bookmarkStart w:id="30" w:name="page31"/>
    <w:bookmarkEnd w:id="30"/>
    <w:p>
      <w:pPr>
        <w:ind w:right="360"/>
        <w:spacing w:after="0" w:line="261" w:lineRule="auto"/>
        <w:rPr>
          <w:sz w:val="20"/>
          <w:szCs w:val="20"/>
          <w:color w:val="auto"/>
        </w:rPr>
      </w:pPr>
      <w:r>
        <w:rPr>
          <w:rFonts w:ascii="Times New Roman" w:cs="Times New Roman" w:eastAsia="Times New Roman" w:hAnsi="Times New Roman"/>
          <w:sz w:val="18"/>
          <w:szCs w:val="18"/>
          <w:color w:val="auto"/>
        </w:rPr>
        <w:t>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The discovery of any material liabilities associated with our acquisitions could cause us to incur additional expenses and cause a reduction in our operating profits.</w:t>
      </w:r>
    </w:p>
    <w:p>
      <w:pPr>
        <w:spacing w:after="0" w:line="58"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18"/>
          <w:szCs w:val="18"/>
          <w:color w:val="auto"/>
        </w:rPr>
        <w:t>Additionally, the Small Business Administration (SBA) is enacting new regulations which will require small businesses to recertify their size standard within thirty days of any sale or merger. It is highly likely that any company we may look to acquire will have some component of small business contracts. These new regulations may impact our ability to retain all of the contracts after the acquisition.</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3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business could be adversely affected.</w:t>
      </w:r>
    </w:p>
    <w:p>
      <w:pPr>
        <w:spacing w:after="0" w:line="121"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3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Although fixed-price contracts entail a greater risk of a reduced profit or financial loss on a contract compared to other types of contracts we enter into, fixed-price contracts typically provide higher profit opportunities because we receive the benefit of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31% and 37%, respectively, of our federal business revenues for the fiscal year ended December 31, 2006. To the extent that we enter into more cost-plus-fee or less fixed-price contracts in proportion to our total contract mix in the future, our margins and operating results may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flow and profitability could be reduced if expenditures are incurred prior to the final receipt of a contract.</w:t>
      </w:r>
    </w:p>
    <w:p>
      <w:pPr>
        <w:spacing w:after="0" w:line="121"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We provide various professional services and sometimes procure equipment and materials on behalf of our federal government customers under various contractual arrangements. From time to time, in order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5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In addition,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81"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In addition, if we are unable to protect our intellectual property, our competitors could market services or products similar to our services and products, which could reduce demand for our offerings.</w:t>
      </w:r>
    </w:p>
    <w:p>
      <w:pPr>
        <w:spacing w:after="0" w:line="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We may be unable to prevent unauthorized parties from attempting to copy or otherwise obtain and use our technology. Policing unauthorized use of our technology is difficult, and we may not be able to prevent misappropriation of our technology, particularly in foreign countries where the laws may not protect our intellectual property as fully as those in the United States. Others, including our employees, may circumvent the trade secrets and other intellectual property that we own. Litigation may be necessary to enforce our intellectual property rights, to protect our trade secrets and to determine the validity and scope of the proprietary rights of others. Any litigation could result in substantial costs and diversion of resources, with no assurance of success.</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51" w:lineRule="exact"/>
        <w:rPr>
          <w:sz w:val="20"/>
          <w:szCs w:val="20"/>
          <w:color w:val="auto"/>
        </w:rPr>
      </w:pPr>
    </w:p>
    <w:p>
      <w:pPr>
        <w:ind w:right="280" w:firstLine="360"/>
        <w:spacing w:after="0" w:line="289" w:lineRule="auto"/>
        <w:rPr>
          <w:sz w:val="20"/>
          <w:szCs w:val="20"/>
          <w:color w:val="auto"/>
        </w:rPr>
      </w:pPr>
      <w:r>
        <w:rPr>
          <w:rFonts w:ascii="Times New Roman" w:cs="Times New Roman" w:eastAsia="Times New Roman" w:hAnsi="Times New Roman"/>
          <w:sz w:val="17"/>
          <w:szCs w:val="17"/>
          <w:color w:val="auto"/>
        </w:rPr>
        <w:t>As a result of the SBA set-aside program, the federal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SBA set-aside</w:t>
      </w:r>
    </w:p>
    <w:p>
      <w:pPr>
        <w:sectPr>
          <w:pgSz w:w="11900" w:h="16838" w:orient="portrait"/>
          <w:cols w:equalWidth="0" w:num="1">
            <w:col w:w="11420"/>
          </w:cols>
          <w:pgMar w:left="240" w:top="364" w:right="239" w:bottom="0" w:gutter="0" w:footer="0" w:header="0"/>
        </w:sectPr>
      </w:pPr>
    </w:p>
    <w:bookmarkStart w:id="31" w:name="page32"/>
    <w:bookmarkEnd w:id="31"/>
    <w:p>
      <w:pPr>
        <w:ind w:right="120"/>
        <w:spacing w:after="0" w:line="282" w:lineRule="auto"/>
        <w:rPr>
          <w:sz w:val="20"/>
          <w:szCs w:val="20"/>
          <w:color w:val="auto"/>
        </w:rPr>
      </w:pPr>
      <w:r>
        <w:rPr>
          <w:rFonts w:ascii="Times New Roman" w:cs="Times New Roman" w:eastAsia="Times New Roman" w:hAnsi="Times New Roman"/>
          <w:sz w:val="18"/>
          <w:szCs w:val="18"/>
          <w:color w:val="auto"/>
        </w:rPr>
        <w:t>program may impact our ability to bid on new procurements as a prime contractor or restrict our ability to recompete on incumbent work that is placed in the set-aside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a limited number of customers.</w:t>
      </w:r>
    </w:p>
    <w:p>
      <w:pPr>
        <w:spacing w:after="0" w:line="121" w:lineRule="exact"/>
        <w:rPr>
          <w:sz w:val="20"/>
          <w:szCs w:val="20"/>
          <w:color w:val="auto"/>
        </w:rPr>
      </w:pPr>
    </w:p>
    <w:p>
      <w:pPr>
        <w:ind w:firstLine="360"/>
        <w:spacing w:after="0" w:line="313" w:lineRule="auto"/>
        <w:rPr>
          <w:sz w:val="20"/>
          <w:szCs w:val="20"/>
          <w:color w:val="auto"/>
        </w:rPr>
      </w:pPr>
      <w:r>
        <w:rPr>
          <w:rFonts w:ascii="Times New Roman" w:cs="Times New Roman" w:eastAsia="Times New Roman" w:hAnsi="Times New Roman"/>
          <w:sz w:val="17"/>
          <w:szCs w:val="17"/>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significant client could seriously harm our business. For the fiscal year ended December 31, 2006, in our federal business two customers comprised approximately 55% of our federal business revenues, and our five largest customers accounted for approximately 80% of our total federal business revenues.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receive sufficient financing or fail to pay us for services performed, our business may be harmed.</w:t>
      </w:r>
    </w:p>
    <w:p>
      <w:pPr>
        <w:spacing w:after="0" w:line="121"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18"/>
          <w:szCs w:val="18"/>
          <w:color w:val="auto"/>
        </w:rPr>
        <w:t>A few of our customers in our non-federal business rely upon outside financing to pay the costs of the services we provide. These customers may fail to obtain adequate financing or experience delays in receiving financing and they may choose the services of our competitors if our competitors are willing and able to provide project financing. In addition, we have historically taken significant write-offs of our accounts receivable. While the vast majority of our customers today are large federal customers and large enterprises,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keep pace with the latest technological changes.</w:t>
      </w:r>
    </w:p>
    <w:p>
      <w:pPr>
        <w:spacing w:after="0" w:line="12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market for our services is characterized by rapid change and technological improvements. Failure to respond in a timely and cost effective way to these technological developments will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properly manage projects may result in costs or claims.</w:t>
      </w:r>
    </w:p>
    <w:p>
      <w:pPr>
        <w:spacing w:after="0" w:line="121"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prevent fraud.</w:t>
      </w:r>
    </w:p>
    <w:p>
      <w:pPr>
        <w:spacing w:after="0" w:line="121"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As described in Item 4 of this Report we reported a material weakness in internal control over financial reporting related to the Company’s misclassification of our wireless engineering and deployment business, the recording of an adjustment to the carrying value of the assets of the deployment business and the omission of certain disclosures from the March 31, 2007 financial statements, all of which 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collectively indicative that the material weaknesses identified in Item 9A of our Annual Report on Form 10-K for the year ended December 31, 2006 have not been remediated. As a result, management was unable to conclude that our disclosure controls and procedures were effective as of March 31, 2007.</w:t>
      </w:r>
    </w:p>
    <w:p>
      <w:pPr>
        <w:spacing w:after="0" w:line="54"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of 2002 requires our management to report on, and our independent auditors to attest to, the effectiveness of our internal control over financial reporting. We have an ongoing program to perform the system and process evaluation and testing necessary to comply with these requirements. We have and will continue to incur significant expenses and devote management resources to Section 404 compliance on an ongoing basis. In the event our Principal Executive Officer, Principal Financial Officer or independent registered public accounting firm determine in the future that our internal controls over financial reporting are not effective as defined under Section 404, investor perceptions may be adversely affected and could cause a decline in the market price of our stock.</w:t>
      </w:r>
    </w:p>
    <w:p>
      <w:pPr>
        <w:spacing w:after="0" w:line="8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w:t>
      </w:r>
    </w:p>
    <w:p>
      <w:pPr>
        <w:spacing w:after="0" w:line="76" w:lineRule="exact"/>
        <w:rPr>
          <w:sz w:val="20"/>
          <w:szCs w:val="20"/>
          <w:color w:val="auto"/>
        </w:rPr>
      </w:pPr>
    </w:p>
    <w:p>
      <w:pPr>
        <w:ind w:right="280" w:firstLine="360"/>
        <w:spacing w:after="0" w:line="277" w:lineRule="auto"/>
        <w:rPr>
          <w:sz w:val="20"/>
          <w:szCs w:val="20"/>
          <w:color w:val="auto"/>
        </w:rPr>
      </w:pPr>
      <w:r>
        <w:rPr>
          <w:rFonts w:ascii="Times New Roman" w:cs="Times New Roman" w:eastAsia="Times New Roman" w:hAnsi="Times New Roman"/>
          <w:sz w:val="17"/>
          <w:szCs w:val="17"/>
          <w:color w:val="auto"/>
        </w:rPr>
        <w:t>Because of these and other inherent limitations of control systems, there can be no assurance that any design will succeed in achieving its stated goals under all potential future conditions. 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w:t>
      </w:r>
    </w:p>
    <w:p>
      <w:pPr>
        <w:sectPr>
          <w:pgSz w:w="11900" w:h="16838" w:orient="portrait"/>
          <w:cols w:equalWidth="0" w:num="1">
            <w:col w:w="11420"/>
          </w:cols>
          <w:pgMar w:left="240" w:top="121" w:right="239" w:bottom="0" w:gutter="0" w:footer="0" w:header="0"/>
        </w:sectPr>
      </w:pPr>
    </w:p>
    <w:bookmarkStart w:id="32" w:name="page33"/>
    <w:bookmarkEnd w:id="32"/>
    <w:p>
      <w:pPr>
        <w:ind w:right="160"/>
        <w:spacing w:after="0" w:line="282" w:lineRule="auto"/>
        <w:rPr>
          <w:sz w:val="20"/>
          <w:szCs w:val="20"/>
          <w:color w:val="auto"/>
        </w:rPr>
      </w:pPr>
      <w:r>
        <w:rPr>
          <w:rFonts w:ascii="Times New Roman" w:cs="Times New Roman" w:eastAsia="Times New Roman" w:hAnsi="Times New Roman"/>
          <w:sz w:val="18"/>
          <w:szCs w:val="18"/>
          <w:color w:val="auto"/>
        </w:rPr>
        <w:t>public disclosures. Inferior internal controls could also cause investors to lose confidence in our reported financial information, which could have a negative effect on the trading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to fund the growth of our business, and financing may not be available.</w:t>
      </w:r>
    </w:p>
    <w:p>
      <w:pPr>
        <w:spacing w:after="0" w:line="121" w:lineRule="exact"/>
        <w:rPr>
          <w:sz w:val="20"/>
          <w:szCs w:val="20"/>
          <w:color w:val="auto"/>
        </w:rPr>
      </w:pPr>
    </w:p>
    <w:p>
      <w:pPr>
        <w:jc w:val="both"/>
        <w:ind w:right="120" w:firstLine="360"/>
        <w:spacing w:after="0" w:line="261" w:lineRule="auto"/>
        <w:rPr>
          <w:sz w:val="20"/>
          <w:szCs w:val="20"/>
          <w:color w:val="auto"/>
        </w:rPr>
      </w:pPr>
      <w:r>
        <w:rPr>
          <w:rFonts w:ascii="Times New Roman" w:cs="Times New Roman" w:eastAsia="Times New Roman" w:hAnsi="Times New Roman"/>
          <w:sz w:val="18"/>
          <w:szCs w:val="18"/>
          <w:color w:val="auto"/>
        </w:rPr>
        <w:t>We currently anticipate that our available capital resources, including our line of credit, and operating cash flows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w:t>
      </w:r>
    </w:p>
    <w:p>
      <w:pPr>
        <w:spacing w:after="0" w:line="72"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We may raise additional funds through public or private debt or equity financings if such financings become available on favorable terms or we may expand the senior credit facility we entered into on October 2, 2006 to fund future acquisitions and for general corporate purposes. However, we have not been in compliance with the terms of that credit facility as a result of our failure to timely file our annual and quarterly financial statements, and we can provide no assurance that the lender would agree to extend additional or continuing credit under that facility. We believe that, with the filing of our Quarterly Reports on Form 10-Q for the periods ended March 31, 2007 and June 30, 2007, we are no longer in default under this facility.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Any new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harm our business or otherwise distract our management.</w:t>
      </w:r>
    </w:p>
    <w:p>
      <w:pPr>
        <w:spacing w:after="0" w:line="12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68"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trade secrets could aid our competitors.</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result in lawsuits against us and our officers and directors.</w:t>
      </w:r>
    </w:p>
    <w:p>
      <w:pPr>
        <w:spacing w:after="0" w:line="121" w:lineRule="exact"/>
        <w:rPr>
          <w:sz w:val="20"/>
          <w:szCs w:val="20"/>
          <w:color w:val="auto"/>
        </w:rPr>
      </w:pPr>
    </w:p>
    <w:p>
      <w:pPr>
        <w:ind w:right="320" w:firstLine="360"/>
        <w:spacing w:after="0" w:line="261" w:lineRule="auto"/>
        <w:rPr>
          <w:sz w:val="20"/>
          <w:szCs w:val="20"/>
          <w:color w:val="auto"/>
        </w:rPr>
      </w:pPr>
      <w:r>
        <w:rPr>
          <w:rFonts w:ascii="Times New Roman" w:cs="Times New Roman" w:eastAsia="Times New Roman" w:hAnsi="Times New Roman"/>
          <w:sz w:val="18"/>
          <w:szCs w:val="18"/>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72" w:lineRule="exact"/>
        <w:rPr>
          <w:sz w:val="20"/>
          <w:szCs w:val="20"/>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operating results;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by us or our competitors;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earnings estimates;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or dissemination of false information;</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litigation;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market;</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and/or military events associated with current worldwide conflicts; and</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ectPr>
          <w:pgSz w:w="11900" w:h="16838" w:orient="portrait"/>
          <w:cols w:equalWidth="0" w:num="1">
            <w:col w:w="11420"/>
          </w:cols>
          <w:pgMar w:left="240" w:top="121" w:right="2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deter potential acquirers and may depress our stock price.</w:t>
      </w:r>
    </w:p>
    <w:p>
      <w:pPr>
        <w:spacing w:after="0" w:line="121"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54" w:lineRule="exact"/>
        <w:rPr>
          <w:sz w:val="20"/>
          <w:szCs w:val="20"/>
          <w:color w:val="auto"/>
        </w:rPr>
      </w:pPr>
    </w:p>
    <w:p>
      <w:pPr>
        <w:ind w:left="500" w:hanging="13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to issue preferred stock;</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117" w:lineRule="exact"/>
        <w:rPr>
          <w:rFonts w:ascii="Times New Roman" w:cs="Times New Roman" w:eastAsia="Times New Roman" w:hAnsi="Times New Roman"/>
          <w:sz w:val="18"/>
          <w:szCs w:val="18"/>
          <w:color w:val="auto"/>
        </w:rPr>
      </w:pPr>
    </w:p>
    <w:p>
      <w:pPr>
        <w:ind w:left="540" w:right="580" w:hanging="17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meetings of our stockholders;</w:t>
      </w:r>
    </w:p>
    <w:p>
      <w:pPr>
        <w:spacing w:after="0" w:line="53" w:lineRule="exact"/>
        <w:rPr>
          <w:rFonts w:ascii="Times New Roman" w:cs="Times New Roman" w:eastAsia="Times New Roman" w:hAnsi="Times New Roman"/>
          <w:sz w:val="18"/>
          <w:szCs w:val="18"/>
          <w:color w:val="auto"/>
        </w:rPr>
      </w:pPr>
    </w:p>
    <w:p>
      <w:pPr>
        <w:ind w:left="540" w:right="320" w:hanging="17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Delaware General Corporation Law, which prohibits us from engaging in a business combination with an interested stockholder unless specific conditions are met; and</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our executives have agreements with us that entitle them to payments in certain circumstances following a change in control.</w:t>
      </w:r>
    </w:p>
    <w:p>
      <w:pPr>
        <w:spacing w:after="0" w:line="11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In addition, on December 16, 2004, we adopted a stockholder rights plan (“Rights Plan”). Pursuant to the Rights Plan, our Board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non-federal business arena in which we operate has relatively low barriers to entry and increased competition could result in margin erosion, which would make profitability even more difficult to sustain.</w:t>
      </w:r>
    </w:p>
    <w:p>
      <w:pPr>
        <w:spacing w:after="0" w:line="5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Other than the technical skills required in our non-federal business, the barriers to entry in our non-federal business are relatively low. We do not have any intellectual property rights in this segment of our business to protect our methods and business start-up costs do not pose a significant barrier to entry. The success of our non-federal business is dependent on our employees, customer relations and the successful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performance of our services. If we face increased competition as a result of new entrants in our markets, we could experience reduced operating margins and loss of market share and brand recognition.</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non-federal customers do not invest in security systems and other new in-building technologies such as wireless local area networks and/or IP-based networks, our business will suffer.</w:t>
      </w:r>
    </w:p>
    <w:p>
      <w:pPr>
        <w:spacing w:after="0" w:line="51"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goodwill impairment charges in our reporting entities which could harm our profitability.</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profits could be adversely affected by significant changes in the contracting or fiscal policies of the federal government.</w:t>
      </w:r>
    </w:p>
    <w:p>
      <w:pPr>
        <w:spacing w:after="0" w:line="12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We depend on continued federal government expenditures on intelligence, defense and other programs that we support. Accordingly, changes in federal government contracting policies could directly affect our financial performance. In addition, a change in presidential administrations, congressional majorities or in other senior federal government officials may negatively affect the rate at which the federal government purchases IT services. The overall U.S. defense budget declined from time-to-time in the late 1980s and the early 1990s. While spending authorizations for intelligence and defense-related programs by the federal government have increased in recent years, future levels of expenditures and authorizations for those programs may decrease, remain constant or shift to programs in areas where we do not currently provide services. Among the factors that could materially adversely affect us are:</w:t>
      </w:r>
    </w:p>
    <w:p>
      <w:pPr>
        <w:spacing w:after="0" w:line="80" w:lineRule="exact"/>
        <w:rPr>
          <w:sz w:val="20"/>
          <w:szCs w:val="20"/>
          <w:color w:val="auto"/>
        </w:rPr>
      </w:pPr>
    </w:p>
    <w:p>
      <w:pPr>
        <w:ind w:left="540" w:right="8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affecting federal government spending generally, or specific departments or agencies in particular, and changes in fiscal policies or available funding;</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government programs or requirements, including the increased use of small business providers;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the federal government’s use of professional services providers;</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w:t>
      </w:r>
    </w:p>
    <w:p>
      <w:pPr>
        <w:spacing w:after="0" w:line="117" w:lineRule="exact"/>
        <w:rPr>
          <w:rFonts w:ascii="Times New Roman" w:cs="Times New Roman" w:eastAsia="Times New Roman" w:hAnsi="Times New Roman"/>
          <w:sz w:val="18"/>
          <w:szCs w:val="18"/>
          <w:color w:val="auto"/>
        </w:rPr>
      </w:pPr>
    </w:p>
    <w:p>
      <w:pPr>
        <w:ind w:left="540" w:right="48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governmental shutdowns (such as that which occurred during the federal government’s 1996 fiscal year) and other potential delays in the government appropriations process;</w:t>
      </w:r>
    </w:p>
    <w:p>
      <w:pPr>
        <w:spacing w:after="0" w:line="53" w:lineRule="exact"/>
        <w:rPr>
          <w:rFonts w:ascii="Times New Roman" w:cs="Times New Roman" w:eastAsia="Times New Roman" w:hAnsi="Times New Roman"/>
          <w:sz w:val="18"/>
          <w:szCs w:val="18"/>
          <w:color w:val="auto"/>
        </w:rPr>
      </w:pPr>
    </w:p>
    <w:p>
      <w:pPr>
        <w:ind w:left="540" w:right="24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federal government payment offices due to problems with, or upgrades to, federal government information systems, or for other reasons;</w:t>
      </w:r>
    </w:p>
    <w:p>
      <w:pPr>
        <w:sectPr>
          <w:pgSz w:w="11900" w:h="16838" w:orient="portrait"/>
          <w:cols w:equalWidth="0" w:num="1">
            <w:col w:w="11400"/>
          </w:cols>
          <w:pgMar w:left="240" w:top="117" w:right="259" w:bottom="0" w:gutter="0" w:footer="0" w:header="0"/>
        </w:sectPr>
      </w:pPr>
    </w:p>
    <w:bookmarkStart w:id="34" w:name="page35"/>
    <w:bookmarkEnd w:id="34"/>
    <w:p>
      <w:pPr>
        <w:ind w:left="500" w:hanging="13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consolidation in the IT industry;</w:t>
      </w:r>
    </w:p>
    <w:p>
      <w:pPr>
        <w:spacing w:after="0" w:line="117"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hanging="17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spending or shift of expenditures from existing programs, and a failure of Congress to pass adequate supplemental appropriations to pay for an international conflict or related reconstruction efforts;</w:t>
      </w:r>
    </w:p>
    <w:p>
      <w:pPr>
        <w:spacing w:after="0" w:line="54"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These or other factors could cause federal governmental agencies, or prime contractors for which we are acting as a subcontractor, to reduce their purchases under contracts, to exercise their right to terminate contracts or not to exercise options to renew contracts, any of which could cause our revenue and operating profits to decline.</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federal government clients spend their procurement budgets through multiple award contracts under which we are required to compete for post-award orders or for which we may not be eligible to compete and could limit our ability to win new contracts and grow revenue.</w:t>
      </w:r>
    </w:p>
    <w:p>
      <w:pPr>
        <w:spacing w:after="0" w:line="5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Budgetary pressures and reforms in the procurement process have caused many federal government clients to increasingly purchase goods and services through ID/IQ contracts, the GSA Schedule 70 Contracts and other multiple award and/or GWAC vehicles. These contract vehicles have resulted in increased competition and pricing pressure, requiring us to make sustained post-award efforts to realize revenue under the relevant contract vehicle. The federal government’s ability to select multiple winners under multiple award schedule contracts, GWACs, blanket purchase agreements and other ID/IQ contracts, as well as its right to award subsequent task orders among such multiple winners, means that there is no assurance that these multiple award contracts will result in the actual orders equal to the ceiling value, or result in any actual orders. We are only eligible to compete for work (task orders and delivery orders) as a prime contractor pursuant to GWACs already awarded to us. Our failure to compete effectively in this procurement environment could reduce our revenue. If the federal government elects to use a contract vehicle that we do not hold we will not be able to compete as a prime contractor.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complex procurement laws and regulations could cause us to lose business and subject us to a variety of penalties.</w:t>
      </w:r>
    </w:p>
    <w:p>
      <w:pPr>
        <w:spacing w:after="0" w:line="121" w:lineRule="exact"/>
        <w:rPr>
          <w:sz w:val="20"/>
          <w:szCs w:val="20"/>
          <w:color w:val="auto"/>
        </w:rPr>
      </w:pPr>
    </w:p>
    <w:p>
      <w:pPr>
        <w:jc w:val="both"/>
        <w:ind w:right="620" w:firstLine="360"/>
        <w:spacing w:after="0" w:line="282"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federal government contracts, which affect how we do business with our clients and may impose added costs on us. Among the most significant laws and regulations are:</w:t>
      </w:r>
    </w:p>
    <w:p>
      <w:pPr>
        <w:spacing w:after="0" w:line="54" w:lineRule="exact"/>
        <w:rPr>
          <w:sz w:val="20"/>
          <w:szCs w:val="20"/>
          <w:color w:val="auto"/>
        </w:rPr>
      </w:pPr>
    </w:p>
    <w:p>
      <w:pPr>
        <w:ind w:left="540" w:hanging="17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agency regulations supplemental to the Federal Acquisition Regulations, which comprehensively regulate the formation, administration and performance of federal government contracts;</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cost and pricing data in connection with contract negotiations;</w:t>
      </w:r>
    </w:p>
    <w:p>
      <w:pPr>
        <w:spacing w:after="0" w:line="117" w:lineRule="exact"/>
        <w:rPr>
          <w:rFonts w:ascii="Times New Roman" w:cs="Times New Roman" w:eastAsia="Times New Roman" w:hAnsi="Times New Roman"/>
          <w:sz w:val="18"/>
          <w:szCs w:val="18"/>
          <w:color w:val="auto"/>
        </w:rPr>
      </w:pPr>
    </w:p>
    <w:p>
      <w:pPr>
        <w:ind w:left="540" w:right="60" w:hanging="17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Accounting Standards and Cost Principles, which impose accounting requirements that govern our right to reimbursement under certain cost-based federal government contracts; and</w:t>
      </w:r>
    </w:p>
    <w:p>
      <w:pPr>
        <w:spacing w:after="0" w:line="53" w:lineRule="exact"/>
        <w:rPr>
          <w:rFonts w:ascii="Times New Roman" w:cs="Times New Roman" w:eastAsia="Times New Roman" w:hAnsi="Times New Roman"/>
          <w:sz w:val="18"/>
          <w:szCs w:val="18"/>
          <w:color w:val="auto"/>
        </w:rPr>
      </w:pPr>
    </w:p>
    <w:p>
      <w:pPr>
        <w:ind w:left="540" w:right="180" w:hanging="17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and the export of certain products and technical data.</w:t>
      </w:r>
    </w:p>
    <w:p>
      <w:pPr>
        <w:spacing w:after="0" w:line="54"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Moreover, we are subject to industrial security regulations of the DoD and other federal agencies that are designed to safeguard against foreigners’ access to classified information. If we were to come under foreign ownership, control or influence, our federal government clients could terminate or decide not to renew our contracts, and our ability to obtain new contracts could be impaired.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government may revise its procurement or other practices in a manner adverse to us.</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The federal government may revise its procurement practices or adopt new contracting rules and regulations, such as cost accounting standards. It could also adopt new contracting methods relating to GSA contracts, GWACs or other government-wide contracts, or adopt new standards for contract awards intended to achieve certain social or other policy objectives, such as establishing new set-aside programs for small or minority-owned businesses. In addition, the federal government may face restrictions from new legislation or regulations, as well as pressure from government employees and their unions, on the nature and amount of services the federal government may obtain from private contractors. These changes could impair our ability to obtain new contracts or contracts under which we currently perform when those contracts are put up for recompetition bids. Any new contracting methods could be costly or administratively difficult for us to implement, and, as a result, could harm our operating results.</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significant revenue from contracts awarded through a competitive procurement process, which may require significant upfront bid and proposal costs that could negatively affect our operating results.</w:t>
      </w:r>
    </w:p>
    <w:p>
      <w:pPr>
        <w:spacing w:after="0" w:line="51"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We derive significant revenue from federal government contracts that are awarded through a competitive procurement process. We expect that most of the federal government business we seek in the foreseeable future will be awarded through competitive processes. Competitive procurements impose substantial costs and present a number of risks, including:</w:t>
      </w:r>
    </w:p>
    <w:p>
      <w:pPr>
        <w:spacing w:after="0" w:line="68" w:lineRule="exact"/>
        <w:rPr>
          <w:sz w:val="20"/>
          <w:szCs w:val="20"/>
          <w:color w:val="auto"/>
        </w:rPr>
      </w:pPr>
    </w:p>
    <w:p>
      <w:pPr>
        <w:ind w:left="540" w:right="140" w:hanging="17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that we spend to prepare bids and proposals for contracts that may not be awarded to us and could reduce our profitability; and</w:t>
      </w:r>
    </w:p>
    <w:p>
      <w:pPr>
        <w:spacing w:after="0" w:line="53" w:lineRule="exact"/>
        <w:rPr>
          <w:rFonts w:ascii="Times New Roman" w:cs="Times New Roman" w:eastAsia="Times New Roman" w:hAnsi="Times New Roman"/>
          <w:sz w:val="18"/>
          <w:szCs w:val="18"/>
          <w:color w:val="auto"/>
        </w:rPr>
      </w:pPr>
    </w:p>
    <w:p>
      <w:pPr>
        <w:ind w:left="540" w:right="20" w:hanging="17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we may face if our competitors protest or challenge contract awards made to us pursuant to competitive procedures, and the risk that any such protest or challenge could result in the resubmission of offers, or in termination, reduction or modification of the awarded contract, which could result in increased cost and reduced profitability.</w:t>
      </w:r>
    </w:p>
    <w:p>
      <w:pPr>
        <w:spacing w:after="0" w:line="68"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In addition, most federal government contract awards are subject to protest by competitors. If specified legal requirements are satisfied, these protests require the federal government agency to suspend the contractor’s performance of the newly awarded contract pending the outcome of the protest. These protests could also result in a requirement to resubmit bids for the contract or in the termination, reduction or modification of the awarded contract.</w:t>
      </w:r>
    </w:p>
    <w:p>
      <w:pPr>
        <w:sectPr>
          <w:pgSz w:w="11900" w:h="16838" w:orient="portrait"/>
          <w:cols w:equalWidth="0" w:num="1">
            <w:col w:w="11380"/>
          </w:cols>
          <w:pgMar w:left="240" w:top="121" w:right="279" w:bottom="149" w:gutter="0" w:footer="0" w:header="0"/>
        </w:sectPr>
      </w:pPr>
    </w:p>
    <w:bookmarkStart w:id="35" w:name="page36"/>
    <w:bookmarkEnd w:id="3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federal government audit results could subject us to a variety of penalties and sanctions, and could harm our reputation and relationships with our clients and impair our ability to win new contracts.</w:t>
      </w:r>
    </w:p>
    <w:p>
      <w:pPr>
        <w:spacing w:after="0" w:line="5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76"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us or significantly decreased the amount of business it does with us, our revenue and operating profit would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could adversely affect the profitability of the Company.</w:t>
      </w:r>
    </w:p>
    <w:p>
      <w:pPr>
        <w:spacing w:after="0" w:line="121"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Our outstanding borrowings on our Credit Facility of $51.0 million as of March 31, 2007 are subject to changes in short-term interest rates. If interest rates increase in the future, there can be no assurance that future increases in interest expense will not reduce our overall profitability.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Filing</w:t>
            </w: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74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5"/>
                <w:szCs w:val="15"/>
                <w:color w:val="auto"/>
              </w:rPr>
            </w:pPr>
          </w:p>
        </w:tc>
        <w:tc>
          <w:tcPr>
            <w:tcW w:w="47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Stock Purchase Agreement by and among the Company, JMA</w:t>
            </w:r>
          </w:p>
        </w:tc>
        <w:tc>
          <w:tcPr>
            <w:tcW w:w="220" w:type="dxa"/>
            <w:vAlign w:val="bottom"/>
          </w:tcPr>
          <w:p>
            <w:pPr>
              <w:spacing w:after="0"/>
              <w:rPr>
                <w:sz w:val="15"/>
                <w:szCs w:val="15"/>
                <w:color w:val="auto"/>
              </w:rPr>
            </w:pPr>
          </w:p>
        </w:tc>
        <w:tc>
          <w:tcPr>
            <w:tcW w:w="62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5"/>
                <w:szCs w:val="15"/>
                <w:color w:val="auto"/>
              </w:rPr>
            </w:pPr>
          </w:p>
        </w:tc>
        <w:tc>
          <w:tcPr>
            <w:tcW w:w="8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02/02/05</w:t>
            </w: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Associates, Inc. d/b/a TLA Associates, and the Stockholders of</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JMA Associates, Inc., dated as of January 27, 2005.</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Purchase Agreement, dated February 17, 2006, by and</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02/23/06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Sakoki LLC and the Company.</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Addendum and Waiver Related to the Equity Purchase</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06/30/06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Agreement, dated June 26, 2006, by and between Sakoki LLC</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the Company.</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Agreement, dated August 8, 2006, by and among the</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08/14/06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Company, WFI Government Services, Inc., MRC Merger</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Inc. and Madison Research Corporation.</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dated as of March 9, 2007 by and between LCC</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12/31/06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Wireless Engineering Services Limited and the Company.</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Purchase Agreement, dated April 20, 2007, by and</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12/31/06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between the Company and Strategic Project Services, LLC</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Purchase Agreement, dated May 29, 2007, by and between</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05/30/07</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 and LCC International, Inc.</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Purchase Agreement, dated July 7, 2007, by and between</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07/12/07</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 and Burgundy Acquisition Corporation.</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22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09/30/01</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Certificate of Ownership and Merger of Kratos Defense &amp;</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9/12/07</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Solutions, Inc. into Wireless Facilities, Inc.</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Bylaws in effect since November 5, 1999.</w:t>
            </w:r>
          </w:p>
        </w:tc>
        <w:tc>
          <w:tcPr>
            <w:tcW w:w="22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08/18/99</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A</w:t>
            </w: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09/30/01</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B</w:t>
            </w:r>
          </w:p>
        </w:tc>
        <w:tc>
          <w:tcPr>
            <w:tcW w:w="22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06/05/02</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Certificate of Designation of Series C Preferred Stock.</w:t>
            </w:r>
          </w:p>
        </w:tc>
        <w:tc>
          <w:tcPr>
            <w:tcW w:w="22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12/17/04</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220" w:type="dxa"/>
            <w:vAlign w:val="bottom"/>
          </w:tcPr>
          <w:p>
            <w:pPr>
              <w:spacing w:after="0"/>
              <w:rPr>
                <w:sz w:val="23"/>
                <w:szCs w:val="2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08/18/99</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4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7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Agreement, dated as of December 16, 2004, between the</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12/17/04</w:t>
            </w:r>
          </w:p>
        </w:tc>
      </w:tr>
      <w:tr>
        <w:trPr>
          <w:trHeight w:val="234"/>
        </w:trPr>
        <w:tc>
          <w:tcPr>
            <w:tcW w:w="5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and Wells Fargo, N.A.</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Subordinated Promissory Note issued by LCC</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5/30/07</w:t>
            </w:r>
          </w:p>
        </w:tc>
      </w:tr>
      <w:tr>
        <w:trPr>
          <w:trHeight w:val="234"/>
        </w:trPr>
        <w:tc>
          <w:tcPr>
            <w:tcW w:w="5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Inc. to the Company</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ectPr>
          <w:pgSz w:w="11900" w:h="16838" w:orient="portrait"/>
          <w:cols w:equalWidth="0" w:num="1">
            <w:col w:w="11460"/>
          </w:cols>
          <w:pgMar w:left="240" w:top="117" w:right="19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10.2</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Subordination Agreement executed by LCC</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5/30/07</w:t>
            </w: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Inc., the Company and Bank of America, N.A.</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10.3</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 Amendment to Credit Agreement, dated as of June 1,</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6/1/07</w:t>
            </w:r>
          </w:p>
        </w:tc>
      </w:tr>
      <w:tr>
        <w:trPr>
          <w:trHeight w:val="216"/>
        </w:trPr>
        <w:tc>
          <w:tcPr>
            <w:tcW w:w="5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2007, by and among the Company, the lenders party thereto and</w:t>
            </w: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10.4</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Sale Agreement, dated July 3, 2007, by and between SPCP</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7/10/07</w:t>
            </w: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Group, LLC International, Inc. and the Company</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10.5</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Agreement, dated July 3, 2007, by and among the</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7/10/07</w:t>
            </w:r>
          </w:p>
        </w:tc>
      </w:tr>
      <w:tr>
        <w:trPr>
          <w:trHeight w:val="216"/>
        </w:trPr>
        <w:tc>
          <w:tcPr>
            <w:tcW w:w="5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SPCP Group LLC, LCC International, Inc. and Bank</w:t>
            </w: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America, N.A.</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10.7</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Earnout Agreement executed by the Company and</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7/12/07</w:t>
            </w: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Burgundy Acquisition Corporation</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31.1</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w:t>
            </w:r>
          </w:p>
        </w:tc>
        <w:tc>
          <w:tcPr>
            <w:tcW w:w="9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Sarbanes Oxley Act of 2002.</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31.2</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w:t>
            </w:r>
          </w:p>
        </w:tc>
        <w:tc>
          <w:tcPr>
            <w:tcW w:w="9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Sarbanes Oxley Act of 2002.</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32.1</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9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for</w:t>
            </w: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Eric M. DeMarco.</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5"/>
        </w:trPr>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32.2</w:t>
            </w: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9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for</w:t>
            </w: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Deanna Lund.</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702"/>
        </w:trPr>
        <w:tc>
          <w:tcPr>
            <w:tcW w:w="5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6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ERIC M. DEMARCO</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-130810</wp:posOffset>
            </wp:positionV>
            <wp:extent cx="24612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President</w:t>
      </w:r>
    </w:p>
    <w:p>
      <w:pPr>
        <w:spacing w:after="0" w:line="2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DEANNA H. LUND, CPA</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-130810</wp:posOffset>
            </wp:positionV>
            <wp:extent cx="24612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spacing w:after="0" w:line="2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By: /s/ LAURA L. SIEGAL</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Laura L. Siegal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-130810</wp:posOffset>
            </wp:positionV>
            <wp:extent cx="24612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Vice President, Corporate Controller and Principal</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2007</w:t>
      </w: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240" w:top="121" w:right="7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DeMarco, certify that:</w:t>
      </w:r>
    </w:p>
    <w:p>
      <w:pPr>
        <w:spacing w:after="0" w:line="117" w:lineRule="exact"/>
        <w:rPr>
          <w:sz w:val="20"/>
          <w:szCs w:val="20"/>
          <w:color w:val="auto"/>
        </w:rPr>
      </w:pPr>
    </w:p>
    <w:p>
      <w:pPr>
        <w:ind w:left="720" w:hanging="352"/>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Kratos Defense &amp; Security Solutions, Inc.;</w:t>
      </w:r>
    </w:p>
    <w:p>
      <w:pPr>
        <w:spacing w:after="0" w:line="117" w:lineRule="exact"/>
        <w:rPr>
          <w:rFonts w:ascii="Times New Roman" w:cs="Times New Roman" w:eastAsia="Times New Roman" w:hAnsi="Times New Roman"/>
          <w:sz w:val="18"/>
          <w:szCs w:val="18"/>
          <w:color w:val="auto"/>
        </w:rPr>
      </w:pPr>
    </w:p>
    <w:p>
      <w:pPr>
        <w:jc w:val="both"/>
        <w:ind w:left="720" w:right="220" w:hanging="352"/>
        <w:spacing w:after="0" w:line="266"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20" w:right="200" w:hanging="352"/>
        <w:spacing w:after="0" w:line="282"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20" w:right="220" w:hanging="352"/>
        <w:spacing w:after="0" w:line="266"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80" w:right="140" w:hanging="352"/>
        <w:spacing w:after="0" w:line="266" w:lineRule="auto"/>
        <w:tabs>
          <w:tab w:leader="none" w:pos="10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80" w:right="440" w:hanging="352"/>
        <w:spacing w:after="0" w:line="266" w:lineRule="auto"/>
        <w:tabs>
          <w:tab w:leader="none" w:pos="10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80" w:right="600" w:hanging="352"/>
        <w:spacing w:after="0" w:line="282" w:lineRule="auto"/>
        <w:tabs>
          <w:tab w:leader="none" w:pos="10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80" w:right="120" w:hanging="352"/>
        <w:spacing w:after="0" w:line="266" w:lineRule="auto"/>
        <w:tabs>
          <w:tab w:leader="none" w:pos="10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20" w:right="200" w:hanging="352"/>
        <w:spacing w:after="0" w:line="282"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80" w:right="40" w:hanging="352"/>
        <w:spacing w:after="0" w:line="282" w:lineRule="auto"/>
        <w:tabs>
          <w:tab w:leader="none" w:pos="10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80" w:right="540" w:hanging="352"/>
        <w:spacing w:after="0" w:line="282" w:lineRule="auto"/>
        <w:tabs>
          <w:tab w:leader="none" w:pos="10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2007</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-130810</wp:posOffset>
            </wp:positionV>
            <wp:extent cx="26327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Deanna H. Lund, certify that:</w:t>
      </w:r>
    </w:p>
    <w:p>
      <w:pPr>
        <w:spacing w:after="0" w:line="117" w:lineRule="exact"/>
        <w:rPr>
          <w:sz w:val="20"/>
          <w:szCs w:val="20"/>
          <w:color w:val="auto"/>
        </w:rPr>
      </w:pPr>
    </w:p>
    <w:p>
      <w:pPr>
        <w:ind w:left="720" w:hanging="35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Kratos Defense &amp; Security Solutions, Inc.;</w:t>
      </w:r>
    </w:p>
    <w:p>
      <w:pPr>
        <w:spacing w:after="0" w:line="117" w:lineRule="exact"/>
        <w:rPr>
          <w:rFonts w:ascii="Times New Roman" w:cs="Times New Roman" w:eastAsia="Times New Roman" w:hAnsi="Times New Roman"/>
          <w:sz w:val="18"/>
          <w:szCs w:val="18"/>
          <w:color w:val="auto"/>
        </w:rPr>
      </w:pPr>
    </w:p>
    <w:p>
      <w:pPr>
        <w:jc w:val="both"/>
        <w:ind w:left="720" w:right="220" w:hanging="352"/>
        <w:spacing w:after="0" w:line="266" w:lineRule="auto"/>
        <w:tabs>
          <w:tab w:leader="none" w:pos="7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20" w:right="200" w:hanging="352"/>
        <w:spacing w:after="0" w:line="282" w:lineRule="auto"/>
        <w:tabs>
          <w:tab w:leader="none" w:pos="7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20" w:right="220" w:hanging="352"/>
        <w:spacing w:after="0" w:line="266" w:lineRule="auto"/>
        <w:tabs>
          <w:tab w:leader="none" w:pos="7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68" w:lineRule="exact"/>
        <w:rPr>
          <w:rFonts w:ascii="Times New Roman" w:cs="Times New Roman" w:eastAsia="Times New Roman" w:hAnsi="Times New Roman"/>
          <w:sz w:val="18"/>
          <w:szCs w:val="18"/>
          <w:color w:val="auto"/>
        </w:rPr>
      </w:pPr>
    </w:p>
    <w:p>
      <w:pPr>
        <w:ind w:left="1080" w:right="140" w:hanging="352"/>
        <w:spacing w:after="0" w:line="266" w:lineRule="auto"/>
        <w:tabs>
          <w:tab w:leader="none" w:pos="10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80" w:right="440" w:hanging="352"/>
        <w:spacing w:after="0" w:line="266" w:lineRule="auto"/>
        <w:tabs>
          <w:tab w:leader="none" w:pos="10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80" w:right="600" w:hanging="352"/>
        <w:spacing w:after="0" w:line="282" w:lineRule="auto"/>
        <w:tabs>
          <w:tab w:leader="none" w:pos="10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80" w:right="120" w:hanging="352"/>
        <w:spacing w:after="0" w:line="266" w:lineRule="auto"/>
        <w:tabs>
          <w:tab w:leader="none" w:pos="10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20" w:right="200" w:hanging="352"/>
        <w:spacing w:after="0" w:line="282" w:lineRule="auto"/>
        <w:tabs>
          <w:tab w:leader="none" w:pos="7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80" w:right="40" w:hanging="352"/>
        <w:spacing w:after="0" w:line="282" w:lineRule="auto"/>
        <w:tabs>
          <w:tab w:leader="none" w:pos="10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80" w:right="540" w:hanging="352"/>
        <w:spacing w:after="0" w:line="282" w:lineRule="auto"/>
        <w:tabs>
          <w:tab w:leader="none" w:pos="10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2007</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DEANNA H. LUND</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-130810</wp:posOffset>
            </wp:positionV>
            <wp:extent cx="26327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9"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Kratos Defense &amp; Security Solutions, Inc. (the “Company”) on Form 10-Q for the quarter ended March 31, 2007 (the “Report”), I, Eric M. DeMarco,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700" w:hanging="332"/>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17" w:lineRule="exact"/>
        <w:rPr>
          <w:rFonts w:ascii="Times New Roman" w:cs="Times New Roman" w:eastAsia="Times New Roman" w:hAnsi="Times New Roman"/>
          <w:sz w:val="18"/>
          <w:szCs w:val="18"/>
          <w:color w:val="auto"/>
        </w:rPr>
      </w:pPr>
    </w:p>
    <w:p>
      <w:pPr>
        <w:ind w:right="280" w:firstLine="368"/>
        <w:spacing w:after="0" w:line="407" w:lineRule="auto"/>
        <w:tabs>
          <w:tab w:leader="none" w:pos="6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4, 2007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M. DEMARCO</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499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9"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Kratos Defense &amp; Security Solutions, Inc. (the “Company”) on Form 10-Q for the quarter ended March 31, 2007 (the “Report”), I, Deanna H. Lund,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700" w:hanging="332"/>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17" w:lineRule="exact"/>
        <w:rPr>
          <w:rFonts w:ascii="Times New Roman" w:cs="Times New Roman" w:eastAsia="Times New Roman" w:hAnsi="Times New Roman"/>
          <w:sz w:val="18"/>
          <w:szCs w:val="18"/>
          <w:color w:val="auto"/>
        </w:rPr>
      </w:pPr>
    </w:p>
    <w:p>
      <w:pPr>
        <w:ind w:right="280" w:firstLine="368"/>
        <w:spacing w:after="0" w:line="407" w:lineRule="auto"/>
        <w:tabs>
          <w:tab w:leader="none" w:pos="6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4, 2007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DEANNA H. LUND</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19640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lowerLetter"/>
      <w:start w:val="1"/>
    </w:lvl>
    <w:lvl w:ilvl="1">
      <w:lvlJc w:val="left"/>
      <w:lvlText w:val="(%2)"/>
      <w:numFmt w:val="decimal"/>
      <w:start w:val="1"/>
    </w:lvl>
  </w:abstractNum>
  <w:abstractNum w:abstractNumId="3">
    <w:nsid w:val="1BEFD79F"/>
    <w:multiLevelType w:val="hybridMultilevel"/>
    <w:lvl w:ilvl="0">
      <w:lvlJc w:val="left"/>
      <w:lvlText w:val="(%1)"/>
      <w:numFmt w:val="lowerLetter"/>
      <w:start w:val="6"/>
    </w:lvl>
    <w:lvl w:ilvl="1">
      <w:lvlJc w:val="left"/>
      <w:lvlText w:val="%2"/>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2019-12-14T21:57:53Z</dcterms:created>
  <dcterms:modified xsi:type="dcterms:W3CDTF">2019-12-14T21:57:53Z</dcterms:modified>
</cp:coreProperties>
</file>