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163830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24" w:lineRule="exact"/>
        <w:rPr>
          <w:sz w:val="24"/>
          <w:szCs w:val="24"/>
          <w:color w:val="auto"/>
        </w:rPr>
      </w:pPr>
    </w:p>
    <w:p>
      <w:pPr>
        <w:ind w:left="780"/>
        <w:spacing w:after="0"/>
        <w:rPr>
          <w:sz w:val="20"/>
          <w:szCs w:val="20"/>
          <w:color w:val="auto"/>
        </w:rPr>
      </w:pPr>
      <w:r>
        <w:rPr>
          <w:rFonts w:ascii="Arial" w:cs="Arial" w:eastAsia="Arial" w:hAnsi="Arial"/>
          <w:sz w:val="14"/>
          <w:szCs w:val="14"/>
          <w:b w:val="1"/>
          <w:bCs w:val="1"/>
          <w:color w:val="auto"/>
        </w:rPr>
        <w:t>(Mark One)</w:t>
      </w:r>
    </w:p>
    <w:p>
      <w:pPr>
        <w:spacing w:after="0" w:line="5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 FOR THE</w:t>
      </w:r>
    </w:p>
    <w:p>
      <w:pPr>
        <w:spacing w:after="0" w:line="19" w:lineRule="exact"/>
        <w:rPr>
          <w:sz w:val="24"/>
          <w:szCs w:val="24"/>
          <w:color w:val="auto"/>
        </w:rPr>
      </w:pPr>
    </w:p>
    <w:p>
      <w:pPr>
        <w:ind w:left="1880" w:hanging="1386"/>
        <w:spacing w:after="0"/>
        <w:tabs>
          <w:tab w:leader="none" w:pos="18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FISCAL YEAR ENDED DECEMBER 29, 2013</w:t>
      </w:r>
    </w:p>
    <w:p>
      <w:pPr>
        <w:spacing w:after="0" w:line="82" w:lineRule="exact"/>
        <w:rPr>
          <w:sz w:val="24"/>
          <w:szCs w:val="24"/>
          <w:color w:val="auto"/>
        </w:rPr>
      </w:pPr>
    </w:p>
    <w:p>
      <w:pPr>
        <w:ind w:left="1880" w:hanging="1386"/>
        <w:spacing w:after="0"/>
        <w:tabs>
          <w:tab w:leader="none" w:pos="18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AND EXCHANGE ACT OF 1934</w:t>
      </w:r>
    </w:p>
    <w:p>
      <w:pPr>
        <w:spacing w:after="0" w:line="59" w:lineRule="exact"/>
        <w:rPr>
          <w:rFonts w:ascii="MS PGothic" w:cs="MS PGothic" w:eastAsia="MS PGothic" w:hAnsi="MS PGothic"/>
          <w:sz w:val="18"/>
          <w:szCs w:val="18"/>
          <w:color w:val="auto"/>
        </w:rPr>
      </w:pPr>
    </w:p>
    <w:p>
      <w:pPr>
        <w:ind w:left="4640"/>
        <w:spacing w:after="0"/>
        <w:rPr>
          <w:rFonts w:ascii="MS PGothic" w:cs="MS PGothic" w:eastAsia="MS PGothic" w:hAnsi="MS PGothic"/>
          <w:sz w:val="18"/>
          <w:szCs w:val="18"/>
          <w:color w:val="auto"/>
        </w:rPr>
      </w:pPr>
      <w:r>
        <w:rPr>
          <w:rFonts w:ascii="Arial" w:cs="Arial" w:eastAsia="Arial" w:hAnsi="Arial"/>
          <w:sz w:val="14"/>
          <w:szCs w:val="14"/>
          <w:b w:val="1"/>
          <w:bCs w:val="1"/>
          <w:color w:val="auto"/>
        </w:rPr>
        <w:t>Commission file number 001-34460</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KRATOS DEFENSE &amp; SECURITY SOLUTIONS,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r>
        <w:rPr>
          <w:rFonts w:ascii="Arial" w:cs="Arial" w:eastAsia="Arial" w:hAnsi="Arial"/>
          <w:sz w:val="18"/>
          <w:szCs w:val="18"/>
          <w:color w:val="auto"/>
        </w:rPr>
        <w:t>)</w:t>
      </w:r>
    </w:p>
    <w:p>
      <w:pPr>
        <w:spacing w:after="0" w:line="165" w:lineRule="exact"/>
        <w:rPr>
          <w:sz w:val="24"/>
          <w:szCs w:val="24"/>
          <w:color w:val="auto"/>
        </w:rPr>
      </w:pPr>
    </w:p>
    <w:tbl>
      <w:tblPr>
        <w:tblLayout w:type="fixed"/>
        <w:tblInd w:w="2000" w:type="dxa"/>
        <w:tblCellMar>
          <w:top w:w="0" w:type="dxa"/>
          <w:left w:w="0" w:type="dxa"/>
          <w:bottom w:w="0" w:type="dxa"/>
          <w:right w:w="0" w:type="dxa"/>
        </w:tblCellMar>
      </w:tblPr>
      <w:tr>
        <w:trPr>
          <w:trHeight w:val="234"/>
        </w:trPr>
        <w:tc>
          <w:tcPr>
            <w:tcW w:w="2160" w:type="dxa"/>
            <w:vAlign w:val="bottom"/>
          </w:tcPr>
          <w:p>
            <w:pPr>
              <w:jc w:val="center"/>
              <w:ind w:right="362"/>
              <w:spacing w:after="0"/>
              <w:rPr>
                <w:sz w:val="20"/>
                <w:szCs w:val="20"/>
                <w:color w:val="auto"/>
              </w:rPr>
            </w:pPr>
            <w:r>
              <w:rPr>
                <w:rFonts w:ascii="Arial" w:cs="Arial" w:eastAsia="Arial" w:hAnsi="Arial"/>
                <w:sz w:val="18"/>
                <w:szCs w:val="18"/>
                <w:b w:val="1"/>
                <w:bCs w:val="1"/>
                <w:color w:val="auto"/>
                <w:w w:val="91"/>
              </w:rPr>
              <w:t>Delaware</w:t>
            </w:r>
          </w:p>
        </w:tc>
        <w:tc>
          <w:tcPr>
            <w:tcW w:w="5460" w:type="dxa"/>
            <w:vAlign w:val="bottom"/>
          </w:tcPr>
          <w:p>
            <w:pPr>
              <w:jc w:val="right"/>
              <w:ind w:right="536"/>
              <w:spacing w:after="0"/>
              <w:rPr>
                <w:sz w:val="20"/>
                <w:szCs w:val="20"/>
                <w:color w:val="auto"/>
              </w:rPr>
            </w:pPr>
            <w:r>
              <w:rPr>
                <w:rFonts w:ascii="Arial" w:cs="Arial" w:eastAsia="Arial" w:hAnsi="Arial"/>
                <w:sz w:val="18"/>
                <w:szCs w:val="18"/>
                <w:b w:val="1"/>
                <w:bCs w:val="1"/>
                <w:color w:val="auto"/>
              </w:rPr>
              <w:t>13-3818604</w:t>
            </w:r>
          </w:p>
        </w:tc>
        <w:tc>
          <w:tcPr>
            <w:tcW w:w="0" w:type="dxa"/>
            <w:vAlign w:val="bottom"/>
          </w:tcPr>
          <w:p>
            <w:pPr>
              <w:spacing w:after="0"/>
              <w:rPr>
                <w:sz w:val="1"/>
                <w:szCs w:val="1"/>
                <w:color w:val="auto"/>
              </w:rPr>
            </w:pPr>
          </w:p>
        </w:tc>
      </w:tr>
      <w:tr>
        <w:trPr>
          <w:trHeight w:val="184"/>
        </w:trPr>
        <w:tc>
          <w:tcPr>
            <w:tcW w:w="2160" w:type="dxa"/>
            <w:vAlign w:val="bottom"/>
          </w:tcPr>
          <w:p>
            <w:pPr>
              <w:jc w:val="center"/>
              <w:ind w:right="362"/>
              <w:spacing w:after="0"/>
              <w:rPr>
                <w:sz w:val="20"/>
                <w:szCs w:val="20"/>
                <w:color w:val="auto"/>
              </w:rPr>
            </w:pPr>
            <w:r>
              <w:rPr>
                <w:rFonts w:ascii="Arial" w:cs="Arial" w:eastAsia="Arial" w:hAnsi="Arial"/>
                <w:sz w:val="14"/>
                <w:szCs w:val="14"/>
                <w:color w:val="auto"/>
                <w:w w:val="95"/>
              </w:rPr>
              <w:t>(State or other jurisdiction of</w:t>
            </w:r>
          </w:p>
        </w:tc>
        <w:tc>
          <w:tcPr>
            <w:tcW w:w="5460" w:type="dxa"/>
            <w:vAlign w:val="bottom"/>
          </w:tcPr>
          <w:p>
            <w:pPr>
              <w:jc w:val="center"/>
              <w:ind w:left="3276"/>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182"/>
        </w:trPr>
        <w:tc>
          <w:tcPr>
            <w:tcW w:w="2160" w:type="dxa"/>
            <w:vAlign w:val="bottom"/>
          </w:tcPr>
          <w:p>
            <w:pPr>
              <w:jc w:val="center"/>
              <w:ind w:right="342"/>
              <w:spacing w:after="0"/>
              <w:rPr>
                <w:sz w:val="20"/>
                <w:szCs w:val="20"/>
                <w:color w:val="auto"/>
              </w:rPr>
            </w:pPr>
            <w:r>
              <w:rPr>
                <w:rFonts w:ascii="Arial" w:cs="Arial" w:eastAsia="Arial" w:hAnsi="Arial"/>
                <w:sz w:val="14"/>
                <w:szCs w:val="14"/>
                <w:color w:val="auto"/>
                <w:w w:val="95"/>
              </w:rPr>
              <w:t>incorporation or organization)</w:t>
            </w:r>
          </w:p>
        </w:tc>
        <w:tc>
          <w:tcPr>
            <w:tcW w:w="54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4820 Eastgate Mall, Suite 200</w:t>
            </w:r>
          </w:p>
        </w:tc>
        <w:tc>
          <w:tcPr>
            <w:tcW w:w="0" w:type="dxa"/>
            <w:vAlign w:val="bottom"/>
          </w:tcPr>
          <w:p>
            <w:pPr>
              <w:spacing w:after="0"/>
              <w:rPr>
                <w:sz w:val="1"/>
                <w:szCs w:val="1"/>
                <w:color w:val="auto"/>
              </w:rPr>
            </w:pPr>
          </w:p>
        </w:tc>
      </w:tr>
      <w:tr>
        <w:trPr>
          <w:trHeight w:val="228"/>
        </w:trPr>
        <w:tc>
          <w:tcPr>
            <w:tcW w:w="2160" w:type="dxa"/>
            <w:vAlign w:val="bottom"/>
          </w:tcPr>
          <w:p>
            <w:pPr>
              <w:spacing w:after="0"/>
              <w:rPr>
                <w:sz w:val="19"/>
                <w:szCs w:val="19"/>
                <w:color w:val="auto"/>
              </w:rPr>
            </w:pPr>
          </w:p>
        </w:tc>
        <w:tc>
          <w:tcPr>
            <w:tcW w:w="5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(858) 812-7300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area code, of Registrant’s principal executive offices)</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0" w:lineRule="exact"/>
        <w:rPr>
          <w:sz w:val="24"/>
          <w:szCs w:val="24"/>
          <w:color w:val="auto"/>
        </w:rPr>
      </w:pPr>
    </w:p>
    <w:tbl>
      <w:tblPr>
        <w:tblLayout w:type="fixed"/>
        <w:tblInd w:w="224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8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1"/>
              </w:rPr>
              <w:t>Title of Each Class</w:t>
            </w:r>
          </w:p>
        </w:tc>
        <w:tc>
          <w:tcPr>
            <w:tcW w:w="4040" w:type="dxa"/>
            <w:vAlign w:val="bottom"/>
            <w:gridSpan w:val="2"/>
          </w:tcPr>
          <w:p>
            <w:pPr>
              <w:jc w:val="center"/>
              <w:ind w:left="128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11"/>
        </w:trPr>
        <w:tc>
          <w:tcPr>
            <w:tcW w:w="3280" w:type="dxa"/>
            <w:vAlign w:val="bottom"/>
            <w:gridSpan w:val="3"/>
          </w:tcPr>
          <w:p>
            <w:pPr>
              <w:jc w:val="center"/>
              <w:ind w:right="1340"/>
              <w:spacing w:after="0"/>
              <w:rPr>
                <w:sz w:val="20"/>
                <w:szCs w:val="20"/>
                <w:color w:val="auto"/>
              </w:rPr>
            </w:pPr>
            <w:r>
              <w:rPr>
                <w:rFonts w:ascii="Arial" w:cs="Arial" w:eastAsia="Arial" w:hAnsi="Arial"/>
                <w:sz w:val="14"/>
                <w:szCs w:val="14"/>
                <w:color w:val="auto"/>
                <w:w w:val="93"/>
              </w:rPr>
              <w:t>Common Stock, par value $0.001</w:t>
            </w:r>
          </w:p>
        </w:tc>
        <w:tc>
          <w:tcPr>
            <w:tcW w:w="13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5"/>
              </w:rPr>
              <w:t>The NASDAQ Global Select Market</w:t>
            </w:r>
          </w:p>
        </w:tc>
      </w:tr>
    </w:tbl>
    <w:p>
      <w:pPr>
        <w:spacing w:after="0" w:line="88" w:lineRule="exact"/>
        <w:rPr>
          <w:sz w:val="24"/>
          <w:szCs w:val="24"/>
          <w:color w:val="auto"/>
        </w:rPr>
      </w:pPr>
    </w:p>
    <w:p>
      <w:pPr>
        <w:ind w:left="1680"/>
        <w:spacing w:after="0"/>
        <w:rPr>
          <w:sz w:val="20"/>
          <w:szCs w:val="20"/>
          <w:color w:val="auto"/>
        </w:rPr>
      </w:pPr>
      <w:r>
        <w:rPr>
          <w:rFonts w:ascii="Arial" w:cs="Arial" w:eastAsia="Arial" w:hAnsi="Arial"/>
          <w:sz w:val="14"/>
          <w:szCs w:val="14"/>
          <w:color w:val="auto"/>
        </w:rPr>
        <w:t>Right to purchase Shares of Series C Preferred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ind w:left="660" w:right="3060"/>
        <w:spacing w:after="0" w:line="179"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80" w:firstLine="648"/>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 w:lineRule="exact"/>
        <w:rPr>
          <w:sz w:val="24"/>
          <w:szCs w:val="24"/>
          <w:color w:val="auto"/>
        </w:rPr>
      </w:pPr>
    </w:p>
    <w:p>
      <w:pPr>
        <w:ind w:right="240" w:firstLine="648"/>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 w:lineRule="exact"/>
        <w:rPr>
          <w:sz w:val="24"/>
          <w:szCs w:val="24"/>
          <w:color w:val="auto"/>
        </w:rPr>
      </w:pPr>
    </w:p>
    <w:p>
      <w:pPr>
        <w:jc w:val="both"/>
        <w:ind w:firstLine="648"/>
        <w:spacing w:after="0" w:line="169"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ind w:right="540" w:firstLine="648"/>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80" w:lineRule="exact"/>
        <w:rPr>
          <w:sz w:val="24"/>
          <w:szCs w:val="24"/>
          <w:color w:val="auto"/>
        </w:rPr>
      </w:pPr>
    </w:p>
    <w:tbl>
      <w:tblPr>
        <w:tblLayout w:type="fixed"/>
        <w:tblInd w:w="340" w:type="dxa"/>
        <w:tblCellMar>
          <w:top w:w="0" w:type="dxa"/>
          <w:left w:w="0" w:type="dxa"/>
          <w:bottom w:w="0" w:type="dxa"/>
          <w:right w:w="0" w:type="dxa"/>
        </w:tblCellMar>
      </w:tblPr>
      <w:tr>
        <w:trPr>
          <w:trHeight w:val="226"/>
        </w:trPr>
        <w:tc>
          <w:tcPr>
            <w:tcW w:w="6580" w:type="dxa"/>
            <w:vAlign w:val="bottom"/>
          </w:tcPr>
          <w:p>
            <w:pPr>
              <w:jc w:val="center"/>
              <w:ind w:right="1468"/>
              <w:spacing w:after="0"/>
              <w:rPr>
                <w:sz w:val="20"/>
                <w:szCs w:val="20"/>
                <w:color w:val="auto"/>
              </w:rPr>
            </w:pPr>
            <w:r>
              <w:rPr>
                <w:rFonts w:ascii="Arial" w:cs="Arial" w:eastAsia="Arial" w:hAnsi="Arial"/>
                <w:sz w:val="14"/>
                <w:szCs w:val="14"/>
                <w:color w:val="auto"/>
                <w:w w:val="93"/>
              </w:rPr>
              <w:t>Large accelerated filer o</w:t>
            </w:r>
          </w:p>
        </w:tc>
        <w:tc>
          <w:tcPr>
            <w:tcW w:w="2500" w:type="dxa"/>
            <w:vAlign w:val="bottom"/>
          </w:tcPr>
          <w:p>
            <w:pPr>
              <w:jc w:val="center"/>
              <w:ind w:left="728"/>
              <w:spacing w:after="0" w:line="161" w:lineRule="exact"/>
              <w:rPr>
                <w:sz w:val="20"/>
                <w:szCs w:val="20"/>
                <w:color w:val="auto"/>
              </w:rPr>
            </w:pPr>
            <w:r>
              <w:rPr>
                <w:rFonts w:ascii="Arial" w:cs="Arial" w:eastAsia="Arial" w:hAnsi="Arial"/>
                <w:sz w:val="14"/>
                <w:szCs w:val="14"/>
                <w:color w:val="auto"/>
                <w:w w:val="96"/>
              </w:rPr>
              <w:t xml:space="preserve">Accelerated filer </w:t>
            </w:r>
            <w:r>
              <w:rPr>
                <w:rFonts w:ascii="MS PGothic" w:cs="MS PGothic" w:eastAsia="MS PGothic" w:hAnsi="MS PGothic"/>
                <w:sz w:val="14"/>
                <w:szCs w:val="14"/>
                <w:color w:val="auto"/>
                <w:w w:val="96"/>
              </w:rPr>
              <w:t>☒</w:t>
            </w:r>
          </w:p>
        </w:tc>
      </w:tr>
      <w:tr>
        <w:trPr>
          <w:trHeight w:val="200"/>
        </w:trPr>
        <w:tc>
          <w:tcPr>
            <w:tcW w:w="6580" w:type="dxa"/>
            <w:vAlign w:val="bottom"/>
          </w:tcPr>
          <w:p>
            <w:pPr>
              <w:jc w:val="center"/>
              <w:ind w:right="1468"/>
              <w:spacing w:after="0"/>
              <w:rPr>
                <w:sz w:val="20"/>
                <w:szCs w:val="20"/>
                <w:color w:val="auto"/>
              </w:rPr>
            </w:pPr>
            <w:r>
              <w:rPr>
                <w:rFonts w:ascii="Arial" w:cs="Arial" w:eastAsia="Arial" w:hAnsi="Arial"/>
                <w:sz w:val="14"/>
                <w:szCs w:val="14"/>
                <w:color w:val="auto"/>
                <w:w w:val="93"/>
              </w:rPr>
              <w:t>Non-accelerated filer o</w:t>
            </w:r>
          </w:p>
        </w:tc>
        <w:tc>
          <w:tcPr>
            <w:tcW w:w="2500" w:type="dxa"/>
            <w:vAlign w:val="bottom"/>
          </w:tcPr>
          <w:p>
            <w:pPr>
              <w:jc w:val="center"/>
              <w:ind w:left="728"/>
              <w:spacing w:after="0"/>
              <w:rPr>
                <w:sz w:val="20"/>
                <w:szCs w:val="20"/>
                <w:color w:val="auto"/>
              </w:rPr>
            </w:pPr>
            <w:r>
              <w:rPr>
                <w:rFonts w:ascii="Arial" w:cs="Arial" w:eastAsia="Arial" w:hAnsi="Arial"/>
                <w:sz w:val="14"/>
                <w:szCs w:val="14"/>
                <w:color w:val="auto"/>
                <w:w w:val="94"/>
              </w:rPr>
              <w:t>Smaller reporting company o</w:t>
            </w:r>
          </w:p>
        </w:tc>
      </w:tr>
      <w:tr>
        <w:trPr>
          <w:trHeight w:val="203"/>
        </w:trPr>
        <w:tc>
          <w:tcPr>
            <w:tcW w:w="6580" w:type="dxa"/>
            <w:vAlign w:val="bottom"/>
          </w:tcPr>
          <w:p>
            <w:pPr>
              <w:jc w:val="center"/>
              <w:ind w:right="1468"/>
              <w:spacing w:after="0"/>
              <w:rPr>
                <w:sz w:val="20"/>
                <w:szCs w:val="20"/>
                <w:color w:val="auto"/>
              </w:rPr>
            </w:pPr>
            <w:r>
              <w:rPr>
                <w:rFonts w:ascii="Arial" w:cs="Arial" w:eastAsia="Arial" w:hAnsi="Arial"/>
                <w:sz w:val="14"/>
                <w:szCs w:val="14"/>
                <w:color w:val="auto"/>
                <w:w w:val="94"/>
              </w:rPr>
              <w:t>(Do not check if a smaller reporting company)</w:t>
            </w:r>
          </w:p>
        </w:tc>
        <w:tc>
          <w:tcPr>
            <w:tcW w:w="2500" w:type="dxa"/>
            <w:vAlign w:val="bottom"/>
          </w:tcPr>
          <w:p>
            <w:pPr>
              <w:spacing w:after="0"/>
              <w:rPr>
                <w:sz w:val="17"/>
                <w:szCs w:val="17"/>
                <w:color w:val="auto"/>
              </w:rPr>
            </w:pPr>
          </w:p>
        </w:tc>
      </w:tr>
      <w:tr>
        <w:trPr>
          <w:trHeight w:val="329"/>
        </w:trPr>
        <w:tc>
          <w:tcPr>
            <w:tcW w:w="6580" w:type="dxa"/>
            <w:vAlign w:val="bottom"/>
          </w:tcPr>
          <w:p>
            <w:pPr>
              <w:spacing w:after="0"/>
              <w:rPr>
                <w:sz w:val="20"/>
                <w:szCs w:val="20"/>
                <w:color w:val="auto"/>
              </w:rPr>
            </w:pPr>
            <w:r>
              <w:rPr>
                <w:rFonts w:ascii="Arial" w:cs="Arial" w:eastAsia="Arial" w:hAnsi="Arial"/>
                <w:sz w:val="14"/>
                <w:szCs w:val="14"/>
                <w:color w:val="auto"/>
                <w:w w:val="93"/>
              </w:rPr>
              <w:t>Indicate by check mark whether the registrant is a shell company (as defined in Rule 12b-2 of the Exchange Act).</w:t>
            </w:r>
          </w:p>
        </w:tc>
        <w:tc>
          <w:tcPr>
            <w:tcW w:w="250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Yes o No </w:t>
            </w:r>
            <w:r>
              <w:rPr>
                <w:rFonts w:ascii="MS PGothic" w:cs="MS PGothic" w:eastAsia="MS PGothic" w:hAnsi="MS PGothic"/>
                <w:sz w:val="14"/>
                <w:szCs w:val="14"/>
                <w:color w:val="auto"/>
              </w:rPr>
              <w:t>☒</w:t>
            </w:r>
          </w:p>
        </w:tc>
      </w:tr>
    </w:tbl>
    <w:p>
      <w:pPr>
        <w:jc w:val="both"/>
        <w:ind w:right="20" w:firstLine="324"/>
        <w:spacing w:after="0" w:line="271" w:lineRule="auto"/>
        <w:rPr>
          <w:sz w:val="20"/>
          <w:szCs w:val="20"/>
          <w:color w:val="auto"/>
        </w:rPr>
      </w:pPr>
      <w:r>
        <w:rPr>
          <w:rFonts w:ascii="Arial" w:cs="Arial" w:eastAsia="Arial" w:hAnsi="Arial"/>
          <w:sz w:val="13"/>
          <w:szCs w:val="13"/>
          <w:color w:val="auto"/>
        </w:rPr>
        <w:t>The aggregate market value of the registrant's voting and non-voting common stock held by non-affiliates as of June 30, 2013, the last business day of the registrant's most recently completed second fiscal quarter, was approximately $286.6 million, based on the closing sale price for shares of the registrant's common stock as reported by the NASDAQ Global Select Market on such date. This disclosure excludes shares of common stock held by executive officers, directors and stockholders whose individual ownership exceeds 10% of the common stock outstanding on June 30, 2013 because such persons may be deemed to be affiliates. This determination of affiliate status is not necessarily a conclusive determination for any other purpose.</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As of March 7, 2014, 57,416,257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98425</wp:posOffset>
            </wp:positionV>
            <wp:extent cx="7075170" cy="77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7747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Items 10, 11, 12, 13 and 14 of Part III of this annual report on Form 10-K incorporate information by reference from the registrant's definitive proxy statement filed pursuant to Regulation 14A in connection with the registrant's 2014 Annual Meeting of Stockholders or an amendment to this annual report on Form 10-K to be filed with the Securities and Exchange Commission within 120 days after the close of the fiscal year covered by this annual report on Form 10-K.</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9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4"/>
        </w:trPr>
        <w:tc>
          <w:tcPr>
            <w:tcW w:w="9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66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KRATOS DEFENSE &amp; SECURITY SOLUTIONS, INC.</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60" w:type="dxa"/>
            <w:vAlign w:val="bottom"/>
          </w:tcPr>
          <w:p>
            <w:pPr>
              <w:jc w:val="center"/>
              <w:ind w:left="150"/>
              <w:spacing w:after="0"/>
              <w:rPr>
                <w:sz w:val="20"/>
                <w:szCs w:val="20"/>
                <w:color w:val="auto"/>
              </w:rPr>
            </w:pPr>
            <w:r>
              <w:rPr>
                <w:rFonts w:ascii="Arial" w:cs="Arial" w:eastAsia="Arial" w:hAnsi="Arial"/>
                <w:sz w:val="18"/>
                <w:szCs w:val="18"/>
                <w:b w:val="1"/>
                <w:bCs w:val="1"/>
                <w:color w:val="auto"/>
              </w:rPr>
              <w:t>FORM 10-K</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6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FOR THE FISCAL YEAR ENDED DECEMBER 29, 2013</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60" w:type="dxa"/>
            <w:vAlign w:val="bottom"/>
          </w:tcPr>
          <w:p>
            <w:pPr>
              <w:jc w:val="center"/>
              <w:ind w:left="130"/>
              <w:spacing w:after="0"/>
              <w:rPr>
                <w:sz w:val="20"/>
                <w:szCs w:val="20"/>
                <w:color w:val="auto"/>
              </w:rPr>
            </w:pPr>
            <w:r>
              <w:rPr>
                <w:rFonts w:ascii="Arial" w:cs="Arial" w:eastAsia="Arial" w:hAnsi="Arial"/>
                <w:sz w:val="18"/>
                <w:szCs w:val="18"/>
                <w:b w:val="1"/>
                <w:bCs w:val="1"/>
                <w:color w:val="auto"/>
                <w:w w:val="98"/>
              </w:rPr>
              <w:t>TABLE OF CONTENTS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480" w:type="dxa"/>
            <w:vAlign w:val="bottom"/>
            <w:gridSpan w:val="4"/>
          </w:tcPr>
          <w:p>
            <w:pPr>
              <w:ind w:left="5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PART I</w:t>
            </w:r>
          </w:p>
        </w:tc>
        <w:tc>
          <w:tcPr>
            <w:tcW w:w="36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360" w:type="dxa"/>
            <w:vAlign w:val="bottom"/>
            <w:gridSpan w:val="2"/>
            <w:vMerge w:val="restart"/>
          </w:tcPr>
          <w:p>
            <w:pPr>
              <w:spacing w:after="0"/>
              <w:rPr>
                <w:sz w:val="19"/>
                <w:szCs w:val="19"/>
                <w:color w:val="auto"/>
              </w:rPr>
            </w:pPr>
          </w:p>
        </w:tc>
        <w:tc>
          <w:tcPr>
            <w:tcW w:w="100" w:type="dxa"/>
            <w:vAlign w:val="bottom"/>
            <w:vMerge w:val="restart"/>
          </w:tcPr>
          <w:p>
            <w:pPr>
              <w:jc w:val="right"/>
              <w:spacing w:after="0"/>
              <w:rPr>
                <w:rFonts w:ascii="Arial" w:cs="Arial" w:eastAsia="Arial" w:hAnsi="Arial"/>
                <w:sz w:val="18"/>
                <w:szCs w:val="18"/>
                <w:b w:val="1"/>
                <w:bCs w:val="1"/>
                <w:color w:val="0000EE"/>
                <w:w w:val="79"/>
              </w:rPr>
            </w:pPr>
            <w:hyperlink w:anchor="page4">
              <w:r>
                <w:rPr>
                  <w:rFonts w:ascii="Arial" w:cs="Arial" w:eastAsia="Arial" w:hAnsi="Arial"/>
                  <w:sz w:val="18"/>
                  <w:szCs w:val="18"/>
                  <w:b w:val="1"/>
                  <w:bCs w:val="1"/>
                  <w:color w:val="0000EE"/>
                  <w:w w:val="79"/>
                </w:rPr>
                <w:t>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20" w:type="dxa"/>
            <w:vAlign w:val="bottom"/>
          </w:tcPr>
          <w:p>
            <w:pPr>
              <w:ind w:left="40"/>
              <w:spacing w:after="0"/>
              <w:rPr>
                <w:sz w:val="20"/>
                <w:szCs w:val="20"/>
                <w:color w:val="auto"/>
              </w:rPr>
            </w:pPr>
            <w:r>
              <w:rPr>
                <w:rFonts w:ascii="Arial" w:cs="Arial" w:eastAsia="Arial" w:hAnsi="Arial"/>
                <w:sz w:val="18"/>
                <w:szCs w:val="18"/>
                <w:color w:val="auto"/>
              </w:rPr>
              <w:t>Item 1.</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Business</w:t>
            </w:r>
          </w:p>
        </w:tc>
        <w:tc>
          <w:tcPr>
            <w:tcW w:w="1360" w:type="dxa"/>
            <w:vAlign w:val="bottom"/>
            <w:gridSpan w:val="2"/>
            <w:vMerge w:val="continue"/>
          </w:tcPr>
          <w:p>
            <w:pPr>
              <w:spacing w:after="0"/>
              <w:rPr>
                <w:sz w:val="21"/>
                <w:szCs w:val="21"/>
                <w:color w:val="auto"/>
              </w:rPr>
            </w:pPr>
          </w:p>
        </w:tc>
        <w:tc>
          <w:tcPr>
            <w:tcW w:w="100" w:type="dxa"/>
            <w:vAlign w:val="bottom"/>
            <w:tcBorders>
              <w:bottom w:val="single" w:sz="8" w:color="0000EE"/>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1A.</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Risk Factors</w:t>
            </w:r>
          </w:p>
        </w:tc>
        <w:tc>
          <w:tcPr>
            <w:tcW w:w="146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1B.</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Unresolved Staff Comments</w:t>
            </w:r>
          </w:p>
        </w:tc>
        <w:tc>
          <w:tcPr>
            <w:tcW w:w="146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2.</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Properties</w:t>
            </w:r>
          </w:p>
        </w:tc>
        <w:tc>
          <w:tcPr>
            <w:tcW w:w="146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3.</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Legal Proceedings</w:t>
            </w:r>
          </w:p>
        </w:tc>
        <w:tc>
          <w:tcPr>
            <w:tcW w:w="146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4.</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Mine Safety Disclosures</w:t>
            </w:r>
          </w:p>
        </w:tc>
        <w:tc>
          <w:tcPr>
            <w:tcW w:w="146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36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40"/>
              <w:spacing w:after="0"/>
              <w:rPr>
                <w:sz w:val="20"/>
                <w:szCs w:val="20"/>
                <w:color w:val="auto"/>
              </w:rPr>
            </w:pPr>
            <w:r>
              <w:rPr>
                <w:rFonts w:ascii="Arial" w:cs="Arial" w:eastAsia="Arial" w:hAnsi="Arial"/>
                <w:sz w:val="18"/>
                <w:szCs w:val="18"/>
                <w:color w:val="auto"/>
              </w:rPr>
              <w:t>Item 5.</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w w:val="96"/>
              </w:rPr>
              <w:t>Market for the Registrant's Common Equity, Related Stockholder Matters and Issuer Purchases of Equity Securities</w:t>
            </w:r>
          </w:p>
        </w:tc>
        <w:tc>
          <w:tcPr>
            <w:tcW w:w="146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6.</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Selected Financial Data</w:t>
            </w:r>
          </w:p>
        </w:tc>
        <w:tc>
          <w:tcPr>
            <w:tcW w:w="146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7.</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6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7A.</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146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8.</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Financial Statements and Supplementary Data</w:t>
            </w:r>
          </w:p>
        </w:tc>
        <w:tc>
          <w:tcPr>
            <w:tcW w:w="1460" w:type="dxa"/>
            <w:vAlign w:val="bottom"/>
            <w:gridSpan w:val="3"/>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9.</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460" w:type="dxa"/>
            <w:vAlign w:val="bottom"/>
            <w:gridSpan w:val="3"/>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9A.</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Controls and Procedures</w:t>
            </w:r>
          </w:p>
        </w:tc>
        <w:tc>
          <w:tcPr>
            <w:tcW w:w="1460" w:type="dxa"/>
            <w:vAlign w:val="bottom"/>
            <w:gridSpan w:val="3"/>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9B.</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Other Information</w:t>
            </w:r>
          </w:p>
        </w:tc>
        <w:tc>
          <w:tcPr>
            <w:tcW w:w="1460" w:type="dxa"/>
            <w:vAlign w:val="bottom"/>
            <w:gridSpan w:val="3"/>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PART III</w:t>
            </w:r>
          </w:p>
        </w:tc>
        <w:tc>
          <w:tcPr>
            <w:tcW w:w="36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40"/>
              <w:spacing w:after="0"/>
              <w:rPr>
                <w:sz w:val="20"/>
                <w:szCs w:val="20"/>
                <w:color w:val="auto"/>
              </w:rPr>
            </w:pPr>
            <w:r>
              <w:rPr>
                <w:rFonts w:ascii="Arial" w:cs="Arial" w:eastAsia="Arial" w:hAnsi="Arial"/>
                <w:sz w:val="18"/>
                <w:szCs w:val="18"/>
                <w:color w:val="auto"/>
              </w:rPr>
              <w:t>Item 10.</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Directors, Executive Officers and Corporate Governance</w:t>
            </w:r>
          </w:p>
        </w:tc>
        <w:tc>
          <w:tcPr>
            <w:tcW w:w="1460" w:type="dxa"/>
            <w:vAlign w:val="bottom"/>
            <w:gridSpan w:val="3"/>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11.</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Executive Compensation</w:t>
            </w:r>
          </w:p>
        </w:tc>
        <w:tc>
          <w:tcPr>
            <w:tcW w:w="1460" w:type="dxa"/>
            <w:vAlign w:val="bottom"/>
            <w:gridSpan w:val="3"/>
          </w:tcPr>
          <w:p>
            <w:pPr>
              <w:jc w:val="right"/>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64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12.</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460" w:type="dxa"/>
            <w:vAlign w:val="bottom"/>
            <w:gridSpan w:val="3"/>
          </w:tcPr>
          <w:p>
            <w:pPr>
              <w:jc w:val="right"/>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64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13.</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460" w:type="dxa"/>
            <w:vAlign w:val="bottom"/>
            <w:gridSpan w:val="3"/>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14.</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Principal Accounting Fees and Services</w:t>
            </w:r>
          </w:p>
        </w:tc>
        <w:tc>
          <w:tcPr>
            <w:tcW w:w="1460" w:type="dxa"/>
            <w:vAlign w:val="bottom"/>
            <w:gridSpan w:val="3"/>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PART IV</w:t>
            </w:r>
          </w:p>
        </w:tc>
        <w:tc>
          <w:tcPr>
            <w:tcW w:w="36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40"/>
              <w:spacing w:after="0"/>
              <w:rPr>
                <w:sz w:val="20"/>
                <w:szCs w:val="20"/>
                <w:color w:val="auto"/>
              </w:rPr>
            </w:pPr>
            <w:r>
              <w:rPr>
                <w:rFonts w:ascii="Arial" w:cs="Arial" w:eastAsia="Arial" w:hAnsi="Arial"/>
                <w:sz w:val="18"/>
                <w:szCs w:val="18"/>
                <w:color w:val="auto"/>
              </w:rPr>
              <w:t>Item 15.</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Exhibits, Financial Statement Schedules</w:t>
            </w:r>
          </w:p>
        </w:tc>
        <w:tc>
          <w:tcPr>
            <w:tcW w:w="1460" w:type="dxa"/>
            <w:vAlign w:val="bottom"/>
            <w:gridSpan w:val="3"/>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references to “us,” “we,” “our,” the “Company” and “Kratos” refer to Kratos Defense &amp; Security Solutions, Inc., a Delaware Corporation, and its subsidiaries.</w:t>
      </w:r>
    </w:p>
    <w:p>
      <w:pPr>
        <w:spacing w:after="0" w:line="166"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22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i w:val="1"/>
          <w:iCs w:val="1"/>
          <w:color w:val="auto"/>
        </w:rPr>
        <w:t>This Annual Report on Form 10-K (this “Annual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The most important risk and uncertainties that could cause our actual results or achievements to differ materially from the results or achievements expressed in or implied by our forward-looking statements, include, but are not limited to those specifically addressed in Item 1A “Risk Factors” in this Annual Report, as well as those discussed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are a specialized security technology business providing mission critical products, solutions and services for domestic and international customers, with our principal customers being agencies of the U.S. Government. Our core capabilities are sophisticated engineering, manufacturing, technology development, system integration, and test and evaluation offerings for national security platforms and programs. Our principal products and solutions are related to Command, Control, Communications, Computing, Combat Systems, Intelligence, Surveillance and Reconnaissance (“C5ISR”). We offer our customers products, solutions, services and expertise to support their mission critical needs by leveraging our skills across our core offering areas in C5ISR.</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design, engineer and manufacture specialized electronic components, subsystems and systems for electronic attack, electronic warfare, radar, and missile system platforms; integrated technology solutions for satellite communications; products and solutions for unmanned systems; products and services related to cybersecurity and cyberwarfare; products and solutions for ballistic missile defense; weapons systems trainers; advanced network engineering and information technology services; weapons systems lifecycle support and sustainment; military weapon range operations and technical services; and public safety, critical infrastructure security and surveillance systems. We believe our stable customer base, strong customer relationships, broad array of contract vehicles, large employee base possessing specialized skills, extensive list of past performance qualifications, and significant management and operational capabilities position us for continued growth.</w:t>
      </w:r>
    </w:p>
    <w:p>
      <w:pPr>
        <w:spacing w:after="0" w:line="17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August 2011, Congress and the Administration enacted the Budget Control Act of 2011 (the “Budget Control Act”) in order to permit an increase in the federal government's borrowing limit while reducing projected net government spending over the next ten years. The Budget Control Act required $900 billion in immediate cuts to discretionary spending for 2012-2021. It also established a bi-partisan congressional Joint Select Committee on Deficit Reduction (the “Joint Committee”), which was charged with recommending legislation that would reduce net government spending by $1.2 to $1.5 trillion over the next 10 years, in addition to the $900 billion in immediate discretionary spending reductions referenced above. The Joint Committee was unable to identify the required reductions, thereby triggering a provision of the Budget Control Act called “sequestration,” which requires very substantial automatic spending cuts, split between defense and non-defense programs, that started in 2013 and continue over a nine-year period.</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January 2013, Congress enacted the American Taxpayer Relief Act of 2012. It addressed a number of tax code provisions and certain spending issues but left in place the sequester (although delaying its implementation to March 1, 2013) and did not address other fiscal matters such as the debt ceiling. Although debate on budget reductions continued through the first two months of 2013, no resolution was reached prior to the March 1, 2013 sequester deadline. As a result, the President was required by law to issue an order canceling $85 billion in budgetary resources across the U.S. Government for the remainder of FY 2013. The Office of Management and Budget (“OMB”) in its report to Congress of March 1, 2013, entitled “</w:t>
      </w:r>
      <w:r>
        <w:rPr>
          <w:rFonts w:ascii="Arial" w:cs="Arial" w:eastAsia="Arial" w:hAnsi="Arial"/>
          <w:sz w:val="17"/>
          <w:szCs w:val="17"/>
          <w:i w:val="1"/>
          <w:iCs w:val="1"/>
          <w:color w:val="auto"/>
        </w:rPr>
        <w:t>OMB Report to the Congress on</w:t>
      </w:r>
      <w:r>
        <w:rPr>
          <w:rFonts w:ascii="Arial" w:cs="Arial" w:eastAsia="Arial" w:hAnsi="Arial"/>
          <w:sz w:val="17"/>
          <w:szCs w:val="17"/>
          <w:color w:val="auto"/>
        </w:rPr>
        <w:t xml:space="preserve"> </w:t>
      </w:r>
      <w:r>
        <w:rPr>
          <w:rFonts w:ascii="Arial" w:cs="Arial" w:eastAsia="Arial" w:hAnsi="Arial"/>
          <w:sz w:val="17"/>
          <w:szCs w:val="17"/>
          <w:i w:val="1"/>
          <w:iCs w:val="1"/>
          <w:color w:val="auto"/>
        </w:rPr>
        <w:t>the Joint Committee Sequestration,</w:t>
      </w:r>
      <w:r>
        <w:rPr>
          <w:rFonts w:ascii="Arial" w:cs="Arial" w:eastAsia="Arial" w:hAnsi="Arial"/>
          <w:sz w:val="17"/>
          <w:szCs w:val="17"/>
          <w:color w:val="auto"/>
        </w:rPr>
        <w:t>” calculated that, over the course of the fiscal year, the order required a 7.8 percent reduction in non-exempt defense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discretionary funding and a 5.0 percent reduction in non-exempt non-defense discretionary funding. The sequestration also required reductions of 7.9 percent to non-exempt defense mandatory programs. The sequestration report provided calculations of the amounts and percentages by which various budgetary resources are required to be reduced, and a listing of the reductions required for each non-exempt budget account. Federal agencies were directed to apply the same percentage reduction to all programs, projects, and activities within a budget account, as required by Section 256(k)(2) of Balanced Budget and Emergency Deficit Control Act, as amended (“BBEDCA”), and to operate in a manner that is consistent with guidance provided by OMB in Memorandum 13-03, Planning for Uncertainty with Respect to Fiscal Year 2013 Budgetary Resources and Memorandum 13-05, Agency Responsibilities for Implementation of Potential Joint Committee Sequestration.</w:t>
      </w:r>
    </w:p>
    <w:p>
      <w:pPr>
        <w:spacing w:after="0" w:line="18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On April 10, 2013, the President delivered his proposed Fiscal Year ("FY") 2014 budget to Congress. The President's $527 billion FY 2014 defense budget is slightly lower than final defense appropriations for FY 2013. While it largely reflects defense spending plans in the FY 2013 budget, it does not reflect the reductions mandated by Part II of the Budget Control Act. On October 17, 2013, H.R. 2775 the “Continuing Appropriations Act of 2014” was signed into law by the President, extending the debt ceiling through February 7, 2014 and temporarily restoring funding for government agencies. The legislation funds federal agencies only until January 15, 2014, and at the FY 2013 enacted levels, which reflect the first sequestration cuts that took effect in March and a discretionary funding level of $986 billion, the amount available to the appropriators to fund FY 2014 federal government programs.</w:t>
      </w:r>
    </w:p>
    <w:p>
      <w:pPr>
        <w:spacing w:after="0" w:line="16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On December 19, 2013, Congress passed the Bipartisan Budget Act of 2013 (the "Bipartisan Budget"). The Bipartisan Budget is a two-year plan that sets spending for the Pentagon and other federal agencies at $1.012 trillion for fiscal 2014. For fiscal 2015, overall spending would increase only slightly to $1.014 trillion. The plan calls for extending part of the sequester into 2022 and 2023 to get an additional $23 billion in planned savings.</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February 15, 2014 legislation was signed that raises the U.S. debt limit through March 2015. In addition appropriators passed legislation that offsets a significant portion of the sequester cuts. This does translate to a better outlook for the defense industry than what was generally expected for both this year and next. However, we still expect lower or delayed awards on some of our programs, with a related negative impact on our revenues, earnings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Reporting Segments</w:t>
      </w:r>
    </w:p>
    <w:p>
      <w:pPr>
        <w:spacing w:after="0" w:line="229"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We operate in two principal business segments: Kratos Government Solutions (“KGS”) and Public Safety &amp; Security (“PSS”).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financial statements in this Annual Report are presented in a manner consistent with our operating structure. For additional information regarding our reportable segments, see Note 14 of the notes to the Consolidated Financial Statements. From a customer and solutions perspective, we view our business as an integrated whole, leveraging skills and assets wherever possible.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Kratos Government Solutions Segment</w:t>
      </w:r>
    </w:p>
    <w:p>
      <w:pPr>
        <w:spacing w:after="0" w:line="18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KGS segment provides C5ISR products, solutions and services primarily for strategic mission critical national security programs and priorities. Our primary end customers in the KGS segment are U.S. Government agencies, including the Department of Defense ("DoD"), classified agencies, intelligence agencies, civilian agencies, other national security agencies and homeland security related agencies. Our C5ISR products, solutions, and services include the following:</w:t>
      </w:r>
    </w:p>
    <w:p>
      <w:pPr>
        <w:spacing w:after="0" w:line="14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Electronic Warfare/Attack and Intelligence, Reconnaissance and Surveillance. </w:t>
      </w:r>
      <w:r>
        <w:rPr>
          <w:rFonts w:ascii="Arial" w:cs="Arial" w:eastAsia="Arial" w:hAnsi="Arial"/>
          <w:sz w:val="17"/>
          <w:szCs w:val="17"/>
          <w:color w:val="auto"/>
        </w:rPr>
        <w:t>We design, engineer and manufacture a wide variety of radio</w:t>
      </w:r>
      <w:r>
        <w:rPr>
          <w:rFonts w:ascii="Arial" w:cs="Arial" w:eastAsia="Arial" w:hAnsi="Arial"/>
          <w:sz w:val="17"/>
          <w:szCs w:val="17"/>
          <w:i w:val="1"/>
          <w:iCs w:val="1"/>
          <w:color w:val="auto"/>
        </w:rPr>
        <w:t xml:space="preserve"> </w:t>
      </w:r>
      <w:r>
        <w:rPr>
          <w:rFonts w:ascii="Arial" w:cs="Arial" w:eastAsia="Arial" w:hAnsi="Arial"/>
          <w:sz w:val="17"/>
          <w:szCs w:val="17"/>
          <w:color w:val="auto"/>
        </w:rPr>
        <w:t>frequency (“RF”) and microwave component subsystems and systems for use in command and control systems, flight instrumentation, weapons sensors, radar, communication systems, electronic warfare and electronic attack systems. Our products are integrated into many of the DoD's ground, air, and sea-based electronic warfare platforms. Key programs include the Trident II D5 Missile, EA-18G Growler, P-8 Poseidon, E-2D Hawkeye, RC-135 Rivet Joint, F-15 Eagle, Gripen, F-16 Falcon, Eurofighter Typhoon, F-18 E/F Super Hornet and Firefinder Radar.</w:t>
      </w:r>
    </w:p>
    <w:p>
      <w:pPr>
        <w:spacing w:after="0" w:line="13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Satellite Command and Control, Satellite Communications Support, Signal Monitoring, Interference Detection, and Geolocation. </w:t>
      </w:r>
      <w:r>
        <w:rPr>
          <w:rFonts w:ascii="Arial" w:cs="Arial" w:eastAsia="Arial" w:hAnsi="Arial"/>
          <w:sz w:val="16"/>
          <w:szCs w:val="16"/>
          <w:color w:val="auto"/>
        </w:rPr>
        <w:t>We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integrated solutions for the satellite communications and reconnaissance markets. Our products encompass satellite ground systems, including specialized equipment and proprietary software for satellite command and control. Our products and services are also focused on assured command and control of satellite links, including monitoring links between satellites, base stations, and mobile assets such as unmanned vehicles; assuring quality of service; and detecting, locating and defending against interference and cyber attacks. Our solutions are also deployed in support of many next-generation military, national security related and civilian satellite systems including GPS (OCX), environmental systems (GOES-R, NPP, NPOESS), strategic warning (SBIRS), communication systems (AEHF, WGS, MUOS, TDRSS, Iridium) and a majority of global commercial SATCOM systems.</w:t>
      </w:r>
    </w:p>
    <w:p>
      <w:pPr>
        <w:spacing w:after="0" w:line="12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i w:val="1"/>
          <w:iCs w:val="1"/>
          <w:color w:val="auto"/>
        </w:rPr>
        <w:t xml:space="preserve">Unmanned Aerial Systems (“UAS”) and Unmanned Ground Systems (UGS). </w:t>
      </w:r>
      <w:r>
        <w:rPr>
          <w:rFonts w:ascii="Arial" w:cs="Arial" w:eastAsia="Arial" w:hAnsi="Arial"/>
          <w:sz w:val="17"/>
          <w:szCs w:val="17"/>
          <w:color w:val="auto"/>
        </w:rPr>
        <w:t>We design, manufacture, test, and operate aerial target drone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and composite structures, such as the BQM-167A, BQM-167i, and BQM-177A and BQM-177i. We also supply UAS platforms with sensors, avionics and electronic components including electro-optical/infrared sensors, training systems and ground shelters. We also manufacture and provide avionics systems and ground flight control systems for certain UAS platforms. These products and solutions are used on UAS platforms such as the MQ 1C Gray Eagle, MQ-1C Sky Warrior, Gorgon Stare, MQ-8 Fire Scout, RQ-4B Broad Area Maritime Surveillance and the Persistent Threat Detection System ISR platform. We manufacture the air frame for the Miniature Air Launched Decoy (MALD) unmanned aerial system. We are currently in development of a high performance Unmanned Combat Aerial System (UCAS) utilizing our existing UAS technology, aircraft and assets. We are also a provider of UGS command and control systems, robotic systems, support services and solutions.</w:t>
      </w:r>
    </w:p>
    <w:p>
      <w:pPr>
        <w:spacing w:after="0" w:line="13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i w:val="1"/>
          <w:iCs w:val="1"/>
          <w:color w:val="auto"/>
        </w:rPr>
        <w:t xml:space="preserve">Ballistic Missile Defense Test and Evaluation. </w:t>
      </w:r>
      <w:r>
        <w:rPr>
          <w:rFonts w:ascii="Arial" w:cs="Arial" w:eastAsia="Arial" w:hAnsi="Arial"/>
          <w:sz w:val="16"/>
          <w:szCs w:val="16"/>
          <w:color w:val="auto"/>
        </w:rPr>
        <w:t>We have expertise in the area of ballistic missile test and evaluation services, primarily dedicated to</w:t>
      </w:r>
      <w:r>
        <w:rPr>
          <w:rFonts w:ascii="Arial" w:cs="Arial" w:eastAsia="Arial" w:hAnsi="Arial"/>
          <w:sz w:val="16"/>
          <w:szCs w:val="16"/>
          <w:i w:val="1"/>
          <w:iCs w:val="1"/>
          <w:color w:val="auto"/>
        </w:rPr>
        <w:t xml:space="preserve"> </w:t>
      </w:r>
      <w:r>
        <w:rPr>
          <w:rFonts w:ascii="Arial" w:cs="Arial" w:eastAsia="Arial" w:hAnsi="Arial"/>
          <w:sz w:val="16"/>
          <w:szCs w:val="16"/>
          <w:color w:val="auto"/>
        </w:rPr>
        <w:t>AEGIS Ballistic Missile Defense missions. This includes exclusive rights to the marketing of the Oriole Rocket System for target services, sounding rockets and suborbital research. We possess both the intellectual property and subject matter expertise in sensors modeling and simulation associated with a wide range of missile technologies. This area of our business develops and produces low-cost ballistic missile defense targets. These ballistic missile targets or AEGIS Readiness Assessment Vehicles (</w:t>
      </w:r>
      <w:r>
        <w:rPr>
          <w:rFonts w:ascii="Arial" w:cs="Arial" w:eastAsia="Arial" w:hAnsi="Arial"/>
          <w:sz w:val="16"/>
          <w:szCs w:val="16"/>
          <w:i w:val="1"/>
          <w:iCs w:val="1"/>
          <w:color w:val="auto"/>
        </w:rPr>
        <w:t>“</w:t>
      </w:r>
      <w:r>
        <w:rPr>
          <w:rFonts w:ascii="Arial" w:cs="Arial" w:eastAsia="Arial" w:hAnsi="Arial"/>
          <w:sz w:val="16"/>
          <w:szCs w:val="16"/>
          <w:color w:val="auto"/>
        </w:rPr>
        <w:t>ARAV”) are a key test and evaluation component for the U.S. AEGIS based Ballistic Missile Defense forces. We also provide technology, products, services and solutions related to hypersonic vehicles, directed energy weapons and the electromagnetic rail gun.</w:t>
      </w:r>
    </w:p>
    <w:p>
      <w:pPr>
        <w:spacing w:after="0" w:line="124" w:lineRule="exact"/>
        <w:rPr>
          <w:sz w:val="20"/>
          <w:szCs w:val="20"/>
          <w:color w:val="auto"/>
        </w:rPr>
      </w:pPr>
    </w:p>
    <w:p>
      <w:pPr>
        <w:ind w:firstLine="648"/>
        <w:spacing w:after="0" w:line="273" w:lineRule="auto"/>
        <w:rPr>
          <w:sz w:val="20"/>
          <w:szCs w:val="20"/>
          <w:color w:val="auto"/>
        </w:rPr>
      </w:pPr>
      <w:r>
        <w:rPr>
          <w:rFonts w:ascii="Arial" w:cs="Arial" w:eastAsia="Arial" w:hAnsi="Arial"/>
          <w:sz w:val="16"/>
          <w:szCs w:val="16"/>
          <w:i w:val="1"/>
          <w:iCs w:val="1"/>
          <w:color w:val="auto"/>
        </w:rPr>
        <w:t xml:space="preserve">Cyber and IT. </w:t>
      </w:r>
      <w:r>
        <w:rPr>
          <w:rFonts w:ascii="Arial" w:cs="Arial" w:eastAsia="Arial" w:hAnsi="Arial"/>
          <w:sz w:val="16"/>
          <w:szCs w:val="16"/>
          <w:color w:val="auto"/>
        </w:rPr>
        <w:t>We provide a variety of cybersecurity products, solutions and services to the DoD, intelligence community and commercial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We offer NeuralStar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dopplerVUE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our proprietary software based network management products, via software license and maintenance sales, which also serve as a platform for incremental network-based services work. We have extensive experience building complex and secure networks for the U.S. Government and possess in-depth experience with network operations centers. We also scan our customers' networks for cyber threats. We are involved in a wide range of services, including installation, upgrade and maintenance of command, control, computing, and surveillance systems for customers such as the Department of Homeland Security (“DHS”), the U.S. State Department and the Space and the Naval Warfare Systems Center.</w:t>
      </w:r>
    </w:p>
    <w:p>
      <w:pPr>
        <w:spacing w:after="0" w:line="13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i w:val="1"/>
          <w:iCs w:val="1"/>
          <w:color w:val="auto"/>
        </w:rPr>
        <w:t xml:space="preserve">Learning, Performance and Training Solutions. </w:t>
      </w:r>
      <w:r>
        <w:rPr>
          <w:rFonts w:ascii="Arial" w:cs="Arial" w:eastAsia="Arial" w:hAnsi="Arial"/>
          <w:sz w:val="17"/>
          <w:szCs w:val="17"/>
          <w:color w:val="auto"/>
        </w:rPr>
        <w:t>Our learning, performance and training solutions consist of a broad range of products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capabilities. We design, manufacture and market full-scale training simulators for fixed-wing aircraft (Harrier and Prowler), rotary-wing aircraft (UH-60 Blackhawk, CH-47 Chinook, and CH-53 Sea Stallion) and ground combat vehicles (M1 Abrams Main Battle Tank, M2/M3 Bradley fighting vehicles and High Mobility Artillery Rocket Systems or HIMARS). We deliver training solutions and web-enabled or satellite-based interactive distance learning for customers in the DoD, other government agencies, universities and commercial organizations. Our training solutions include services, product development, and tools addressing a wide range of related disciplines that include deep human performance and competency-</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based needs analysis. We specialize in delivering full lifecycle manpower, personnel and training support for acquisition programs and a cross-domain analysis program supporting program systems integration requirements. Our innovative design and development group delivers training solutions that span classroom, field, e-learning, simulation, mobile and serious gaming delivery modalities as well as incorporating learning management services in our own learning management platform or customer-based solutions.</w:t>
      </w:r>
    </w:p>
    <w:p>
      <w:pPr>
        <w:spacing w:after="0" w:line="14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Missile Range Operations and Technical Services. </w:t>
      </w:r>
      <w:r>
        <w:rPr>
          <w:rFonts w:ascii="Arial" w:cs="Arial" w:eastAsia="Arial" w:hAnsi="Arial"/>
          <w:sz w:val="16"/>
          <w:szCs w:val="16"/>
          <w:color w:val="auto"/>
        </w:rPr>
        <w:t>A key area of differentiation for us is within the missile and gun range and technical service areas.</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resources stationed at many major range locations throughout the U.S., including the Naval Air Warfare Center Pt. Mugu, the Hawaii Pacific Missile Range Facility, the White Sands Missile Range, New Mexico and the Naval Service Warfare Center Dahlgren Division. Our services include aerial target operations and maintenance, surface and undersea target operations and maintenance, missile systems operations and maintenance, range operations planning and support, test and evaluation target launch operations, hazardous materials management, supply and logistics support, and manufacturing.</w:t>
      </w:r>
    </w:p>
    <w:p>
      <w:pPr>
        <w:spacing w:after="0" w:line="15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 xml:space="preserve">Weapon Systems Lifecycle Sustainment, Support and Extension. </w:t>
      </w:r>
      <w:r>
        <w:rPr>
          <w:rFonts w:ascii="Arial" w:cs="Arial" w:eastAsia="Arial" w:hAnsi="Arial"/>
          <w:sz w:val="18"/>
          <w:szCs w:val="18"/>
          <w:color w:val="auto"/>
        </w:rPr>
        <w:t>We provide weapons systems lifecycle sustainment, support, and extension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DoD and foreign governments. These services focus on maintaining, testing and repairing certain weapons systems such as the Chaparral and HAWK missile systems and the OH-58 Kiowa helicopter.</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 xml:space="preserve">Manufacturing of Specialized Modular Systems, Tactical Combat Products, Shelters and Enclosures for C5ISR Systems, UAVs, Modular Data Centers and Critical Infrastructure Shelters, Weapons Systems and Warfighters. </w:t>
      </w:r>
      <w:r>
        <w:rPr>
          <w:rFonts w:ascii="Arial" w:cs="Arial" w:eastAsia="Arial" w:hAnsi="Arial"/>
          <w:sz w:val="16"/>
          <w:szCs w:val="16"/>
          <w:color w:val="auto"/>
        </w:rPr>
        <w:t>We provide tactical combat vehicle shelters for C5ISR systems, UASs,</w:t>
      </w:r>
      <w:r>
        <w:rPr>
          <w:rFonts w:ascii="Arial" w:cs="Arial" w:eastAsia="Arial" w:hAnsi="Arial"/>
          <w:sz w:val="16"/>
          <w:szCs w:val="16"/>
          <w:i w:val="1"/>
          <w:iCs w:val="1"/>
          <w:color w:val="auto"/>
        </w:rPr>
        <w:t xml:space="preserve"> </w:t>
      </w:r>
      <w:r>
        <w:rPr>
          <w:rFonts w:ascii="Arial" w:cs="Arial" w:eastAsia="Arial" w:hAnsi="Arial"/>
          <w:sz w:val="16"/>
          <w:szCs w:val="16"/>
          <w:color w:val="auto"/>
        </w:rPr>
        <w:t>weapons systems, missile systems and radars and Warfighters. Our tactical military facilities and products include lightweight, high-strength enclosures for widely recognized military programs and platforms such as the Littoral Combat Ship and the DDG-1000 Destroyer, as well as ruggedized and readily transported enclosures. Our modular data centers and critical infrastructure shelters are used for commercial applications as well as for the protection of U. S employees stationed in consulates and embassies throughout the world. Many of our products include high altitude electromagnetic pulse protection and other types of electromagnetic, electronic warfare and other protections. Our product design approach focuses on highly engineered enclosures and facilities that have the flexibility to be modified to very unique customer specifications. We routinely design, integrate and install other components and systems into our standard products, such as command, control and communication systems infrastructure, racks and cabinets and power distribution and lighting.</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Public Safety &amp; Security Segment (Critical Infrastructure Security)</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PSS segment provides independent integrated security solutions for homeland security, public safety, critical infrastructure, and strategic assets for government, industrial and commercial customers. Our solutions include designing, engineering, installing, operating and servicing physical security systems and technologies that protect people, critical infrastructure, strategic assets, and property and make facilities more secure and efficient. We provide solutions in such areas as the design, engineering and operation of command and control centers; the design, engineering, deployment and integration of access control; building automation and control; communications; digital and closed circuit television security and surveillance; fire and life safety; maintenance and services and product support services.</w:t>
      </w:r>
    </w:p>
    <w:p>
      <w:pPr>
        <w:spacing w:after="0" w:line="19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provide solutions for customers in the critical infrastructure, power generation, power transport, nuclear energy, financial, IT, healthcare, education, transportation and petro-chemical industries, as well as certain government and military customers. For example, we provide biometrics and other access control technologies to customers such as pipelines, electrical grids, municipal port authorities, power plants, communication centers, large data centers, government installations and other commercial enterprises</w:t>
      </w:r>
      <w:r>
        <w:rPr>
          <w:rFonts w:ascii="Arial" w:cs="Arial" w:eastAsia="Arial" w:hAnsi="Arial"/>
          <w:sz w:val="18"/>
          <w:szCs w:val="18"/>
          <w:i w:val="1"/>
          <w:iCs w:val="1"/>
          <w:color w:val="auto"/>
        </w:rPr>
        <w:t>.</w:t>
      </w:r>
      <w:r>
        <w:rPr>
          <w:rFonts w:ascii="Arial" w:cs="Arial" w:eastAsia="Arial" w:hAnsi="Arial"/>
          <w:sz w:val="18"/>
          <w:szCs w:val="18"/>
          <w:color w:val="auto"/>
        </w:rPr>
        <w:t xml:space="preserve"> We have comprehensive experience providing engineering and design services at any phase of a project lifecycle, including program management, engineering design, system engineering, operations and maintenance, and integrated telecommunications.</w:t>
      </w:r>
    </w:p>
    <w:p>
      <w:pPr>
        <w:spacing w:after="0" w:line="19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Security Systems Integration. </w:t>
      </w:r>
      <w:r>
        <w:rPr>
          <w:rFonts w:ascii="Arial" w:cs="Arial" w:eastAsia="Arial" w:hAnsi="Arial"/>
          <w:sz w:val="17"/>
          <w:szCs w:val="17"/>
          <w:color w:val="auto"/>
        </w:rPr>
        <w:t>We have broad experience integrating security services and solutions across a number of network and communications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platforms. In particular, PSS has extensive experience and has developed significant customer relationships by providing best-in-class systems integration services on a variety of platforms including digital (IP) surveillance and security, building automation systems and controls, fire and life safety systems, access control and perimeter protection, and service and maintenance of the aforementioned systems.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believe we have robust intellectual property, capabilities, customer relationships, platform positions and past performance qualifications in our respective business areas, including a work force that is experienced with the various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programs and platforms we support and the customers we serve. We believe the following key strengths distinguish us competitively:</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Significant and highly specialized experience. </w:t>
      </w:r>
      <w:r>
        <w:rPr>
          <w:rFonts w:ascii="Arial" w:cs="Arial" w:eastAsia="Arial" w:hAnsi="Arial"/>
          <w:sz w:val="17"/>
          <w:szCs w:val="17"/>
          <w:color w:val="auto"/>
        </w:rPr>
        <w:t>Through existing customer engagements and the government-focused acquisitions we have performed</w:t>
      </w:r>
      <w:r>
        <w:rPr>
          <w:rFonts w:ascii="Arial" w:cs="Arial" w:eastAsia="Arial" w:hAnsi="Arial"/>
          <w:sz w:val="17"/>
          <w:szCs w:val="17"/>
          <w:i w:val="1"/>
          <w:iCs w:val="1"/>
          <w:color w:val="auto"/>
        </w:rPr>
        <w:t xml:space="preserve"> </w:t>
      </w:r>
      <w:r>
        <w:rPr>
          <w:rFonts w:ascii="Arial" w:cs="Arial" w:eastAsia="Arial" w:hAnsi="Arial"/>
          <w:sz w:val="17"/>
          <w:szCs w:val="17"/>
          <w:color w:val="auto"/>
        </w:rPr>
        <w:t>on and completed over the past several years, we have amassed significant and highly specialized experience in areas directly related to C5ISR, including cybersecurity, cyberwarfare, information assurance and situational awareness; military range operations and technical services; missile, rocket, and weapons systems test and evaluation; mission launch services; modeling and simulation; UAS and UGS products and technology; advanced network engineering and IT services; and public safety, security and surveillance systems integration. We also produce products and provide solutions and services related to certain C5ISR platforms, unmanned system platforms, weapons systems, national security related assets and Warfighter systems. This collective experience, or past performance qualifications, is a requirement for the majority of our contract vehicles and customer engagements. Many of our approximately 3,800 employees have specialized national security expertise. Many of the products that we produce include or contain our intellectual property. Many of the program positions we have are on a “sole source” basis. We believe these characteristics represent a significant competitive strength and position us to win renewal or follow-on business.</w:t>
      </w:r>
    </w:p>
    <w:p>
      <w:pPr>
        <w:spacing w:after="0" w:line="17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Specialized national security focus aligned with mission-critical national security priorities. </w:t>
      </w:r>
      <w:r>
        <w:rPr>
          <w:rFonts w:ascii="Arial" w:cs="Arial" w:eastAsia="Arial" w:hAnsi="Arial"/>
          <w:sz w:val="16"/>
          <w:szCs w:val="16"/>
          <w:color w:val="auto"/>
        </w:rPr>
        <w:t>Continued concerns related to the threats posed by</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foreign nations and terrorists have caused the U.S. Government to identify national security as an area of functional and spending priority. Budget pressures, particularly related to DoD spending, have placed a premium on developing and fielding relatively low-cost, high-technology solutions to assist in national security missions. Our primary capabilities and areas of focus, listed below, are strongly aligned with the objectives of the U.S. Government:</w:t>
      </w:r>
    </w:p>
    <w:p>
      <w:pPr>
        <w:spacing w:after="0" w:line="154" w:lineRule="exact"/>
        <w:rPr>
          <w:sz w:val="20"/>
          <w:szCs w:val="20"/>
          <w:color w:val="auto"/>
        </w:rPr>
      </w:pPr>
    </w:p>
    <w:p>
      <w:pPr>
        <w:ind w:left="1800" w:hanging="495"/>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Intelligence, surveillance and reconnaissance</w:t>
      </w:r>
    </w:p>
    <w:p>
      <w:pPr>
        <w:spacing w:after="0" w:line="23" w:lineRule="exact"/>
        <w:rPr>
          <w:rFonts w:ascii="Arial" w:cs="Arial" w:eastAsia="Arial" w:hAnsi="Arial"/>
          <w:sz w:val="18"/>
          <w:szCs w:val="18"/>
          <w:color w:val="auto"/>
        </w:rPr>
      </w:pPr>
    </w:p>
    <w:p>
      <w:pPr>
        <w:ind w:left="1800" w:hanging="495"/>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Satellite communications and radio frequency detection</w:t>
      </w:r>
    </w:p>
    <w:p>
      <w:pPr>
        <w:spacing w:after="0" w:line="9" w:lineRule="exact"/>
        <w:rPr>
          <w:rFonts w:ascii="Arial" w:cs="Arial" w:eastAsia="Arial" w:hAnsi="Arial"/>
          <w:sz w:val="18"/>
          <w:szCs w:val="18"/>
          <w:color w:val="auto"/>
        </w:rPr>
      </w:pPr>
    </w:p>
    <w:p>
      <w:pPr>
        <w:ind w:left="1800" w:hanging="495"/>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Command, control and combat systems</w:t>
      </w:r>
    </w:p>
    <w:p>
      <w:pPr>
        <w:spacing w:after="0" w:line="9" w:lineRule="exact"/>
        <w:rPr>
          <w:rFonts w:ascii="Arial" w:cs="Arial" w:eastAsia="Arial" w:hAnsi="Arial"/>
          <w:sz w:val="18"/>
          <w:szCs w:val="18"/>
          <w:color w:val="auto"/>
        </w:rPr>
      </w:pPr>
    </w:p>
    <w:p>
      <w:pPr>
        <w:ind w:left="1800" w:hanging="495"/>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Unmanned systems</w:t>
      </w:r>
    </w:p>
    <w:p>
      <w:pPr>
        <w:spacing w:after="0" w:line="9" w:lineRule="exact"/>
        <w:rPr>
          <w:rFonts w:ascii="Arial" w:cs="Arial" w:eastAsia="Arial" w:hAnsi="Arial"/>
          <w:sz w:val="18"/>
          <w:szCs w:val="18"/>
          <w:color w:val="auto"/>
        </w:rPr>
      </w:pPr>
    </w:p>
    <w:p>
      <w:pPr>
        <w:ind w:left="1800" w:hanging="495"/>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Ballistic missile defense</w:t>
      </w:r>
    </w:p>
    <w:p>
      <w:pPr>
        <w:spacing w:after="0" w:line="9" w:lineRule="exact"/>
        <w:rPr>
          <w:rFonts w:ascii="Arial" w:cs="Arial" w:eastAsia="Arial" w:hAnsi="Arial"/>
          <w:sz w:val="18"/>
          <w:szCs w:val="18"/>
          <w:color w:val="auto"/>
        </w:rPr>
      </w:pPr>
    </w:p>
    <w:p>
      <w:pPr>
        <w:ind w:left="1800" w:hanging="495"/>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Electronic warfare and attack</w:t>
      </w:r>
    </w:p>
    <w:p>
      <w:pPr>
        <w:spacing w:after="0" w:line="9" w:lineRule="exact"/>
        <w:rPr>
          <w:rFonts w:ascii="Arial" w:cs="Arial" w:eastAsia="Arial" w:hAnsi="Arial"/>
          <w:sz w:val="18"/>
          <w:szCs w:val="18"/>
          <w:color w:val="auto"/>
        </w:rPr>
      </w:pPr>
    </w:p>
    <w:p>
      <w:pPr>
        <w:ind w:left="1800" w:hanging="495"/>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and information assurance</w:t>
      </w:r>
    </w:p>
    <w:p>
      <w:pPr>
        <w:spacing w:after="0" w:line="200" w:lineRule="exact"/>
        <w:rPr>
          <w:sz w:val="20"/>
          <w:szCs w:val="20"/>
          <w:color w:val="auto"/>
        </w:rPr>
      </w:pPr>
    </w:p>
    <w:p>
      <w:pPr>
        <w:spacing w:after="0" w:line="22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Diverse base of key contracts with low concentration. </w:t>
      </w:r>
      <w:r>
        <w:rPr>
          <w:rFonts w:ascii="Arial" w:cs="Arial" w:eastAsia="Arial" w:hAnsi="Arial"/>
          <w:sz w:val="16"/>
          <w:szCs w:val="16"/>
          <w:color w:val="auto"/>
        </w:rPr>
        <w:t>Many of our contracts are single-award, where Kratos is the only awardee by the customer. In</w:t>
      </w:r>
      <w:r>
        <w:rPr>
          <w:rFonts w:ascii="Arial" w:cs="Arial" w:eastAsia="Arial" w:hAnsi="Arial"/>
          <w:sz w:val="16"/>
          <w:szCs w:val="16"/>
          <w:i w:val="1"/>
          <w:iCs w:val="1"/>
          <w:color w:val="auto"/>
        </w:rPr>
        <w:t xml:space="preserve"> </w:t>
      </w:r>
      <w:r>
        <w:rPr>
          <w:rFonts w:ascii="Arial" w:cs="Arial" w:eastAsia="Arial" w:hAnsi="Arial"/>
          <w:sz w:val="16"/>
          <w:szCs w:val="16"/>
          <w:color w:val="auto"/>
        </w:rPr>
        <w:t>many cases, our ability to obtain single award, sole source contracts is due to our intellectual property, past performance qualifications and relative experience. Additionally, as a result of our business development focus on securing key contracts, we are also a preferred contractor on numerous multi-year, government-wide acquisition contracts (“GWACs”) and multiple award contracts ("MACs"). Our preferred contractor status provides us with the opportunity to bid on billions of dollars of business each year against a discrete number of other pre-qualified companies. We have a highly diverse base of contracts with no contract representing more than 6% of 2013 revenue. Our fixed-price contracts, almost all of which are production contracts, represent approximately 80% of our 2013 revenue. Our cost-plus-fee contracts and time and materials contracts represent approximately 14% and 6%, respectively, of our 2013 revenue. We believe our diverse base of key contracts and low reliance on any one contract provides us with a stable, balanced revenue stream.</w:t>
      </w:r>
    </w:p>
    <w:p>
      <w:pPr>
        <w:spacing w:after="0" w:line="16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i w:val="1"/>
          <w:iCs w:val="1"/>
          <w:color w:val="auto"/>
        </w:rPr>
        <w:t xml:space="preserve">In-depth understanding of customer missions. </w:t>
      </w:r>
      <w:r>
        <w:rPr>
          <w:rFonts w:ascii="Arial" w:cs="Arial" w:eastAsia="Arial" w:hAnsi="Arial"/>
          <w:sz w:val="16"/>
          <w:szCs w:val="16"/>
          <w:color w:val="auto"/>
        </w:rPr>
        <w:t>We have a reputation for providing mission-critical products, solutions and services to our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Our long-term relationships with the U.S. Air Force, U.S. Army, and U.S. Navy and other national security related customers and agencies enable us to develop an in-depth understanding of their missions and technical requirements. In addition, the majority of our employees are located at our customer sites, at secure manufacturing facilities or at critical infrastructure locations, all of which provides valuable strategic insight into our customers' ongoing missions and future program requirements. This understanding of our customers' missions, requirements and needs, in conjunction with the strategic location of our employees, enables us to offer technical solutions tailored to our customers' specific requirements and evolving mission objectives. In addition, once we are on-site with a customer, we have historically been successful in winning new and recompete business.</w:t>
      </w:r>
    </w:p>
    <w:p>
      <w:pPr>
        <w:spacing w:after="0" w:line="163" w:lineRule="exact"/>
        <w:rPr>
          <w:sz w:val="20"/>
          <w:szCs w:val="20"/>
          <w:color w:val="auto"/>
        </w:rPr>
      </w:pPr>
    </w:p>
    <w:p>
      <w:pPr>
        <w:ind w:right="180" w:firstLine="648"/>
        <w:spacing w:after="0" w:line="314" w:lineRule="auto"/>
        <w:rPr>
          <w:sz w:val="20"/>
          <w:szCs w:val="20"/>
          <w:color w:val="auto"/>
        </w:rPr>
      </w:pPr>
      <w:r>
        <w:rPr>
          <w:rFonts w:ascii="Arial" w:cs="Arial" w:eastAsia="Arial" w:hAnsi="Arial"/>
          <w:sz w:val="16"/>
          <w:szCs w:val="16"/>
          <w:i w:val="1"/>
          <w:iCs w:val="1"/>
          <w:color w:val="auto"/>
        </w:rPr>
        <w:t xml:space="preserve">Significant cash flow visibility driven by stable backlog. </w:t>
      </w:r>
      <w:r>
        <w:rPr>
          <w:rFonts w:ascii="Arial" w:cs="Arial" w:eastAsia="Arial" w:hAnsi="Arial"/>
          <w:sz w:val="16"/>
          <w:szCs w:val="16"/>
          <w:color w:val="auto"/>
        </w:rPr>
        <w:t>As of December 29, 2013, our total backlog (see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Backlog</w:t>
      </w:r>
      <w:r>
        <w:rPr>
          <w:rFonts w:ascii="Arial" w:cs="Arial" w:eastAsia="Arial" w:hAnsi="Arial"/>
          <w:sz w:val="16"/>
          <w:szCs w:val="16"/>
          <w:i w:val="1"/>
          <w:iCs w:val="1"/>
          <w:color w:val="auto"/>
        </w:rPr>
        <w:t xml:space="preserve"> </w:t>
      </w:r>
      <w:r>
        <w:rPr>
          <w:rFonts w:ascii="Arial" w:cs="Arial" w:eastAsia="Arial" w:hAnsi="Arial"/>
          <w:sz w:val="16"/>
          <w:szCs w:val="16"/>
          <w:color w:val="auto"/>
        </w:rPr>
        <w:t>below) was approximately $1.1</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of which approximately $541.0 million was funded backlog. The majority of our sales are from orders issued under long-term contracts, typically three to five years in duration. Our contract backlog provides visibility into stable future revenue and cash flow over a diverse set of contracts.</w:t>
      </w:r>
    </w:p>
    <w:p>
      <w:pPr>
        <w:spacing w:after="0" w:line="5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Highly skilled employees and an experienced management team. </w:t>
      </w:r>
      <w:r>
        <w:rPr>
          <w:rFonts w:ascii="Arial" w:cs="Arial" w:eastAsia="Arial" w:hAnsi="Arial"/>
          <w:sz w:val="18"/>
          <w:szCs w:val="18"/>
          <w:color w:val="auto"/>
        </w:rPr>
        <w:t>We deliver our services through a skilled and primarily technically oriented</w:t>
      </w:r>
      <w:r>
        <w:rPr>
          <w:rFonts w:ascii="Arial" w:cs="Arial" w:eastAsia="Arial" w:hAnsi="Arial"/>
          <w:sz w:val="18"/>
          <w:szCs w:val="18"/>
          <w:i w:val="1"/>
          <w:iCs w:val="1"/>
          <w:color w:val="auto"/>
        </w:rPr>
        <w:t xml:space="preserve"> </w:t>
      </w:r>
      <w:r>
        <w:rPr>
          <w:rFonts w:ascii="Arial" w:cs="Arial" w:eastAsia="Arial" w:hAnsi="Arial"/>
          <w:sz w:val="18"/>
          <w:szCs w:val="18"/>
          <w:color w:val="auto"/>
        </w:rPr>
        <w:t>workforce of approximately 3,800 employees. Our senior managers have significant experience</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 U.S. Government agencies, the U.S. military and U.S. Government contractors. A significant number of our employees hold National Security clearances. Members of our management team have experience growing businesses both organically and through acquisitions. We believe that the cumulative experience and differentiated expertise of our personnel in our core focus areas, coupled with our sizable employee base allows us to qualify for and bid on larger projects in a prime contracting role.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4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strategy is to continue to grow our business as a leading provider of highly differentiated technology, products, solutions and services in our core areas of focus, as noted previously, by delivering comprehensive, leading technology products, high-end engineering services, technical solutions, product manufacturing, and IT solutions to U.S. Government agencies while improving our margin rates, overall profitability and operating cash flows. To achieve our objective, we intend to primarily focus on internal growth and to eliminate costs where possible.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Growth</w:t>
      </w:r>
    </w:p>
    <w:p>
      <w:pPr>
        <w:spacing w:after="0" w:line="14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We are focused on generating internal growth by capitalizing on our current contract base and customer relationships, expanding product, solution and service offerings provided to our existing technology, intellectual property, and product,customers, and expanding our overall customer and contract base.</w:t>
      </w:r>
    </w:p>
    <w:p>
      <w:pPr>
        <w:spacing w:after="0" w:line="4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i w:val="1"/>
          <w:iCs w:val="1"/>
          <w:color w:val="auto"/>
        </w:rPr>
        <w:t xml:space="preserve">Expand Technology Product, Solution and Service Offerings Provided to Existing customers. </w:t>
      </w:r>
      <w:r>
        <w:rPr>
          <w:rFonts w:ascii="Arial" w:cs="Arial" w:eastAsia="Arial" w:hAnsi="Arial"/>
          <w:sz w:val="16"/>
          <w:szCs w:val="16"/>
          <w:color w:val="auto"/>
        </w:rPr>
        <w:t>We are focused on expanding the technology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and services we provide to our current customers by leveraging our strong relationships, technical capabilities and past performance record and by offering a wider range of comprehensive products and solutions as we make select investments in specialized products and solutions we believe can be growth areas for us. In regard to new areas of specialization, we have expanded our product and service offerings to include manufacturing of specialized defense electronics products, integrated technology solutions for satellite communications and specialized unmanned aerial targets, unmanned aerial systems and unmanned ground systems. We believe our understanding of customer missions, processes, needs and requirements, and our ability to deliver low cost, technology leading products and solutions, positions us well for success in the current constrained budget environment.</w:t>
      </w:r>
    </w:p>
    <w:p>
      <w:pPr>
        <w:spacing w:after="0" w:line="86"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 xml:space="preserve">Capitalize on Current Contract Base. </w:t>
      </w:r>
      <w:r>
        <w:rPr>
          <w:rFonts w:ascii="Arial" w:cs="Arial" w:eastAsia="Arial" w:hAnsi="Arial"/>
          <w:sz w:val="18"/>
          <w:szCs w:val="18"/>
          <w:color w:val="auto"/>
        </w:rPr>
        <w:t>We are pursuing new program and contract opportunities and awards as we build the business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expanding technology base, contract portfolio, and product, solution and service offerings. We are aggressively pursuing task orders under existing contract vehicles to maximize our revenue and strengthen our customer relationships. We are also aggressively pursuing several new National Security programs, including SEWIP, NGJ, AMDR, SABR, F-35, directed energy systems, hypersonic systems, electromagnetic rail gun systems, unmanned combat aerial systems, unmanned ground systems and robotics. We have developed several internal tools that facilitate our ability to track, prioritize and win task orders under these vehicles. Combining these tools with our technical expertise, our strong past performance record and our knowledge of our customers' needs should position us to win additional task orders.</w:t>
      </w:r>
    </w:p>
    <w:p>
      <w:pPr>
        <w:spacing w:after="0" w:line="10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Expand customer and Contract Base. </w:t>
      </w:r>
      <w:r>
        <w:rPr>
          <w:rFonts w:ascii="Arial" w:cs="Arial" w:eastAsia="Arial" w:hAnsi="Arial"/>
          <w:sz w:val="18"/>
          <w:szCs w:val="18"/>
          <w:color w:val="auto"/>
        </w:rPr>
        <w:t>We are also focused on expanding our customer base into areas with significant growth opportunities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leveraging our technology capabilities, industry reputation, long-term customer relationships and diverse contract base. We anticipate that this expansion will enable us both to pursue additional higher value work and to further diversify our revenue base across the U.S. Government and with international and commercial customers</w:t>
      </w:r>
    </w:p>
    <w:p>
      <w:pPr>
        <w:spacing w:after="0" w:line="10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Improve Operating Margins. </w:t>
      </w:r>
      <w:r>
        <w:rPr>
          <w:rFonts w:ascii="Arial" w:cs="Arial" w:eastAsia="Arial" w:hAnsi="Arial"/>
          <w:sz w:val="18"/>
          <w:szCs w:val="18"/>
          <w:color w:val="auto"/>
        </w:rPr>
        <w:t>We believe that we have opportunities to increase our operating margins and improve profitability by capitalizing on</w:t>
      </w:r>
      <w:r>
        <w:rPr>
          <w:rFonts w:ascii="Arial" w:cs="Arial" w:eastAsia="Arial" w:hAnsi="Arial"/>
          <w:sz w:val="18"/>
          <w:szCs w:val="18"/>
          <w:i w:val="1"/>
          <w:iCs w:val="1"/>
          <w:color w:val="auto"/>
        </w:rPr>
        <w:t xml:space="preserve"> </w:t>
      </w:r>
      <w:r>
        <w:rPr>
          <w:rFonts w:ascii="Arial" w:cs="Arial" w:eastAsia="Arial" w:hAnsi="Arial"/>
          <w:sz w:val="18"/>
          <w:szCs w:val="18"/>
          <w:color w:val="auto"/>
        </w:rPr>
        <w:t>our corporate infrastructure investments and internally developed tools, improving efficiencies and reducing costs, and concentrating our efforts on increasing the percentage of revenues generated from high value-added contracts.</w:t>
      </w:r>
    </w:p>
    <w:p>
      <w:pPr>
        <w:spacing w:after="0" w:line="10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i w:val="1"/>
          <w:iCs w:val="1"/>
          <w:color w:val="auto"/>
        </w:rPr>
        <w:t xml:space="preserve">Capitalize on Corporate Infrastructure Investments. </w:t>
      </w:r>
      <w:r>
        <w:rPr>
          <w:rFonts w:ascii="Arial" w:cs="Arial" w:eastAsia="Arial" w:hAnsi="Arial"/>
          <w:sz w:val="17"/>
          <w:szCs w:val="17"/>
          <w:color w:val="auto"/>
        </w:rPr>
        <w:t>In recent periods, we have made significant investments in our senior management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infrastructure in anticipation of future revenue growth and the current Federal Budgetary environment. These investments included hiring senior executives with significant experience in the national security industry, strengthening our internal controls over financial reporting and accounting staff in support of public company reporting requirements, making significant investments to enhance security for cyber attacks, and expanding our backlog and bid and proposal pipeline. We will be allocating additional resources in our pursuit of new, larger and highly technical contract opportunities, leveraging our increased scale and robust past performance qualifications. We believe our management experience and corporate infrastructure are more typical of a company with a much larger revenue base than ours. We therefore anticipate that, to the extent our revenue grows, we will be able to leverage this infrastructure base and increase our operating margins.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Acquisitions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acquired and are integrating businesses that meet our primary strategic objectives of expanding our customer relationships, enhancing our current portfolio, increasing our overall past performance qualifications and furthering our strategic positioning on national security priority programs. Our key acquisitions during fiscal 2011 and 2012 are described below.</w:t>
      </w:r>
    </w:p>
    <w:p>
      <w:pPr>
        <w:spacing w:after="0" w:line="200" w:lineRule="exact"/>
        <w:rPr>
          <w:sz w:val="20"/>
          <w:szCs w:val="20"/>
          <w:color w:val="auto"/>
        </w:rPr>
      </w:pP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125" w:right="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Acquisitions in the KGS segment</w:t>
      </w:r>
    </w:p>
    <w:p>
      <w:pPr>
        <w:spacing w:after="0" w:line="225" w:lineRule="exact"/>
        <w:rPr>
          <w:sz w:val="20"/>
          <w:szCs w:val="20"/>
          <w:color w:val="auto"/>
        </w:rPr>
      </w:pPr>
    </w:p>
    <w:p>
      <w:pPr>
        <w:ind w:left="1300" w:right="220" w:hanging="320"/>
        <w:spacing w:after="0" w:line="312"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Composite Engineering, Inc. (“CEI”): We acquired CEI in July 2012. CEI is a vertically integrated manufacturer and developer of unmanned aerial target systems and composite structures used for national security programs. Its drones are designed to replicate some of the most lethal aerial threats facing Warfighters and strategic assets. CEI's customers include U.S. and foreign governments.</w:t>
      </w:r>
    </w:p>
    <w:p>
      <w:pPr>
        <w:spacing w:after="0" w:line="281" w:lineRule="exact"/>
        <w:rPr>
          <w:rFonts w:ascii="Arial" w:cs="Arial" w:eastAsia="Arial" w:hAnsi="Arial"/>
          <w:sz w:val="16"/>
          <w:szCs w:val="16"/>
          <w:color w:val="auto"/>
        </w:rPr>
      </w:pPr>
    </w:p>
    <w:p>
      <w:pPr>
        <w:ind w:left="1300" w:right="280" w:hanging="320"/>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SecureInfo Corporation (“SecureInfo”): We acquired SecureInfo in November 2011. Based in northern Virginia, SecureInfo is a leading cybersecurity company specializing in assisting defense, intelligence, civilian government and commercial customers to identify, understand, document, manage, mitigate and protect against cybersecurity risks while reducing information security costs and achieving compliance with applicable regulations, standards and guidance.</w:t>
      </w:r>
    </w:p>
    <w:p>
      <w:pPr>
        <w:spacing w:after="0" w:line="321" w:lineRule="exact"/>
        <w:rPr>
          <w:rFonts w:ascii="Arial" w:cs="Arial" w:eastAsia="Arial" w:hAnsi="Arial"/>
          <w:sz w:val="18"/>
          <w:szCs w:val="18"/>
          <w:color w:val="auto"/>
        </w:rPr>
      </w:pPr>
    </w:p>
    <w:p>
      <w:pPr>
        <w:ind w:left="1300" w:right="100" w:hanging="320"/>
        <w:spacing w:after="0" w:line="297"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Integral Systems, Inc. (“Integral”): We acquired Integral in July 2011. Integral is a global provider of products, systems and services for satellite command and control, telemetry and digital signal processing, data communications, enterprise network management and communications information assurance. Integral specializes in developing, managing and operating secure communications networks, both satellite and terrestrial, as well as systems and services to detect, characterize and geolocate sources of radio frequency interference. Integral's customers include U.S. and foreign commercial, government, military and intelligence organizations.</w:t>
      </w:r>
    </w:p>
    <w:p>
      <w:pPr>
        <w:spacing w:after="0" w:line="293" w:lineRule="exact"/>
        <w:rPr>
          <w:rFonts w:ascii="Arial" w:cs="Arial" w:eastAsia="Arial" w:hAnsi="Arial"/>
          <w:sz w:val="16"/>
          <w:szCs w:val="16"/>
          <w:color w:val="auto"/>
        </w:rPr>
      </w:pPr>
    </w:p>
    <w:p>
      <w:pPr>
        <w:ind w:left="1300" w:right="40" w:hanging="320"/>
        <w:spacing w:after="0" w:line="272"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Herley Industries, Inc. (“Herley”): We acquired Herley in March 2011. Herley is a leading provider of microwave technologies for use in command and control systems, flight instrumentation, weapons sensors, radar, communication systems, electronic warfare and electronic attack systems. Herley has served the defense industry for approximately 45 years by designing and manufacturing microwave devices for use in high-technology defense electronics applications. It has established relationships, experience and expertise in the military electronics, electronic warfare and electronic attack industry. Herley's products represent key components in the national security efforts of the U.S., as they are employed in mission critical electronic warfare, electronic attack, electronic warfare threat and radar simulation, command and control network, and cyber warfare/cybersecurity applications.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in the PSS segment</w:t>
      </w:r>
    </w:p>
    <w:p>
      <w:pPr>
        <w:spacing w:after="0" w:line="225" w:lineRule="exact"/>
        <w:rPr>
          <w:sz w:val="20"/>
          <w:szCs w:val="20"/>
          <w:color w:val="auto"/>
        </w:rPr>
      </w:pPr>
    </w:p>
    <w:p>
      <w:pPr>
        <w:ind w:left="1300" w:right="20" w:hanging="320"/>
        <w:spacing w:after="0" w:line="297"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Critical Infrastructure Business: We acquired a critical infrastructure security and public safety system integration business in December 2011. The Critical Infrastructure Business designs, engineers, deploys, manages and maintains specialty security systems at some of the United States' most strategic asset and critical infrastructure locations.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3 of the Notes to Consolidated Financial Statements contained within this Annual Report for further information regarding our acquisitions.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48"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A representative list of our customers in our KGS segment during 2013 included the U.S. Air Force, U.S. Army, U.S. Navy, U.S. Marines, Missile Defense Agency, the DHS, NASA, Foreign Military Sales (“FMS”), the U.S. Southern Command, U.S. Intelligence Community and certain classified customers. In 2013, representative customers in the PSS segment included Port of Long Beach, Port Authority of New York &amp; New Jersey, Prudential, New York University, Fidelity, Scripps Clinic, PNC Bank, Halliburton, AT&amp;T, Chevron, Mellon Bank, Calpine Power Plants, Capital Health, DuPont Fabros, BP America, University of Houston, Meridian Health and Memorial Hermann Hospital System.</w:t>
      </w:r>
    </w:p>
    <w:p>
      <w:pPr>
        <w:spacing w:after="0" w:line="9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Revenue from the U.S. Government (which includes FMS) includes revenue from contracts for which we are the prime contractor as well as those for which we are a subcontractor and the ultimate customer is the U.S. Government. Revenues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from U.S. Government agency customers in aggregate accounted for approximately 74%, 65% and 64% of total revenues in 2011, 2012,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of December 30, 2012 and December 29, 2013, our backlog was approximately $1.3 billion and $1.1 billion, respectively, of which $674.0 million was funded in 2012 and $541.0 million was funded in 2013.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6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29, 2013, we had a work force of approximately 3,800 full-time, part-time and on-call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market is competitive and includes the full range of companies in the U.S. defense industry and the information, services and security integration industries. Many of the companies that we compete against have significantly greater financial, technical and marketing resources and generate greater revenues than we do. Competition in the federal business segment includes tier one, large U.S. Government contractors such as Northrop Grumman, Lockheed Martin, General Dynamics, SAIC, ITT Systems, Computer Sciences Corporation, Raytheon, BAE Systems, L3, and CACI. While we view government contractors as competitors, we often team with these companies in joint proposals or in the delivery of our services for customers. Tier two competitors include smaller and mid-tier government contractors such as AeroVironment, API Technologies, iRobot and Mercury Computer Systems. Intense competition and long operating cycles are both key characteristics of our business within the defense industry. It is common in the defense industry for work on major programs to be shared among a number of companies. A company competing to be a prime contractor or subcontractor on an award may, upon final award of the contract to another competitor, become a subcontractor for the final prime contractor. It is not unusual to compete for a contract award with a peer company and, simultaneously, perform as a supplier to or be a customer of that same competitor on other contracts, or vice versa. The nature of major defense programs, conducted under binding contracts,</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allows companies that perform well to benefit from a level of program continuity not frequently found in other industries. Competition in the PSS segment includes Siemens Building Technology, Johnson Controls, Diebold, and Convergint Technologies.</w:t>
      </w:r>
    </w:p>
    <w:p>
      <w:pPr>
        <w:spacing w:after="0" w:line="8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believe that the principal competitive factors in our ability to win new business include past performance qualifications, customer relationships, domain and technology expertise, intellectual property positions, the ability to replace contract vehicles, the ability to deliver results within budget (time and cost), reputation, accountability, staffing flexibility, and project management expertise , and our ability to deliver low cost products, solutions and services that meet our customers’ requirements. We believe our ability to compete also depends on a number of additional factors, including the ability of our customers to perform the services themselves and competitive pricing for similar services. The current Federal Procurement environment is driven by “low price, technically acceptable” contract award decisions. Accordingly, innovation and the ability for a contractor to quickly deliver a low cost, technically compliant solution or product is critical in the current competitive environment.</w:t>
      </w:r>
    </w:p>
    <w:p>
      <w:pPr>
        <w:spacing w:after="0" w:line="9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the U.S. defense industry, IT, and services markets, the U.S. Government has stressed competition and affordability in connection with its future procurement of products and services. This may lead to fewer sole source awards, as well as more emphasis on cost competitiveness. In addition, the DoD has announced several initiatives to improve efficiency, refocus priorities, modify contract terms, and enhance DoD best practices including those used to procure goods and services from defense contractors. See the Industry Background section in Item 7 “Management's Discussion and Analysis of Financial Condition and Results of Operations” and Item 1A “Risk Factors” contained within this Annual Report. These initiatives, when implemented, together with planned reductions in defense spending levels, are likely to result in fewer new opportunities for our industry as a whole with more demanding terms. A reduced opportunity set is likely to intensify competition within the industry as companies compete for a more limited set of new programs.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that our future success depends upon our ability to continue to develop new products and services, and enhancements to and applications for our existing products and services. Our research and development expenses were $8.6 million, $17.8 million and $21.4 million, respectively, in 2011, 2012, and 2013, respectively. We intend to continue our focus on research and development as a key strategy for growth, which will focus on investments in those fields that we believe will offer the greatest opportunity for growth and profitability. Our current primary IR&amp;D focus areas include unmanned systems, electronic warfare, satellite communications and signal monitoring.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believe that our continued success depends in large part on our proprietary technology, the intellectual skills of our employees and the ability of our employees to continue to innovate. We rely on a combination of patent, copyright, trademark and trade secret laws, as well as confidentiality agreements, to establish and protect our proprietary rights.</w:t>
      </w:r>
    </w:p>
    <w:p>
      <w:pPr>
        <w:spacing w:after="0" w:line="10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As of December 29, 2013, we held U.S. patents and foreign patents. We do not consider our business to be materially dependent upon any individual patent. We will continue to file and prosecute patent applications when and where appropriate to attempt to protect our rights in our proprietary technologies. We also encourage our employees to continue to invent and develop new technologies so as to maintain our competitiveness in the marketplace.</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or have rights to use certain trademarks, service marks and trade names that we use in conjunction with the operation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trademarks have also been registered in selected foreign countries.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are subject to various government regulations, including various U.S. Government regulations as a contractor and subcontractor to the agencies of the U.S. Government. Among the most significant U.S. Government regulations affecting our business are:</w:t>
      </w:r>
    </w:p>
    <w:p>
      <w:pPr>
        <w:spacing w:after="0" w:line="8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Federal Acquisition Regulations and supplemental agency regulations, which comprehensively regulate the formation, administration, and performance under government contracts;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Truth in Negotiations Act, which requires certification and disclosure of all cost and pricing data in connection with contract negotiations;</w:t>
      </w:r>
    </w:p>
    <w:p>
      <w:pPr>
        <w:spacing w:after="0" w:line="15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Cost Accounting Standards, which impose accounting requirements that govern our right to reimbursement under cost-based government contracts;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Foreign Corrupt Practices Act, which prohibits U.S. companies from providing anything of value to a foreign official to help obtain, retain or direct business, or obtain any unfair advantages;</w:t>
      </w:r>
    </w:p>
    <w:p>
      <w:pPr>
        <w:spacing w:after="0" w:line="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False Claims Act and the False Statements Act, which, respectively, impose penalties for payments made on the basis of false facts provided to the government, and impose penalties on the basis of false statements, even if they do not result in a payment; and</w:t>
      </w:r>
    </w:p>
    <w:p>
      <w:pPr>
        <w:spacing w:after="0" w:line="8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89"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We also need special security clearances to continue working on and advancing certain of our projects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to obtain government clearances.</w:t>
      </w:r>
    </w:p>
    <w:p>
      <w:pPr>
        <w:spacing w:after="0" w:line="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nature of the work we do for the federal government may also limit the parties who may invest in or acquire us. Export laws may keep us from providing potential foreign acquirers with a review of the technical data they would be acquiring. In addition, there are special requirements for foreign parties who wish to buy or acquire control or influence over companies that control technology or produce goods in the security interests of the United States. There may need to be a review under the Exon-Florio provisions of the Defense Production Act. Finally, the government may require a prospective foreign owner to establish intermediaries to actually run that part of the company that does classified work, and establishing a subsidiary and its separate operation may make such an acquisition less appealing to such potential acquirers.</w:t>
      </w:r>
    </w:p>
    <w:p>
      <w:pPr>
        <w:spacing w:after="0" w:line="97" w:lineRule="exact"/>
        <w:rPr>
          <w:sz w:val="20"/>
          <w:szCs w:val="20"/>
          <w:color w:val="auto"/>
        </w:rPr>
      </w:pPr>
    </w:p>
    <w:p>
      <w:pPr>
        <w:jc w:val="both"/>
        <w:ind w:right="120" w:firstLine="648"/>
        <w:spacing w:after="0" w:line="302" w:lineRule="auto"/>
        <w:rPr>
          <w:sz w:val="20"/>
          <w:szCs w:val="20"/>
          <w:color w:val="auto"/>
        </w:rPr>
      </w:pPr>
      <w:r>
        <w:rPr>
          <w:rFonts w:ascii="Arial" w:cs="Arial" w:eastAsia="Arial" w:hAnsi="Arial"/>
          <w:sz w:val="16"/>
          <w:szCs w:val="16"/>
          <w:color w:val="auto"/>
        </w:rPr>
        <w:t>In addition, the export from the United States of certain of our products may require the issuance of a license by the U.S. Department of Commerce under the Export Administration Act, as amended, and its implementing Regulations as kept in force by the International Emergency Economic Powers Act of 1977, as amended. Some of our products may require the issuance of a license by the U.S. Department of State under the Arms Export Control Act and its implementing Regulations, which licenses are generally harder to obtain and take longer to obtain than do Export Administration Act licenses.</w:t>
      </w:r>
    </w:p>
    <w:p>
      <w:pPr>
        <w:spacing w:after="0" w:line="7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business may require the compliance with state or local laws designed to limit the uses of personal user information gathered online or require online services to establish privacy policies.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Availability</w:t>
      </w:r>
    </w:p>
    <w:p>
      <w:pPr>
        <w:spacing w:after="0" w:line="14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procure critical material and subsystems from both domestic and global supply partners. These supply sources may be single sources for certain components and the material provided may have extended lead times. To support our continuing customer needs, we have taken steps to mitigate sourcing risks. This includes working closely with our suppliers to ensure future material and subsystem availability to support our manufacturing plans. In some cases, we have elected to stock reserve material to ensure future availability.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4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manufacturing operations are subject to many requirements under environmental laws. In the United States, the United States Environmental Protection Agency and similar state agencies administer laws that restrict the emission of pollutants into the air, discharges of pollutants into bodies of water and disposal of pollutants on the ground. Violations of these laws can result in significant civil and criminal penalties and incarceration. The failure to obtain a permit for certain activities may be a violation of environmental law and subject the owner and operator to civil and criminal sanctions. Most environmental agencies also have the power to shut down an operation if it is operating in violation of environmental law. United States laws also typically allow citizens to bring private enforcement actions in some situations. Outside the United States, the environmental laws and their enforcement vary and may be more burdensome. We have management programs and processes in place that are intended to minimize the potential for violations of these laws.</w:t>
      </w:r>
    </w:p>
    <w:p>
      <w:pPr>
        <w:spacing w:after="0" w:line="86"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Other environmental laws, primarily in the United States, address the contamination of land and groundwater and require the clean-up of such contamination. These laws may apply not only to the owner or operator of an on going business, but also to the owner of land contaminated by a prior owner or operator. In addition, if a parcel is contaminated by the release of a hazardous substance, such as through its historic use as a disposal site, any person or company that has contributed to that contamination, whether or not it has a legal interest in the land, may be subject to a requirement to clean up the parcel.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We file reports with the Securities and Exchange Commission (“SEC”). We make available on our website under “Investor Relations/SEC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Arial" w:cs="Arial" w:eastAsia="Arial" w:hAnsi="Arial"/>
          <w:sz w:val="17"/>
          <w:szCs w:val="17"/>
          <w:i w:val="1"/>
          <w:iCs w:val="1"/>
          <w:color w:val="auto"/>
        </w:rPr>
        <w:t>www.kratosdefense.com</w:t>
      </w:r>
      <w:r>
        <w:rPr>
          <w:rFonts w:ascii="Arial" w:cs="Arial" w:eastAsia="Arial" w:hAnsi="Arial"/>
          <w:sz w:val="17"/>
          <w:szCs w:val="17"/>
          <w:color w:val="auto"/>
        </w:rPr>
        <w:t>. You may read and copy any materials we file with the SEC at the SEC’s Public Reference Room at 100 F Street, NE, Washington, DC 20549. You may obtain information on the operation of the Public Reference Room by calling the SEC at 1-800-SEC-0330. The SEC also maintains an Internet site that contains our reports, proxy and information statements, and other information at www.sec.gov.</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Annual Report, including our Consolidated Financial Statements and related notes.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U.S. Government provides a significant portion of our revenue, and our business could be adversely affected by changes in the fiscal policies of the U.S. Government and governmental entities.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fiscal 2011, 2012 and 2013, we generated 74%, 65% and 64%, respectively, of our total revenues from contracts with the U.S. Government (including all branches of the U.S. military), either as a prime contractor or a subcontractor. We expect to continue to derive most of our revenues from work performed under U.S. Government contracts. As a result, any reductions or other government budgetary constraints and any changes in government contracting policies could adversely affect our financial performance.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August 2011, Congress enacted the Budget Control Act, which specified an immediate $917.0 billion of cuts over ten years, including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$487.0 billion from defense spending. Additionally, the Budget Control Act established the Joint Select Committee on Deficit Reduction, or the “super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committee,” to produce an additional deficit reduction of at least $1.5 trillion over the coming ten years that was to be passed by December 23, 2011. Because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Congress failed to produce a bill with at least $1.2 trillion in cuts, across the board cuts were triggered through a “sequestration of appropriations” that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equally split between defense and non defense programs.</w:t>
      </w:r>
    </w:p>
    <w:p>
      <w:pPr>
        <w:spacing w:after="0" w:line="21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January 2013, Congress enacted the American Taxpayer Relief Act of 2012. It addressed a number of tax code provisions and certain spending issues but left in place the sequester (although delaying its implementation to March 1, 2013) and did not address other fiscal matters such as the debt ceiling. Although debate on budget reductions continued through the first two months of 2013, no resolution was reached prior to the March 1, 2013 sequester deadline. As a result, the President was required by law to issue an order canceling $85 billion in budgetary resources across the U.S. Government for the remainder of FY 2013. The OMB in its report to Congress of March 1, 2013, entitled “</w:t>
      </w:r>
      <w:r>
        <w:rPr>
          <w:rFonts w:ascii="Arial" w:cs="Arial" w:eastAsia="Arial" w:hAnsi="Arial"/>
          <w:sz w:val="16"/>
          <w:szCs w:val="16"/>
          <w:i w:val="1"/>
          <w:iCs w:val="1"/>
          <w:color w:val="auto"/>
        </w:rPr>
        <w:t>OMB Report to the Congress on the Joint Committee Sequestration,</w:t>
      </w:r>
      <w:r>
        <w:rPr>
          <w:rFonts w:ascii="Arial" w:cs="Arial" w:eastAsia="Arial" w:hAnsi="Arial"/>
          <w:sz w:val="16"/>
          <w:szCs w:val="16"/>
          <w:color w:val="auto"/>
        </w:rPr>
        <w:t>” calculated that, over the course of the fiscal year, the order requires a 7.8 percent reduction in non exempt defense discretionary funding and a 5.0 percent reduction in non exempt non defense discretionary funding. The sequestration also requires reductions of 7.9 percent to non exempt defense mandatory programs. The sequestration report provides calculations of the amounts and percentages by which various budgetary resources are required to be reduced, and a listing of the reductions required for each non exempt budget account. Federal agencies were directed to apply the same percentage reduction to all programs, projects, and activities within a budget account, as required by Section 256(k)(2) of BBEDCA, and to operate in a manner that is consistent with guidance provided by OMB in Memorandum 13 03, Planning for Uncertainty with Respect to FY 2013 Budgetary Resources and Memorandum 13 05, Agency Responsibilities for Implementation of Potential Joint Committee Sequestration. On March 21, 2013, Congress passed a modified Continuing Resolution that included a number of the negotiated fiscal year 2013 spending bills, including defense.</w:t>
      </w:r>
    </w:p>
    <w:p>
      <w:pPr>
        <w:spacing w:after="0" w:line="17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On April 10, 2013, the President delivered his proposed FY 2014 budget to Congress. The President’s $527.0 billion FY 2014 defense budget is slightly lower than final defense appropriations for FY 2013. While it largely reflects defense spending plans in the FY 2013 budget, it does not reflect the reductions mandated by Part II of the Budget Control Act. 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October 17, 2013, H.R. 2775, the “Continuing Appropriations Act of 2014 was signed into law by the President, extending the debt ceiling through February 7, 2014 and temporarily restoring funding for government agencies.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On December 19, 2013, Congress passed the Bipartisan Budget Act of 2013 (the "Bipartisan Budget"). The Bipartisan Budget is a two-year plan that sets spending for the Pentagon and other federal agencies at $1.012 trillion for fiscal 2014. For fiscal 2015, overall spending would increase only slightly to $1.014 trillion. The plan calls for extending part of the sequester into 2022 and 2023 to get an additional $23 billion in planned savings.</w:t>
      </w:r>
    </w:p>
    <w:p>
      <w:pPr>
        <w:spacing w:after="0" w:line="16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February 15, 2014 legislation was signed that raises the U.S. debt limit through March 2015. In addition, appropriators passed legislation that offsets a significant portion of the sequester cuts. This translates to a better outlook for the Defense Industry than what was generally expected for both this year and next. However, we still expect some lower or delayed awards on some of our programs, with a related negative impact to our revenues, earnings and cash flows. In addition, any future changes to the fiscal policies of the U.S. Government and foreign governmental entities may decrease overall government funding for defense and homeland security, result in delays in the procurement of our products and services due to lack of funding, cause the U.S. Government and government agencies to reduce their purchases under existing contracts, or cause them to exercise their rights to terminate contracts at-will or to abstain from exercising options to renew contracts, any of which would have an adverse effect on our business, financial condition, results of operations and/or cash flows.</w:t>
      </w:r>
    </w:p>
    <w:p>
      <w:pPr>
        <w:spacing w:after="0" w:line="31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agencies and prime contractors, our ability to successfully maintain and develop new business may be adversely affected.</w:t>
      </w:r>
    </w:p>
    <w:p>
      <w:pPr>
        <w:spacing w:after="0" w:line="7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reputation and relationship with the U.S. Government, and in particular with the agencies of the DoD and the U.S. intelligence community, are key factors in maintaining and developing new business opportunities. In addition, we often act as a subcontractor or in “teaming” arrangements in which we and other contractors bid together on particular contracts or programs for the U.S. Government or government agencies. We expect to continue to depend on relationships with other prime contractors for a portion of our revenue for the foreseeable future. Negative press reports regarding conflicts of interest, poor contract performance, employee misconduct, information security breaches or other aspects of our business, regardless of accuracy, could harm our reputation. Additionally, as a subcontractor or team member, we often lack control over fulfillment of a contract, and poor performance on the contract could tarnish our reputation, even when we perform as required. As a result, we may be unable to successfully maintain our relationships with government agencies or prime contractors, and any failure to do so could materially adversely affect our ability to maintain our existing business and compete successfully for new business.</w:t>
      </w:r>
    </w:p>
    <w:p>
      <w:pPr>
        <w:spacing w:after="0" w:line="8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these obligations could adversely affect our profitability and future prospects. Early termination of client contracts or contract penalties could adversely affect results of operations.</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design, develop, and manufacture technologically advanced and innovative products and services, which are applied by our customers in a variety of environments. Problems and delays in development or delivery as a result of issues with respect to design, technology, licensing and intellectual property rights, labor, inability to achieve learning curve assumptions, manufacturing materials or components could prevent us from meeting requirements. Either we or the customer may generally terminate a contract for material uncured breach by the other. If we breach a contract or fail to perform in accordance with contractual service levels, delivery schedules, performance specifications, or other contractual requirements we could be terminated for default, and we may be required to refund money previously paid to us by the customer or to pay penalties or other damages. Even if we have not breached, we may deal with various situations from time to time that may result in the amendment or termination of a contract. These steps can result in significant current period charges and/or reductions in current or future revenue. Other factors that may affect revenue and profitability could be inaccurate cost estimates, design issues, unforeseen costs and expenses not covered by insurance or indemnification from the customer, diversion of management focus in responding to unforeseen problems, and loss of follow-on work.</w:t>
      </w:r>
    </w:p>
    <w:p>
      <w:pPr>
        <w:spacing w:after="0" w:line="29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subcontractors or suppliers fail to perform their contractual obligations, our performance and reputation as a contractor and our ability to obtain future business could suffer.</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As a prime contractor, we often rely upon other companies as subcontractors to perform work we are obligated to perform for our customers. As we secure more work under certain of our contract vehicles, we expect to require an increasing level of support from subcontractors that provide complementary and supplementary services to our offerings. We are responsible for the work performed by our subcontractors, even though in some cases we have limited involvement in that work. If one or more of our subcontractors fails to satisfactorily perform the agreed-upon services on a timely basis or violates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U.S. Government contracting policies, laws or regulations, our ability to perform our obligations as a prime contractor or meet our customers' expectations may be compromised. In extreme cases, performance or other deficiencies on the part of our subcontractors could result in a customer terminating our contract for default. A termination for default could expose us to liability, including liability for the agency's costs of re-procurement, could damage our reputation and could hurt our ability to compete for future contracts.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also are required to procure certain materials and parts from supply sources approved by the U.S. Government. The inability of a supplier to meet our needs or the appearance of counterfeit parts in our products could have a material adverse effect on our financial position, results of operations or cash flows.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operate in highly competitive markets and generally encounter intense competition to win contracts from many other firms, including mid-tier federal contractors with specialized capabilities and large defense and IT services providers. Competition in our markets may increase as a result of a number of factors, such as the entrance of new or larger competitors, including those formed through alliances or consolidation, or the reduction in the overall number of government contracts. We may also face competition from prime contractors for whom we currently serve as subcontractors or teammates if those prime contractors choose to offer customer services of the type that we are currently providing. Recently, procurement awards have been based on lowest price, technically acceptable proposals. In addition, we may face competition from our subcontractors who, from time-to-time, seek to obtain prime contractor status on contracts for which they currently serve as a subcontractor to us.</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Many of our competitors have greater financial, technical, marketing and public relations resources, larger customer bases and greater brand or name recognition than we do. These competitors could, among other things:</w:t>
      </w:r>
    </w:p>
    <w:p>
      <w:pPr>
        <w:spacing w:after="0" w:line="170" w:lineRule="exact"/>
        <w:rPr>
          <w:sz w:val="20"/>
          <w:szCs w:val="20"/>
          <w:color w:val="auto"/>
        </w:rPr>
      </w:pPr>
    </w:p>
    <w:p>
      <w:pPr>
        <w:ind w:left="1300" w:right="60" w:hanging="320"/>
        <w:spacing w:after="0" w:line="224" w:lineRule="exact"/>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divert sales from us by winning very large</w:t>
      </w:r>
      <w:r>
        <w:rPr>
          <w:rFonts w:ascii="MS PGothic" w:cs="MS PGothic" w:eastAsia="MS PGothic" w:hAnsi="MS PGothic"/>
          <w:sz w:val="16"/>
          <w:szCs w:val="16"/>
          <w:color w:val="auto"/>
        </w:rPr>
        <w:t>‑</w:t>
      </w:r>
      <w:r>
        <w:rPr>
          <w:rFonts w:ascii="Arial" w:cs="Arial" w:eastAsia="Arial" w:hAnsi="Arial"/>
          <w:sz w:val="16"/>
          <w:szCs w:val="16"/>
          <w:color w:val="auto"/>
        </w:rPr>
        <w:t>scale government contracts, a risk that is enhanced by the recent trend in government procurement practices to bundle services into larger contracts and the recent trend of awards on a lowest price, technically acceptable basis;</w:t>
      </w:r>
    </w:p>
    <w:p>
      <w:pPr>
        <w:ind w:left="1300" w:hanging="320"/>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divert sales from us by the award of government contracts to our competitors who may be willing to bid at substantially lower prices;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9" w:lineRule="exact"/>
        <w:rPr>
          <w:rFonts w:ascii="Arial" w:cs="Arial" w:eastAsia="Arial" w:hAnsi="Arial"/>
          <w:sz w:val="18"/>
          <w:szCs w:val="18"/>
          <w:color w:val="auto"/>
        </w:rPr>
      </w:pPr>
    </w:p>
    <w:p>
      <w:pPr>
        <w:ind w:left="1300" w:right="260" w:hanging="320"/>
        <w:spacing w:after="0" w:line="261"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adversely affect our relationships with current customers, including our ability to continue to win competitively awarded engagements in which we are the incumbent.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lose business to our competitors or are forced to lower our prices, our revenue and our operating profits could decline.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 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customer preferences.</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believe that, in order to remain competitive in the future, we will need to continue to invest significant financial resources to develop new offerings and technologies or to adapt or modify our existing offerings and technologies, including through internal research and development, acquisitions and joint ventures or other teaming arrangements. These expenditures could divert our attention and resources from other projects, and we cannot be sure that these expenditures will ultimately lead to the timely development of new offerings and technologies or identification of and expansion into new markets. Due to the design complexity of our products, we may in the future experience delays in completing the development and introduction of new products. Any delays could result in increased costs of development or deflect resources from other projects. In addition, there can be no assurance that the market for our offerings will develop or continue to expand or that we will be successful in newly identified markets as we currently anticipate. The failure of our technology to gain market acceptance could significantly reduce our revenues and harm our business. Furthermore, we cannot be sure that our competitors will not develop competing technologies that gain market acceptance in advance of our products.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Additionally, the possibility exists that our competitors might develop new technology or offerings that might cause our existing technology and offerings to become obsolete. If we fail in our new product development efforts or our products or services fail to achieve market acceptance more rapidly than our competitors, our ability to procure new contracts could be negatively impacted, which would negatively impact our results of operations and financial condition.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GSA contracts or GWACs would impair our ability to attract new business.</w:t>
      </w:r>
    </w:p>
    <w:p>
      <w:pPr>
        <w:spacing w:after="0" w:line="13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are a prime contractor under several General Services Administration ("GSA") contracts and Governmentwide Acquisition Contracts ("GWAC') vehicles.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customer's discretion to extend the contract for one or more years. We cannot be assured that our government customers will continue to exercise the options remaining on our current contracts, nor can we be assured that our future customers will exercise options on any contracts we may receive in the future.</w:t>
      </w:r>
    </w:p>
    <w:p>
      <w:pPr>
        <w:spacing w:after="0" w:line="9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Government contracts differ materially from standard commercial contracts, involve competitive bidding and may be subject to cancellation or delay without penalty.</w:t>
      </w:r>
    </w:p>
    <w:p>
      <w:pPr>
        <w:spacing w:after="0" w:line="8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Government contracts frequently include provisions that are not standard in private commercial transactions and are subject to laws and regulations that give the U.S. Government rights and remedies not typically found in commercial contracts, including provisions permitting the U.S. Government to:</w:t>
      </w:r>
    </w:p>
    <w:p>
      <w:pPr>
        <w:spacing w:after="0" w:line="29"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U.S. Government or with any specific government agency;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suspend work under existing multiple year contracts and related task orders if the necessary funds are not appropriated by Congress;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21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government agency. Competitive procurements impose substantial costs and managerial time and effort in order to prepare bids and proposals for contracts that may not be awarded to us. In many cases, unsuccessful bidders for government contracts are provided the opportunity to formally protest certain contract awards through various agencies, administrative and judicial channels.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not receive the full amounts estimated under the contracts in our backlog, which could reduce our revenue in future periods below the levels anticipated and which makes backlog an uncertain indicator of future operating results.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As of December 29, 2013, our total backlog was approximately $1.1 billion, of which $541.0 million was funded. Funded backlog is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Although funded backlog represents only business which is considered to be firm, cancellations or scope adjustments may still occur. The remaining $522.0 million of our total backlog as of December 29, 2013 is unfunded. Unfunded backlog reflects our estimate of future revenue under awarded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government contracts and task orders for which either funding has not yet been appropriated or expenditure has not yet been authorized. Unfunded backlog does not include estimates of revenue from GWAC or GSA schedules beyond awarded or funded task orders but does include estimates of revenue beyond awarded or funded task orders for other types of indefinite delivery, indefinite quantity contracts. The amount of unfunded backlog is not exact or guaranteed and is based upon, among other things, management's experience under such contracts and similar contracts, the particular customers, the type of work and budgetary expectations. Our management may not accurately assess these factors or estimate the revenue we will realize from these contracts, and our funded, unfunded and total backlog may not reflect the actual revenue ultimately received from these contracts.</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U.S. Government contracts included in backlog, whether or not funded, may be terminated at the convenience of the U.S. Government. The failure to realize all amounts in our backlog could adversely affect our revenues and gross margins. As a result, our funded, unfunded and total backlog as of any particular date may not be an accurate indicator of our future earnings.</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 preference for minority-owned, small and small disadvantaged businesses could impact our ability to be a prime contractor on certain governmental procurements.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a result of the SBA set-aside program, the federal government may decide to restrict certain procurements only to bidders that qualify as minority-owned, small, or small disadvantaged businesses. As a result, we would not be eligible to perform as a prime contractor on those programs and in general would be restricted to no more than 49% of the work as a subcontractor on those programs. An increase in the amount of procurements under the SBA set-aside program may impact our ability to bid on new procurements as a prime contractor or restrict our ability to recompete on incumbent work that is placed in the set-aside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in-sourcing could result in loss of business opportunities and personnel.</w:t>
      </w:r>
    </w:p>
    <w:p>
      <w:pPr>
        <w:spacing w:after="0" w:line="13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U.S. Government has continued to reduce the percentage of contracted services in favor of more federal employees through an initiative called “in-sourcing.” Over time, in-sourcing could have a material adverse affect on our business, financial condition and results of operations. Specifically, as a result of in-sourcing government procurements for services could be fewer and smaller in the future. In addition, work we currently perform could be in-sourced by the federal government and, as a result, our revenues could be reduced. Moreover, our employees working on contracts could also be hired by the government. This loss of our employees would necessitate the need to retain and train new employees. Accordingly, the effect of in-sourcing, or the continuation of in-sourcing at a faster than expected rate, could have a materially adverse effect on our business, financial condition,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security threats, including cybersecurity threats, and other disruptions.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Many of the systems we develop, install and maintain involve managing and protecting information involved in intelligence, national security and other sensitive or classified U.S. Government functions. We face various security threats, including cybersecurity threats, to gain unauthorized access to this sensitive information. Such threats can come from external as well as internal sources. We also face threats to the safety of our directors, officers, and employees; threats to the security of our facilities and infrastructure; and threats from terrorist acts. Although we utilize various procedures and controls to monitor these threats and mitigate our exposure to such threats, there can be no assurance that these procedures and controls will be sufficient in preventing security threats from materializing. If any of these events were to materialize, they could lead to the loss of sensitive information, critical infrastructure, personnel or capabilities essential to our operations and prevent us from being eligible for further work on sensitive or classified systems for U.S. Government customers. Further, any losses we incur from such a security breach could exceed the policy limits under our errors and omissions and product liability insurance. Any losses we incur, any damage to our reputation or any limitations on our eligibility for additional work resulting from a security breach could materially reduce our revenue and could have a material adverse effect on our business, financial condition and results of operations.</w:t>
      </w:r>
    </w:p>
    <w:p>
      <w:pPr>
        <w:spacing w:after="0" w:line="16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Cybersecurity attacks in particular are evolving and include, but are not limited to, malicious software, attempts to gain unauthorized access to data, and other electronic security breaches that could lead to disruptions in mission critical systems, unauthorized release of confidential or otherwise protected information and corruption of data. We have experienced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cybersecurity attacks and may experience them in the future. These events could damage our reputation and lead to financial losses from remedial actions, loss of business, loss of proprietary and trade secret information or potential liability.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systems or service failure, our reputation could be harmed and our customers could assert claims against us for damages or refunds.</w:t>
      </w:r>
    </w:p>
    <w:p>
      <w:pPr>
        <w:spacing w:after="0" w:line="26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create, implement and maintain IT solutions that are often critical to our customers' operations. We have experienced, and may in the future experience, some systems and service failures, schedule or delivery delays and other problems in connection with our work. If we experience these problems, we may:</w:t>
      </w:r>
    </w:p>
    <w:p>
      <w:pPr>
        <w:spacing w:after="0" w:line="181"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lose revenue due to adverse customer reaction;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required to provide additional services to a customer at no charge;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cause customers to postpone, cancel or fail to renew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receive negative publicity, which could damage our reputation and adversely affect our ability to attract or retain customers; and</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cannot ensure that provisions in our customer contracts will be legally sufficient to protect us if we are sued.</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reputation.</w:t>
      </w:r>
    </w:p>
    <w:p>
      <w:pPr>
        <w:spacing w:after="0" w:line="1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products are complex and could have unknown defects or errors, which may increase our costs, harm our reputation with customers, give rise to costly litigation, or divert our resources from other purposes</w:t>
      </w:r>
      <w:r>
        <w:rPr>
          <w:rFonts w:ascii="Arial" w:cs="Arial" w:eastAsia="Arial" w:hAnsi="Arial"/>
          <w:sz w:val="18"/>
          <w:szCs w:val="18"/>
          <w:b w:val="1"/>
          <w:bCs w:val="1"/>
          <w:color w:val="auto"/>
        </w:rPr>
        <w:t>.</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products, including but not limited to unmanned vehicles, aerial targets, and ballistic missile targets, are extremely complex and must operate successfully with complex products from other vendors. Despite testing, our products have contained defects and errors and may in the future contain defects, errors, or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diversion of our personnel’s attention from our product development efforts, exposure to liability for damages, damaged customer relationships, and harm to our reputation, any of which could materially harm our results of operations. In addition, increased development and warranty costs could be substantial and could reduce our operating margins.</w:t>
      </w:r>
    </w:p>
    <w:p>
      <w:pPr>
        <w:spacing w:after="0" w:line="16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existence of any defects, errors, or failures in our products or the misuse of our products could also lead to lawsuits against us, result in injury, death, or property damage, and significantly damage our reputation and support for our products in general.</w:t>
      </w:r>
    </w:p>
    <w:p>
      <w:pPr>
        <w:spacing w:after="0" w:line="3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and are not renewed.</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payments due to us from our customers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customers may have to suspend engagements that we are working on until a budget has been approved. Any such suspensions may reduce our revenue in the fourth quarter of the federal fiscal year or the first quarter of the subsequent year. The U.S. Government's fiscal year end can also trigger increased purchase requests from customers for equipment and materials. Any increased purchase requests we receive as a result of the U.S. Government's fiscal year end would serve to increase our third or fourth quarter revenue, but will generally decrease profit margins for that quarter, as these activities generally are not as profitable as our typical offerings.</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Additional factors that may cause our financial results to fluctuate from quarter to quarter include those addressed elsewhere in these Risk Factors and the following factors, among others:</w:t>
      </w:r>
    </w:p>
    <w:p>
      <w:pPr>
        <w:spacing w:after="0" w:line="170"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shipments and product deliveries;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9" w:lineRule="exact"/>
        <w:rPr>
          <w:rFonts w:ascii="Arial" w:cs="Arial" w:eastAsia="Arial" w:hAnsi="Arial"/>
          <w:sz w:val="18"/>
          <w:szCs w:val="18"/>
          <w:color w:val="auto"/>
        </w:rPr>
      </w:pPr>
    </w:p>
    <w:p>
      <w:pPr>
        <w:ind w:left="1300" w:right="1280" w:hanging="320"/>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variable purchasing patterns under GSA Schedule 70 contracts, GWACs, blanket purchase agreements and other indefinite delivery/indefinite quantity contracts;</w:t>
      </w: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and delays related to the export of defense articles and services;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related to government inquiries;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9" w:lineRule="exact"/>
        <w:rPr>
          <w:rFonts w:ascii="Arial" w:cs="Arial" w:eastAsia="Arial" w:hAnsi="Arial"/>
          <w:sz w:val="18"/>
          <w:szCs w:val="18"/>
          <w:color w:val="auto"/>
        </w:rPr>
      </w:pPr>
    </w:p>
    <w:p>
      <w:pPr>
        <w:ind w:left="1300" w:right="460" w:hanging="320"/>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21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Significant fluctuations in our operating results for a particular quarter could cause us to fall out of compliance with the financial covenants related to our debt, which if not waived, could restrict our access to capital and cause us to take extreme measures to pay down our debt under the credit facility. In addition, fluctuations in our financial results could cause our stock price to decline. See the risks and uncertainties related our ability to raise additional capital below in “We may need additional capital to fund the growth of our business, and financing may not be available on favorable terms or at all.”</w:t>
      </w:r>
    </w:p>
    <w:p>
      <w:pPr>
        <w:spacing w:after="0" w:line="154" w:lineRule="exact"/>
        <w:rPr>
          <w:sz w:val="20"/>
          <w:szCs w:val="20"/>
          <w:color w:val="auto"/>
        </w:rPr>
      </w:pPr>
    </w:p>
    <w:p>
      <w:pPr>
        <w:ind w:right="20"/>
        <w:spacing w:after="0" w:line="223" w:lineRule="exact"/>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price contracts in our total contract mix.</w:t>
      </w:r>
    </w:p>
    <w:p>
      <w:pPr>
        <w:spacing w:after="0" w:line="20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and operating efficiencies. In contrast, cost-plus-fee contracts are subject to statutory limits on profit margins, and generally are the least profitable of our contract types. Our U.S. Government customers typically determine what type of contract we enter into. Cost-plus-fee and fixed-price contracts in our federal business accounted for approximately 14% and 80%, respectively, of our federal business revenues for the year ended December 29, 2013. To the extent that we enter into more cost-plus-fee or less fixed-price contracts in proportion to our total contract mix in the future, our margins and operating results may suffer.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provide various professional services, specialized products, and sometimes procure equipment and materials on behalf of our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 contractor other than us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and may continue to incur goodwill impairment charges in our reporting entities, which could harm our profitability.</w:t>
      </w:r>
    </w:p>
    <w:p>
      <w:pPr>
        <w:spacing w:after="0" w:line="23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As of December 29, 2013, goodwill represented approximately 49% of our total assets. In accordance with </w:t>
      </w:r>
      <w:r>
        <w:rPr>
          <w:rFonts w:ascii="Arial" w:cs="Arial" w:eastAsia="Arial" w:hAnsi="Arial"/>
          <w:sz w:val="17"/>
          <w:szCs w:val="17"/>
          <w:i w:val="1"/>
          <w:iCs w:val="1"/>
          <w:color w:val="auto"/>
        </w:rPr>
        <w:t>Financial Accounting Standards Board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(“FASB”) Accounting Standards Codification (“ASC”) Topic 350 Intangibles-Goodwill and Other (“Topic 350”), </w:t>
      </w:r>
      <w:r>
        <w:rPr>
          <w:rFonts w:ascii="Arial" w:cs="Arial" w:eastAsia="Arial" w:hAnsi="Arial"/>
          <w:sz w:val="17"/>
          <w:szCs w:val="17"/>
          <w:color w:val="auto"/>
        </w:rPr>
        <w:t>we periodically review the carrying values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goodwill to determine whether such carrying values exceed the fair market value. Our acquired companies are subject to annual review for goodwill impairment. If impairment testing indicates that the carrying value of a reporting unit exceeds its fair value, the goodwill of the reporting unit is deemed impaired. Accordingly, an impairment charge would be recognized for that reporting unit in the period identified.</w:t>
      </w:r>
    </w:p>
    <w:p>
      <w:pPr>
        <w:spacing w:after="0" w:line="17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identification and measurement of impairment involves the estimation of the fair value of reporting units. Accounting for impairment contains uncertainty because management must use judgment in determining appropriate assumptions to be used in the measurement of fair value. The estimates of fair value of reporting units are based on the best information available as of the date of the assessment, incorporate management assumptions about expected future cash flows and contemplate other valuation techniques. Future cash flows can be affected by changes in industry or market conditions among other things.</w:t>
      </w:r>
    </w:p>
    <w:p>
      <w:pPr>
        <w:spacing w:after="0" w:line="188"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In 2012, as a result of our annual review, we recorded a goodwill impairment charge of $82.0 million related to our KGS segment to reflect the declining market valuations and the economic uncertainty in the U.S. defense industry as a result of uncertainty in our business environment due to the substantial fiscal and economic challenges facing the U.S. Government. Given the current market conditions and continued economic uncertainty in the U.S. defense industry, including sequestration and issues surrounding the national debt ceiling, our future revenues, profits and cash flows could be substantially lower than our current projections. In addition, market-based inputs to the calculations in the impairment test, such as weighted average cost of capital, and market multiples, could also be negatively impacted. Such circumstances may result in the future deterioration of the fair value of our reporting units and an additional impairment of our goodwill. Due to continual changes in market and general business conditions, we cannot predict whether, and to what extent, our goodwill and long-lived intangible assets may be impaired in future periods. Any resulting impairment loss could harm our profitability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properly manage projects may result in additional costs or claims.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customers' expectations could result in claims for substantial damages against us. Our contracts generally limit our liability for damages that arise from negligent acts, error, mistakes or omissions in rendering services to our customers.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use estimates when accounting for contracts and any changes in such estimates could have an adverse effect on our profitability and our overall financial performance.</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When agreeing to contractual terms, our management makes assumptions and projections about future conditions and events, many of which extend over long periods. These projections assess the productivity and availability of labor, complexity of the work to be performed, cost and availability of materials, impact of delayed performance and timing of product deliveries. Contract accounting requires judgment relative to assessing risks, estimating contract revenues and costs, and making assumptions for schedule and technical issues. Due to the size and nature of many of our contracts, the estimation of total revenues and costs at completion is complicated and subject to many variables. For example, assumptions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82"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Because of the significance of the judgment and estimation processes described above, it is possible that materially different amounts could be obtained if different assumptions were used or if the underlying circumstances were to change. Changes in underlying assumptions, circumstances or estimates may have a material adverse effect upon the profitability of one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or more of the affected contracts, future period financial reporting and performance. See the Critical Accounting Policies and Estimates section in Item 7 “Management's Discussion and Analysis of Financial Condition and Results of Operations” contained within this Annual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 year period after the ownership change. In March 2010, an “ownership change” occurred that will limit the utilization of NOL carryforwards. In July 2011, another “ownership change”occurred.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will be limited to at least $27 million a year for the first five years succeeding the March 2010 ownership change and at least $11.6 million for each year thereafter subject to separate limitations for Acquired NOLs. If the entire limitation amount is not utilized in a year, the excess can be carried forward and utilized in future years. For the year ended December 29, 2013, there was no impact of such limitations on the income tax provision since the amount of taxable income did not exceed the annual limitation amount. In addition, future equity offerings or acquisitions that have equity as a component of the purchase price could also cause in an “ownership change.” If and when any other “ownership change” occurs, utilization of the NOL or other tax attributes may be further limited. 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to fund the growth of our business, and financing may not be available on favorable terms or at all.</w:t>
      </w:r>
    </w:p>
    <w:p>
      <w:pPr>
        <w:spacing w:after="0" w:line="22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currently anticipate that our available capital resources, including our credit facility and operating cash flow, will be sufficient to meet our expected working capital and capital expenditure requirements for at least the next 12 months. However, these resources may not be sufficient to fund the long-term growth of our business. If we determine that it is necessary to raise additional funds, either through an expansion or refinancing of our credit facility or through public or private debt or equity financings, additional financing may not be available on terms favorable to us, or at all. Disruptions in the capital and credit markets may continue indefinitely or intensify, which could adversely affect our ability to access these markets. Limitations on our borrowing base contained in our credit facility may limit our access to capital, and we could fall out of compliance with financial and other covenants contained in our credit facility which, if not waived, would restrict our access to capital and could require us to pay down our existing debt under the credit facility. Our lenders may not agree to extend additional or continuing credit under our credit facility or waive restrictions on our access to capital. If we were to conduct a public or private offering of securities, any new offering would be likely to dilute our stockholders' equity ownership. If adequate funds are not available or are not available on acceptable terms, we may not be able to take advantage of available opportunities, develop new products or otherwise respond to competitive pressures and our business, operating results or financial condition could be materially adversely affected.</w:t>
      </w:r>
    </w:p>
    <w:p>
      <w:pPr>
        <w:spacing w:after="0" w:line="1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Recent acquisitions and potential future acquisitions could prove difficult to integrate, disrupt our business, dilute stockholder value and strain our resources.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2011 and 2012, we acquired five companies. In the future, we may acquire additional businesses that we believe could complement or expand our business or increase our customer base. Integrating the operations of acquired businesses successfully or otherwise realizing any of the anticipated benefits of acquisitions, including anticipated cost savings and additional revenue opportunities, involves a number of potential challenges. The failure to meet these integration challenges could seriously harm our financial condition and results of operations. Realizing the benefits of acquisitions depends in part on the integration of operations and personnel. These integration activities are complex and time-consuming, and we may encounter unexpected difficulties or incur unexpected costs, including:</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achieve the operating synergies anticipated in the acquisitions;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management attention from ongoing business concerns to integration matters;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consolidating and rationalizing IT platforms and administrative infrastructures;</w:t>
      </w:r>
    </w:p>
    <w:p>
      <w:pPr>
        <w:spacing w:after="0" w:line="9" w:lineRule="exact"/>
        <w:rPr>
          <w:rFonts w:ascii="Arial" w:cs="Arial" w:eastAsia="Arial" w:hAnsi="Arial"/>
          <w:sz w:val="18"/>
          <w:szCs w:val="18"/>
          <w:color w:val="auto"/>
        </w:rPr>
      </w:pPr>
    </w:p>
    <w:p>
      <w:pPr>
        <w:ind w:left="1300" w:right="80" w:hanging="320"/>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complexities associated with managing the geographic separation of the combined businesses and consolidating multiple physical locations where management may determine consolidation is desirable;</w:t>
      </w:r>
    </w:p>
    <w:p>
      <w:pPr>
        <w:ind w:left="1300" w:hanging="320"/>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integrating personnel from different corporate cultures while maintaining focus on providing consistent, high quality customer service;</w:t>
      </w: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or delays in transitioning U.S. Government contracts pursuant to federal acquisition regulations;</w:t>
      </w:r>
    </w:p>
    <w:p>
      <w:pPr>
        <w:spacing w:after="0" w:line="9" w:lineRule="exact"/>
        <w:rPr>
          <w:rFonts w:ascii="Arial" w:cs="Arial" w:eastAsia="Arial" w:hAnsi="Arial"/>
          <w:sz w:val="18"/>
          <w:szCs w:val="18"/>
          <w:color w:val="auto"/>
        </w:rPr>
      </w:pPr>
    </w:p>
    <w:p>
      <w:pPr>
        <w:ind w:left="1300" w:right="240" w:hanging="320"/>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in demonstrating to customers of Kratos and to customers of acquired businesses that the acquisition will not result in adverse changes in customer service standards or business focus;</w:t>
      </w: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possible cash flow interruption or loss of revenue as a result of change of ownership transitional matters;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1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Acquired businesses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U.S. Government or other customers, we, as the successor owner, may be financially responsible for these violations and failures and may suffer reputational harm or otherwise be adversely affected. Acquisitions also frequently result in the recording of goodwill and other intangible assets which are subject to potential impairment in the future that could harm our financial results. In addition, if we finance acquisitions by issuing convertible debt or equity securities, our existing stockholders may be diluted, which could affect the market price of our stock. Acquisitions and/or the related equity financings could also impact our ability to utilize our NOL carryforwards. As a result, if we fail to properly evaluate acquisitions or investments, we may not achieve the anticipated benefits of any such acquisitions, and we may incur costs in excess of what we anticipate. Acquisitions frequently involve benefits related to integration of operations. The failure to successfully integrate the operations or otherwise to realize any of the anticipated benefits of the acquisition could seriously harm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business and financial results could suffer.</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Additionally, our future financial results depend in part on our ability to profitably manage our growth on a combined basis with the businesses we have acquired and those we may acquire in the future.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U.S. Government customers and disrupt the management of our business.</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U.S. Government personnel contribute to our ability to maintain strong customer relationships and to identify new business opportunities. The loss of any member of our senior management could impair our ability to identify and secure new contracts, to maintain good customer relations and to otherwise manage our business.</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national security clearances, we might not be able to perform under our contracts or win new business.</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growth of our business and revenue depends in large part upon our ability to attract and retain sufficient numbers of highly qualified individuals who have advanced IT and/or engineering skills. These employees are in great demand and are likely to remain a limited resource in the foreseeable future. In addition, certain U.S. Government contracts require us, and some of our employees, to maintain national security clearances. Obtaining and maintaining national security clearances for employees involves a lengthy process, and it is difficult to identify, recruit and retain employees who already hold national security clearances. Further, some of our contracts contain provisions requiring us to staff an engagement with personnel that the customer considers key to our successful performance under the contract. In the event we are unable to provide these key personnel or acceptable substitutions, the customer may terminate the contract. As a result, if we are unable to recruit and retain a sufficient number of qualified employees, we may lose revenue and our ability to maintain and grow our business could be limited.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Moreover,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8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are subject to the requirements of the National Industrial Security Program Operating Manual for our facility security clearance, which is a prerequisite to our ability to perform on classified contracts for the U.S. government.</w:t>
      </w:r>
    </w:p>
    <w:p>
      <w:pPr>
        <w:spacing w:after="0" w:line="13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 facility security clearance is required for a company to perform on classified contracts for the DoD and certain other agencies of the U.S. government. Security clearances are subject to regulations and requirements including the National Industrial Security Program Operating Manual (NISPOM), which specifies the requirements for the protection of classified information released or disclosed to industry in connection with classified U.S. government contracts.</w:t>
      </w:r>
    </w:p>
    <w:p>
      <w:pPr>
        <w:spacing w:after="0" w:line="146"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We require certain facility and personnel security clearances to perform our classified U.S. government related business. As such, we must comply with the requirements of the NISPOM and any other applicable U.S. government industrial security regulations. If we were to violate the terms and requirements of the NISPOM or any other applicable U.S. government industrial security regulations (which apply to us under the terms of classified contracts), any of our cleared facilities could lose its facility security clearance. We cannot be certain that we will be able to maintain our facility security clearances. If for some reason one or more of our facility security clearances is invalidated or terminated, we would not be able to continue to perform on classified contracts at that facility and would not be able to enter into new classified contracts, which could adversely affect our revenues. Failure to comply with the NISPOM or other security requirements may subject us to civil or criminal penalties, loss of access to classified information, loss of a U.S. government contract, or potentially debarment as a government contractor.</w:t>
      </w:r>
    </w:p>
    <w:p>
      <w:pPr>
        <w:spacing w:after="0" w:line="13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be unable to realize any benefit from our cost reduction and restructuring effort and our profitability may be hurt or our business otherwise might be adversely affected</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have engaged in cost reduction and restructuring activities in the past and may engage in other cost reduction restructuring activities in the future. These types of cost reduction and restructuring activities are complex. If we do not successfully manage our current cost reduction and restructuring activities, or any other cost reduction and restructuring activities that we may take in the future, any expected efficiencies and benefits might be delayed or not realized, and our operations and business could be disrupted. In addition, the costs associated with implementing cost reduction and restructuring activities might exceed expectations, which could result in additional future charges.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the divestiture of some of our non-core product lines, which may have an adverse effect on our business.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business strategy involves assessing our portfolio of product and service offerings with a view of divesting those product and service offerings that do not align with our objectives. Any divestitures may result in a dilutive impact to our future earnings, as well as significant write-offs, including those related to goodwill and other intangible assets, which could have a material adverse effect on our results of operations and financial condition. Divestitures could involve additional risks, including difficulties in the separation of operations, services, products and personnel, the diversion of management’s attention from other business concerns, the disruption of our business and the potential loss of key employees. We may not be successful in managing these or any other significant risks that we encounter in divesting a product or service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derived from our international business are subject to global economic downturn and hardship.</w:t>
      </w:r>
    </w:p>
    <w:p>
      <w:pPr>
        <w:spacing w:after="0" w:line="225" w:lineRule="exact"/>
        <w:rPr>
          <w:sz w:val="20"/>
          <w:szCs w:val="20"/>
          <w:color w:val="auto"/>
        </w:rPr>
      </w:pPr>
    </w:p>
    <w:p>
      <w:pPr>
        <w:ind w:left="80" w:right="40" w:firstLine="648"/>
        <w:spacing w:after="0" w:line="255" w:lineRule="auto"/>
        <w:rPr>
          <w:sz w:val="20"/>
          <w:szCs w:val="20"/>
          <w:color w:val="auto"/>
        </w:rPr>
      </w:pPr>
      <w:r>
        <w:rPr>
          <w:rFonts w:ascii="Arial" w:cs="Arial" w:eastAsia="Arial" w:hAnsi="Arial"/>
          <w:sz w:val="18"/>
          <w:szCs w:val="18"/>
          <w:color w:val="auto"/>
        </w:rPr>
        <w:t>Our international business represents 10.6% of our total revenue, which may be impacted by changes in foreign national priorities and government budgets and may be further impacted by global economic conditions and fluctuations in foreign currency exchange rates. Continued international economic uncertainty and reductions in consumer spending may result in reductions in our revenue. Additionally, disruptions in international credit markets may materially limit consumer credit availability and restrict credit availability of our customers. Any reduction in international sales of our solutions, resulting from reductions in consumer spending or continued disruption in the availability of credit to retailers or consumers, could materially and adversely affect our business, results of operations and financial condition.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business exposes us to additional risks.</w:t>
      </w:r>
    </w:p>
    <w:p>
      <w:pPr>
        <w:spacing w:after="0" w:line="30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operations outside of the United States are subject to risks that are inherent in conducting business under non-United States laws, regulations and customs, including those related to:</w:t>
      </w:r>
    </w:p>
    <w:p>
      <w:pPr>
        <w:spacing w:after="0" w:line="251" w:lineRule="exact"/>
        <w:rPr>
          <w:sz w:val="20"/>
          <w:szCs w:val="20"/>
          <w:color w:val="auto"/>
        </w:rPr>
      </w:pPr>
    </w:p>
    <w:p>
      <w:pPr>
        <w:ind w:left="1300" w:right="440" w:hanging="320"/>
        <w:spacing w:after="0" w:line="258"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exchange rate fluctuations, potentially reducing the United States dollars we receive for sales denominated in foreign currency;</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possibility that unfriendly nations or groups could boycott our solutions;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conditions in the markets in which we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increased costs associated with overlapping tax structures;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import-export control;</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limited protection for intellectual property rights in some countries;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associated with staffing and managing foreign operations;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difficulties of compliance with a wide variety of foreign laws and regulations;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longer accounts receivable cycles in certain foreign countries, whether due to cultural differences, exchange rate fluctuation or other factors;</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technology transfer restrictions;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our distribution networks.</w:t>
      </w:r>
    </w:p>
    <w:p>
      <w:pPr>
        <w:spacing w:after="0" w:line="211" w:lineRule="exact"/>
        <w:rPr>
          <w:sz w:val="20"/>
          <w:szCs w:val="20"/>
          <w:color w:val="auto"/>
        </w:rPr>
      </w:pPr>
    </w:p>
    <w:p>
      <w:pPr>
        <w:ind w:left="80" w:right="80" w:firstLine="648"/>
        <w:spacing w:after="0" w:line="270" w:lineRule="auto"/>
        <w:rPr>
          <w:sz w:val="20"/>
          <w:szCs w:val="20"/>
          <w:color w:val="auto"/>
        </w:rPr>
      </w:pPr>
      <w:r>
        <w:rPr>
          <w:rFonts w:ascii="Arial" w:cs="Arial" w:eastAsia="Arial" w:hAnsi="Arial"/>
          <w:sz w:val="17"/>
          <w:szCs w:val="17"/>
          <w:color w:val="auto"/>
        </w:rPr>
        <w:t>These risks, individually or in the aggregate, could have an adverse effect on our results of operations and financial condition. For example, we are subject to compliance with the United States Foreign Corrupt Practices Act and similar anti-bribery laws, which generally prohibit companies and their intermediaries from making improper payments to foreign government officials for the purpose of obtaining or retaining business. While our employees and agents are required to comply with these laws, we cannot be sure that our internal policies and procedures will always protect us from violations of these laws, despite our commitment to legal compliance and corporate ethics. The occurrence or allegation of these types of risks may adversely affect our business, performance, prospects, value, financial condition, and results of operations. In addition, our international contracts may include industrial cooperation agreements requiring specific in-country purchases, investments, manufacturing agreements or other financial obligations, known as offset obligations, and provide for penalties if we fail to meet such requirements. The impact of these factors is difficult to predict, but one or more of them could adversely affect our financial position, results of operations, or cash flows.</w:t>
      </w:r>
    </w:p>
    <w:p>
      <w:pPr>
        <w:spacing w:after="0" w:line="182"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Violations of ITAR or other applicable trade compliance regulations could result in significant sanctions including fines, more onerous compliance requirements, debarments from export privileges or loss of authorizations needed to conduct aspects of our international business. A violation of ITAR or other applicable trade regulations could materially adversely affect our business, financial condition and results of operations.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Indebtedness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significantly increased our leverage in connection with the financing of recent acquisitions and we have substantial indebtedness, which could adversely affect our cash flow, financial condition and business.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acquisition of Herley and Integral, we incurred $285.0 million and $115.0 million of indebtedness, respectively. As of December 29, 2013, we had approximately $644.7 million of total indebtedness outstanding, which includes $14.5 million of unamortized debt premium, and $0.4 million of capital lease obligations. As a result of this increased indebtedness, our interest payment obligations have increased significantly. The degree to which we are leveraged could have adverse effects on our business, including the following:</w:t>
      </w:r>
    </w:p>
    <w:p>
      <w:pPr>
        <w:spacing w:after="0" w:line="187"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the industries in which we operate;</w:t>
      </w:r>
    </w:p>
    <w:p>
      <w:pPr>
        <w:spacing w:after="0" w:line="23" w:lineRule="exact"/>
        <w:rPr>
          <w:rFonts w:ascii="Arial" w:cs="Arial" w:eastAsia="Arial" w:hAnsi="Arial"/>
          <w:sz w:val="18"/>
          <w:szCs w:val="18"/>
          <w:color w:val="auto"/>
        </w:rPr>
      </w:pPr>
    </w:p>
    <w:p>
      <w:pPr>
        <w:ind w:left="1300" w:right="180" w:hanging="320"/>
        <w:spacing w:after="0" w:line="265"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may restrict us from making strategic acquisitions or exploiting business opportunities;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may place us at a competitive disadvantage compared to our competitors that have less debt;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may limit our ability to borrow additional funds;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right="60" w:hanging="320"/>
        <w:spacing w:after="0" w:line="258"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may prevent us from raising the funds necessary to repurchase our outstanding Notes tendered to us if there is a change of control, which would constitute a default under the indenture governing such notes and under our credit facility;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may decrease our ability to compete effectively or operate successfully under adverse economic and industry conditions.</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higher level of indebtedness increases the risk that we may default on our debt obligations. We may be unable to generate sufficient cash flow to pay the interest on our debt. If we are unable to service our indebtedness, we will be forced to adopt an alternative strategy that may include actions such as reducing capital expenditures, reducing internal investments in research and development efforts, selling assets, restructuring or refinancing our indebtedness or seeking additional equity capital. These alternative strategies may not be affected on satisfactory terms, if at all, and they may not yield sufficient funds to make required payments on our indebtedness.</w:t>
      </w:r>
    </w:p>
    <w:p>
      <w:pPr>
        <w:spacing w:after="0" w:line="188" w:lineRule="exact"/>
        <w:rPr>
          <w:sz w:val="20"/>
          <w:szCs w:val="20"/>
          <w:color w:val="auto"/>
        </w:rPr>
      </w:pPr>
    </w:p>
    <w:p>
      <w:pPr>
        <w:ind w:right="20" w:firstLine="648"/>
        <w:spacing w:after="0" w:line="219" w:lineRule="exact"/>
        <w:rPr>
          <w:sz w:val="20"/>
          <w:szCs w:val="20"/>
          <w:color w:val="auto"/>
        </w:rPr>
      </w:pPr>
      <w:r>
        <w:rPr>
          <w:rFonts w:ascii="Arial" w:cs="Arial" w:eastAsia="Arial" w:hAnsi="Arial"/>
          <w:sz w:val="16"/>
          <w:szCs w:val="16"/>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which would in turn trigger cross</w:t>
      </w:r>
      <w:r>
        <w:rPr>
          <w:rFonts w:ascii="MS PGothic" w:cs="MS PGothic" w:eastAsia="MS PGothic" w:hAnsi="MS PGothic"/>
          <w:sz w:val="16"/>
          <w:szCs w:val="16"/>
          <w:color w:val="auto"/>
        </w:rPr>
        <w:t>‑</w:t>
      </w:r>
      <w:r>
        <w:rPr>
          <w:rFonts w:ascii="Arial" w:cs="Arial" w:eastAsia="Arial" w:hAnsi="Arial"/>
          <w:sz w:val="16"/>
          <w:szCs w:val="16"/>
          <w:color w:val="auto"/>
        </w:rPr>
        <w:t>acceleration or cross</w:t>
      </w:r>
      <w:r>
        <w:rPr>
          <w:rFonts w:ascii="MS PGothic" w:cs="MS PGothic" w:eastAsia="MS PGothic" w:hAnsi="MS PGothic"/>
          <w:sz w:val="16"/>
          <w:szCs w:val="16"/>
          <w:color w:val="auto"/>
        </w:rPr>
        <w:t>‑</w:t>
      </w:r>
      <w:r>
        <w:rPr>
          <w:rFonts w:ascii="Arial" w:cs="Arial" w:eastAsia="Arial" w:hAnsi="Arial"/>
          <w:sz w:val="16"/>
          <w:szCs w:val="16"/>
          <w:color w:val="auto"/>
        </w:rPr>
        <w:t>default rights between the relevant agreements. In addition, our lenders could compel us to apply all of our available cash to repay our borrowings or they could prevent us from making payments on our indebtedness. If the amounts outstanding under any of our indebtedness were to be accelerated, our assets may not be sufficient to repay in full the money owed to the lenders or to our other debt holders.</w:t>
      </w:r>
    </w:p>
    <w:p>
      <w:pPr>
        <w:spacing w:after="0" w:line="2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and our subsidiaries may incur more debt, which may increase the risks associated with our substantial leverage, including our ability to service our indebtedness.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agreements governing our debt permit us, under some circumstances, to incur certain additional indebtedness or obligations. To the extent that we incur additional indebtedness or such other obligations, the risks associated with our substantial leverage described above, including our possible inability to service our debt, would increase.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credit ratings or macroeconomic conditions may affect our liquidity, increasing borrowing costs and limiting our financing options.</w:t>
      </w:r>
    </w:p>
    <w:p>
      <w:pPr>
        <w:spacing w:after="0" w:line="208" w:lineRule="exact"/>
        <w:rPr>
          <w:sz w:val="20"/>
          <w:szCs w:val="20"/>
          <w:color w:val="auto"/>
        </w:rPr>
      </w:pPr>
    </w:p>
    <w:p>
      <w:pPr>
        <w:jc w:val="both"/>
        <w:ind w:right="120" w:firstLine="648"/>
        <w:spacing w:after="0" w:line="302" w:lineRule="auto"/>
        <w:rPr>
          <w:sz w:val="20"/>
          <w:szCs w:val="20"/>
          <w:color w:val="auto"/>
        </w:rPr>
      </w:pPr>
      <w:r>
        <w:rPr>
          <w:rFonts w:ascii="Arial" w:cs="Arial" w:eastAsia="Arial" w:hAnsi="Arial"/>
          <w:sz w:val="16"/>
          <w:szCs w:val="16"/>
          <w:color w:val="auto"/>
        </w:rPr>
        <w:t>Macroeconomic conditions, such as increased volatility or disruption in the credit markets, could adversely affect our ability to refinance existing debt or obtain additional financing at terms satisfactory to us, thereby affecting our resources to support operations or to fund new initiatives. In addition, if our credit ratings are lowered, borrowing costs for future long-term debt or short-term credit facilities may increase and our financing options, including our access to the unsecured credit market, could be limited. We may also be subject to restrictive covenants that would reduce our flexibility.</w:t>
      </w:r>
    </w:p>
    <w:p>
      <w:pPr>
        <w:spacing w:after="0" w:line="3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of December 29, 2013, approximately 8% of our consolidated assets, based on book value, and 8% of our consolidated revenues for the year ended December 29, 2013, respectively, were held by foreign subsidiaries, which do not guarantee the Notes. Our ability to meet our debt service obligations with cash from foreign subsidiaries will depend upon the results of operations of these subsidiaries and may be subject to legal, contractual or other restrictions and other business considerations. In addition, dividend and interest payments to us from the foreign subsidiaries may be subject to foreign withholding taxes, which would reduce the amount of funds we receive from such foreign subsidiaries. Dividends and other distributions from our foreign subsidiaries may also be subject to fluctuations in currency exchange rates and legal and other restrictions on repatriation, which could further reduce the amount of funds we receive from such foreign subsidiaries.</w:t>
      </w:r>
    </w:p>
    <w:p>
      <w:pPr>
        <w:spacing w:after="0" w:line="189"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In general, when an entity in a foreign jurisdiction repatriates cash to the U.S., the amount of such cash is treated as a dividend taxable at current U.S. tax rates. Accordingly, upon the distribution of cash to us from our foreign subsidiaries, we will be subject to U.S. income taxes. Although foreign tax credits may be available to reduce the amount of the additional tax liability, these credits may be limited and only offset the tax paid in the foreign jurisdiction, not the excess of the U.S. tax rate over the foreign tax rate. Therefore, to the extent that we must use cash generated in foreign jurisdictions to make principal or interest payments on our debt, there may be a cost associated with repatriating the cash to the U.S.</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The agreements governing our debt impose significant operating and financial restrictions on us and our subsidiaries that may prevent us and our subsidiaries from pursuing certain business opportunities and restrict our ability to operate our business.</w:t>
      </w:r>
    </w:p>
    <w:p>
      <w:pPr>
        <w:spacing w:after="0" w:line="14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indenture and the amended credit and security agreement governing our credit facility subject us, and our subsidiaries, to several financial and other restrictive covenants, including limitations on liens or indebtedness, payment of dividends, transactions with affiliates, and mergers, sales or other dispositions of our assets.</w:t>
      </w:r>
    </w:p>
    <w:p>
      <w:pPr>
        <w:spacing w:after="0" w:line="18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Our credit facility also requires us to comply with specified financial ratios, including a borrowing base availability and minimum fixed charge coverage ratio. Many factors, including events beyond our control, may affect our ability to comply with these covenants and financial ratios. We cannot be sure we will meet our debt-related obligations or that lenders will waive any failure to meet those obligation. Any failure to meet those debt related obligations could result in an event of default under our other indebtedness and the acceleration of such indebtedness.</w:t>
      </w:r>
    </w:p>
    <w:p>
      <w:pPr>
        <w:spacing w:after="0" w:line="17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restrictions contained in the Indenture and in our credit facility will also limit the ability of the Company and its subsidiaries to plan for or react to market conditions, meet capital needs or otherwise restrict their activities or business plans and adversely affect the ability to finance their operations, enter into acquisitions or to engage in other business activities that would be in their interest.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our intellectual property rights.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rely on a combination of patents, trademarks, copyrights, trade secrets and nondisclosure agreements to protect our proprietary intellectual property. Our efforts to protect our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remain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United States, which could make it easier for competitors to capture market position in such countries by utilizing technologies that are similar to those developed or licensed by us. Competitors also may harm our sales by designing products that mirror the capabilities of our products or technology without infringing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6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Some of the technology that is developed by us is developed under contract for our DoD customers. Accordingly, such intellectual property and rights to technology development are owned by the U.S. Government.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harmed by intellectual property infringement claims.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may become subject to claims from our employees or third parties who assert that software and other forms of intellectual property that we use in delivering services and solutions to our customers infringe upon intellectual property rights of such employees or third parties. Our employees develop some of the software and other forms of intellectual property that we use to provide our services and solutions to our customers, but we also license technology from other vendors. If our employees, vendors, or other third parties assert claims that we or our customers are infringing on their intellectual property rights, we could incur substantial costs to defend those claims. If any such infringement claims were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trade secrets could cause harm to our business</w:t>
      </w:r>
    </w:p>
    <w:p>
      <w:pPr>
        <w:spacing w:after="0" w:line="225"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Environmental and Legal Issues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4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must comply with laws and regulations relating to the formation, administration and performance of U.S. Government contracts, which affect how we do business with our customers, prime contractors, subcontractors and vendors and may impose added costs on us. New regulations or procurement requirements (including, for example regulations regarding counterfeit and corrupt parts, supply chain diligence and cyber security) or changes to current requirements could increase our costs and risk of non-compliance. Our role as a contractor to agencies and departments of the U.S. Government results in our being routinely subject to investigations and reviews relating to compliance with various laws and regulations, including those associated with organizational conflicts of interest, procurement integrity, bid integrity and claim presentation, among others. These investigations may be conducted without our knowledge. Adverse findings in these 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U.S. Government agencies. In addition, we could suffer serious harm to our reputation and competitive position if allegations of impropriety were made against us, whether or not true. If our reputation or relationship with U.S. Government agencies were impaired, or if the U.S. Government otherwise ceased doing business with us or significantly decreased the amount of business it does with us, our revenue and operating profit would decline.</w:t>
      </w:r>
    </w:p>
    <w:p>
      <w:pPr>
        <w:spacing w:after="0" w:line="1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contracts and administrative processes and systems are subject to audits and cost adjustments by the U.S. Government, which could reduce our revenue, disrupt our business or otherwise adversely affect our results of operations.</w:t>
      </w:r>
    </w:p>
    <w:p>
      <w:pPr>
        <w:spacing w:after="0" w:line="17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U.S. Government agencies, including the Defense Contract Audit Agency (“DCAA”), routinely audit and investigate government contracts and government contractors' administrative processes and systems. These agencies review our performance on contracts, pricing practices, cost structure and compliance with applicable laws, regulations and standards. They also review the adequacy of our compliance with government standards for our accounting and management of internal control systems, including: control environment and overall accounting system, general IT system, budget and planning system, purchasing system, material management and accounting system, compensation system, labor system, indirect and other direct costs system, billing system and estimating system used for pricing on government contracts. Both contractors and the U.S. Government agencies conducting these audits and reviews have come under increased scrutiny. The current audits and reviews have become more rigorous, and the standards to which contractors are being held are being more strictly interpreted, increasing the likelihood of an audit or review resulting in an adverse outcome. During the course of its current audits, the DCAA is closely examining and questioning several of our established and disclosed practices that it had previously audited and accepted, increasing the uncertainty as to the ultimate conclusion that will be reached. In addition, based on a DCAA audit, the U.S. Department of Justice is currently investigating whether one of our subsidiaries violated the federal False Claims Act by overstating its labor and material costs in a contract with the Department of Defense prior to the Company's acquisition of the subsidiary. Under the False Claims Act, the Department of Justice can seek civil penalties plus treble damages.</w:t>
      </w:r>
    </w:p>
    <w:p>
      <w:pPr>
        <w:spacing w:after="0" w:line="16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finding of significant control deficiencies in our system audits or other reviews can result in decremented billing rates to our U.S. Government customers until the control deficiencies are corrected and our corrections are accepted by DCMA.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accounting and management internal control systems, including our changes to indirect cost and direct labor estimating systems, from the responsible U.S. Government agency could significantly and adversely affect our business, including our ability to bid on new contracts and our competitive position in the bidding process. A determination of non-compliance with applicable contracting and procurement laws, regulations and standards could also result in the U.S. Government imposing penalties and sanctions against us, including withholding of payments, suspension of payments and increased government scrutiny that could delay or adversely affect our ability to invoice and receive timely payment on contracts, perform contracts or compete for contracts with the U.S. Government.</w:t>
      </w:r>
    </w:p>
    <w:p>
      <w:pPr>
        <w:spacing w:after="0" w:line="17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While we have submitted incurred cost claims through 2012, the actual indirect cost audits by the DCAA have not been completed for fiscal 2006 and subsequent fiscal years. Although we have recorded contract revenues subsequent to fiscal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2006 based upon costs that we believe will be approved upon final audit or review, we do not know the outcome of any ongoing or future audits or reviews and, if future adjustments exceed our estimates, our profitability would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employees or others acting on our behalf may engage in misconduct or other improper activities, which could cause us to lose contracts.</w:t>
      </w:r>
    </w:p>
    <w:p>
      <w:pPr>
        <w:spacing w:after="0" w:line="24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are exposed to the risk that employee fraud or other misconduct from our employees or others acting on our behalf could occur. Misconduct by employees or others could include intentional failures to comply with U.S. Government procurement regulations, engaging in unauthorized activities or falsifying time records. Misconduct by our employees or others acting on our behalf could also involve the improper use of our customers' sensitive or classified information, which could result in regulatory sanctions against us, serious harm to our reputation, a loss of contracts and a reduction in revenues. It is not always possible to deter misconduct, and the precautions we take to prevent and detect this activity may not be effective in controlling unknown or unmanaged risks or losses, which could cause us to lose contracts or cause a reduction in revenues. In addition, alleged or actual misconduct by employees or others acting on our behalf could result in investigations or prosecutions of persons engaged in the subject activities, which could result in unanticipated consequences or expenses and management distraction for us regardless of whether we are alleged to have any responsibility.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our financial results or prevent fraud.</w:t>
      </w:r>
    </w:p>
    <w:p>
      <w:pPr>
        <w:spacing w:after="0" w:line="23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29, 2013. However, although we continue to devote substantial time and resources to the documentation and testing of our controls, there can be no assurance that our controls over financial processes and reporting will be effective in the future or that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 In addition, from time to time we acquire businesses which could have limited infrastructure and systems of internal controls.</w:t>
      </w:r>
    </w:p>
    <w:p>
      <w:pPr>
        <w:spacing w:after="0" w:line="1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use hazardous materials common to the industries in which we operate. We are required to follow federal, state and local environmental laws and regulations regarding the handling, storage and disposal of these materials, including the Clean Air Act, the Clean Water Act, the Resource Conservation and Recovery Act, the Comprehensive Environmental Response, Compensation and Liability Act (“CERCLA”), and the Toxic Substances Control Act. We could be subject to fines, suspensions of production, alteration of our manufacturing processes or interruption or cessation of our operations if we fail to comply with present or future laws or regulations related to the use, storage, handling, discharge or disposal of toxic, volatile or otherwise hazardous chemicals used in our manufacturing processes. These regulations could require us to acquire expensive remediation equipment or to incur significant other expenses to comply with environmental regulations. Our failure to control the handling, use, storage or disposal of, or adequately restrict the discharge of, hazardous substances could subject us to liabilities and production delays, which could cause us to miss our customers' delivery schedules, thereby reducing our sales for a given period. We may also have to pay regulatory fines, penalties or other costs (including remediation costs), which could materially reduce our profits and adversely affect our financial condition. Permits are required for our operations, and these permits are subject to renewal, modification and, in some cases, revocation.</w:t>
      </w:r>
    </w:p>
    <w:p>
      <w:pPr>
        <w:spacing w:after="0" w:line="18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addition, under environmental laws, ordinances or regulations, a current or previous owner or operator of property may be liable for the costs of removal or remediation of some kinds of petroleum products or other hazardous substances on, under, or in its property, adjacent or nearby property, or offsite disposal locations, without regard to whether the owner or operator knew of, or caused, the presence of the contaminants, and regardless of whether the practices that resulted in the contamination were legal at the time they occurred. We have incurred, and may incur in the future, liabilities under CERCLA and other environmental laws at our current or former facilities, adjacent or nearby properties or offsite disposal locations. The costs associated with future cleanup activities that we may be required to conduct or finance may be material. The presence of, or failure to remediate properly, hazardous substances may adversely affect the ability to sell or rent the property or to borrow</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funds using the property as collateral. Additionally, we may become subject to claims by third parties based on damages, including personal injury and property damage, and costs resulting from the disposal or release of hazardous substances into the environment.</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New regulations related to “conflict minerals” may cause us to incur additional expenses and could limit the supply and increase the cost of certain metals used in manufacturing our products.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August 22, 2012, the SEC adopted a new rule requiring disclosures of specified minerals, known as conflict minerals, that are necessary to the functionality or production of products manufactured or contracted to be manufactured by public companies. The new rule, which is effective for calendar 2013 and requires a disclosure report to be filed by May 31, 2014, will require companies to perform due diligence, disclose and report whether or not such minerals originate from the Democratic Republic of the Congo or an adjoining country. We will have to apply diligence procedures to discover whether such minerals are used in the manufacture of our products. The new rule could affect sourcing at competitive prices and availability in sufficient quantities of certain minerals used in the manufacture of our products, including tantalum, tin, gold and tungsten. The number of suppliers who provide conflict-free minerals may be limited.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 Since our supply chain is complex, we may not be able to sufficiently verify the origins of the relevant minerals used in our products through the due diligence procedures that we implement, which may harm our reputation. In addition, we may encounter challenges to satisfy those customers who require that all of the components of our products be certified as conflict-free, which could place us at a competitive disadvantage if we are unable to do so.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distract us from operating our business.</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Litigation that may be brought by or against us could cause us to incur significant expenditures and distract our management from the operation of our business. Furthermore, there can be no assurance that we would prevail in such litigation or resolve such litigation on terms favorable to us, which may adversely affect our financial results and operations. See Note 15 of the Notes to the Consolidated Financial Statements contained within this Annual Report on Form 10-K for a further discussion of our legal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severe weather conditions could disrupt our business and result in loss of revenue or higher expenses.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business depends on maintaining operations at our facilities and being able to operate at our customer facilities and project locations. A serious, prolonged interruption or damage due to power outage, telecommunications outage, terrorist attack, earthquake, hurricane, fire, flood or other natural disaster, or other interruption could have a material adverse effect on our business and financial results. While we insure against certain business interruption risks, such insurance may not adequately compensate us for any losses incurred as a result of natural or other disasters.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contracts with the U.S. Government are classified, which may limit investor insight into portions of our business.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derive a portion of our revenues from programs with the U.S. Government that are subject to security restrictions (classified programs) that preclude the dissemination of information that is classified for national security purposes. We are limited in our ability to provide details about these classified programs, their risks or any disputes or claims relating to such programs. As a result, investors and others might have less insight into our classified programs than our other businesses and, therefore, less ability to fully evaluate the risks related to our classified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price of our stock has been in the past, and will continue to be, subject to fluctuations as a result of a number of factors, including: our operating results fail to meet market or analysts' expectations; general fluctuations in the stock market; actual or anticipated fluctuations in our operating results based on reduced and/or delayed government spending or the threat thereof; fluctuations in the stock prices of companies in our industry; changes in earnings estimated by securities analysts or our ability to meet those estimates; and domestic and foreign economic conditions. Such volatility has had a significant effect on the market prices of many companies' securities for reasons unrelated to their operating performance and, in the past, has led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to securities class action litigation. Securities litigation against us could result in substantial costs and a diversion of our management's attention and resources, which could have an adverse effect on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us may be diluted in the future.</w:t>
      </w:r>
    </w:p>
    <w:p>
      <w:pPr>
        <w:spacing w:after="0" w:line="17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As with any publicly traded company, your percentage ownership in us may be diluted in the future because of equity issuances for acquisitions, capital market transactions or otherwise, including equity awards that we expect will be granted to our directors, officers and employees.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Certain provisions in our restated certificate of incorporation and seventh amended and restated bylaws, and of Delaware law, may prevent or delay an acquisition of our company, which could decrease the trading price of our common stock.</w:t>
      </w:r>
    </w:p>
    <w:p>
      <w:pPr>
        <w:spacing w:after="0" w:line="170"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Our amended and restated certificate of incorporation, our second amended and restated bylaws and Delaware law contain provisions that are intended to deter coercive takeover practices and inadequate takeover bids by making such practices or bids unacceptably expensive to the raider and to encourage prospective acquirers to negotiate with our board of directors rather than to attempt a hostile takeover. These provisions include, among others:</w:t>
      </w:r>
    </w:p>
    <w:p>
      <w:pPr>
        <w:spacing w:after="0" w:line="174" w:lineRule="exact"/>
        <w:rPr>
          <w:sz w:val="20"/>
          <w:szCs w:val="20"/>
          <w:color w:val="auto"/>
        </w:rPr>
      </w:pPr>
    </w:p>
    <w:p>
      <w:pPr>
        <w:ind w:left="1700" w:hanging="395"/>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our stockholders to call a special meeting;</w:t>
      </w:r>
    </w:p>
    <w:p>
      <w:pPr>
        <w:spacing w:after="0" w:line="23" w:lineRule="exact"/>
        <w:rPr>
          <w:rFonts w:ascii="Arial" w:cs="Arial" w:eastAsia="Arial" w:hAnsi="Arial"/>
          <w:sz w:val="18"/>
          <w:szCs w:val="18"/>
          <w:color w:val="auto"/>
        </w:rPr>
      </w:pPr>
    </w:p>
    <w:p>
      <w:pPr>
        <w:ind w:left="1640" w:hanging="335"/>
        <w:spacing w:after="0"/>
        <w:tabs>
          <w:tab w:leader="none" w:pos="1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rules regarding how stockholders may present proposals or nominate directors for election at stockholder meetings;</w:t>
      </w:r>
    </w:p>
    <w:p>
      <w:pPr>
        <w:spacing w:after="0" w:line="35" w:lineRule="exact"/>
        <w:rPr>
          <w:rFonts w:ascii="Arial" w:cs="Arial" w:eastAsia="Arial" w:hAnsi="Arial"/>
          <w:sz w:val="18"/>
          <w:szCs w:val="18"/>
          <w:color w:val="auto"/>
        </w:rPr>
      </w:pPr>
    </w:p>
    <w:p>
      <w:pPr>
        <w:ind w:left="1700" w:hanging="395"/>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right of our board to issue preferred stock without stockholder approval;</w:t>
      </w:r>
    </w:p>
    <w:p>
      <w:pPr>
        <w:spacing w:after="0" w:line="49" w:lineRule="exact"/>
        <w:rPr>
          <w:rFonts w:ascii="Arial" w:cs="Arial" w:eastAsia="Arial" w:hAnsi="Arial"/>
          <w:sz w:val="18"/>
          <w:szCs w:val="18"/>
          <w:color w:val="auto"/>
        </w:rPr>
      </w:pPr>
    </w:p>
    <w:p>
      <w:pPr>
        <w:ind w:left="1700" w:hanging="395"/>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super-majority requirement to amend our certificate of incorporation or bylaws; and</w:t>
      </w:r>
    </w:p>
    <w:p>
      <w:pPr>
        <w:spacing w:after="0" w:line="49" w:lineRule="exact"/>
        <w:rPr>
          <w:rFonts w:ascii="Arial" w:cs="Arial" w:eastAsia="Arial" w:hAnsi="Arial"/>
          <w:sz w:val="18"/>
          <w:szCs w:val="18"/>
          <w:color w:val="auto"/>
        </w:rPr>
      </w:pPr>
    </w:p>
    <w:p>
      <w:pPr>
        <w:ind w:left="1700" w:hanging="395"/>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directors, and not stockholders, to fill vacancies on our board of directors.</w:t>
      </w:r>
    </w:p>
    <w:p>
      <w:pPr>
        <w:spacing w:after="0" w:line="23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Delaware law also imposes some restrictions on mergers and other business combinations between us and any holder of 15% or more of our outstanding common stock.</w:t>
      </w:r>
    </w:p>
    <w:p>
      <w:pPr>
        <w:spacing w:after="0" w:line="17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believe these provisions may help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our company immune from takeovers. In addition, although we believe these provisions collectively provide for an opportunity to receive higher bids by requiring potential acquirers to negotiate with our board, they would apply even if the offer may be considered beneficial by some stockholders. These provisions may also frustrate or prevent any attempts by our stockholders to replace or remove our current management team by making it more difficult for stockholders to replace members of our board, which is responsible for appointing the members of our management.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At December 29, 2013, we owned or leased approximately 1.7 million square feet of floor space at approximately 97 separate locations, primarily in the U.S., for manufacturing, warehousing, research and development, administration and various other uses. At December 29, 2013, we leased to third parties approximately 150,826 square feet of our leased facilities, and had vacant floor space of approximately 153,015 square feet. We continually evaluate our current and future space capacity in relation to current and projected future staffing levels. We maintain our properties in good operating condition and believe that the productive capacity of our properties is adequate to meet current contractual requirements and those for the foreseeable future.</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major operations at the following locations:</w:t>
      </w:r>
    </w:p>
    <w:p>
      <w:pPr>
        <w:spacing w:after="0" w:line="140"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Kratos Government Solutions</w:t>
      </w:r>
      <w:r>
        <w:rPr>
          <w:rFonts w:ascii="Arial" w:cs="Arial" w:eastAsia="Arial" w:hAnsi="Arial"/>
          <w:sz w:val="18"/>
          <w:szCs w:val="18"/>
          <w:color w:val="auto"/>
        </w:rPr>
        <w:t>: Huntsville, AL; San Diego and Sacramento, CA; Colorado Springs, CO; Fort Walton Beach and Orlando, FL;</w:t>
      </w:r>
      <w:r>
        <w:rPr>
          <w:rFonts w:ascii="Arial" w:cs="Arial" w:eastAsia="Arial" w:hAnsi="Arial"/>
          <w:sz w:val="18"/>
          <w:szCs w:val="18"/>
          <w:b w:val="1"/>
          <w:bCs w:val="1"/>
          <w:color w:val="auto"/>
        </w:rPr>
        <w:t xml:space="preserve"> </w:t>
      </w:r>
      <w:r>
        <w:rPr>
          <w:rFonts w:ascii="Arial" w:cs="Arial" w:eastAsia="Arial" w:hAnsi="Arial"/>
          <w:sz w:val="18"/>
          <w:szCs w:val="18"/>
          <w:color w:val="auto"/>
        </w:rPr>
        <w:t>Woburn, MA; Lanham, MD; Lancaster and Dallastown, PA; Charleston and Walterboro, SC; and Dahlgren, Alexandria and Chantilly, VA. Locations outside the U.S. include France, Israel and the United Kingdom.</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Public Safety and Security</w:t>
      </w:r>
      <w:r>
        <w:rPr>
          <w:rFonts w:ascii="Arial" w:cs="Arial" w:eastAsia="Arial" w:hAnsi="Arial"/>
          <w:sz w:val="18"/>
          <w:szCs w:val="18"/>
          <w:color w:val="auto"/>
        </w:rPr>
        <w:t>: Fullerton, CA; Newport, DE; Fairlawn, NJ and Houston, TX.</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Corporate and other locations</w:t>
      </w:r>
      <w:r>
        <w:rPr>
          <w:rFonts w:ascii="Arial" w:cs="Arial" w:eastAsia="Arial" w:hAnsi="Arial"/>
          <w:sz w:val="18"/>
          <w:szCs w:val="18"/>
          <w:color w:val="auto"/>
        </w:rPr>
        <w:t>: San Diego, CA.</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floor space at December 29, 2013:</w:t>
      </w:r>
    </w:p>
    <w:p>
      <w:pPr>
        <w:spacing w:after="0" w:line="365"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Square feet (in thousands)</w:t>
            </w:r>
          </w:p>
        </w:tc>
        <w:tc>
          <w:tcPr>
            <w:tcW w:w="2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Owned</w:t>
            </w:r>
          </w:p>
        </w:tc>
        <w:tc>
          <w:tcPr>
            <w:tcW w:w="1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Leased</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621</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r>
      <w:tr>
        <w:trPr>
          <w:trHeight w:val="243"/>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Public Safety and Security</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(includes San Diego operations of KGS and PSS segments)</w:t>
            </w: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68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w:t>
            </w:r>
          </w:p>
        </w:tc>
      </w:tr>
      <w:tr>
        <w:trPr>
          <w:trHeight w:val="20"/>
        </w:trPr>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See Note 6 of the Notes to Consolidated Financial Statements contained within this Annual Report on Form 10-K for information regarding commitments under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15 of the Notes to the Consolidated Financial Statements contained within this Annual Report on Form 10-K for a further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380"/>
        <w:spacing w:after="0" w:line="503"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and is traded under the symbol “KTOS.”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high and low sales prices for our common stock for the periods indicated, as reported by NASDAQ:</w:t>
      </w:r>
    </w:p>
    <w:p>
      <w:pPr>
        <w:spacing w:after="0" w:line="200" w:lineRule="exact"/>
        <w:rPr>
          <w:sz w:val="20"/>
          <w:szCs w:val="20"/>
          <w:color w:val="auto"/>
        </w:rPr>
      </w:pPr>
    </w:p>
    <w:p>
      <w:pPr>
        <w:spacing w:after="0" w:line="243" w:lineRule="exact"/>
        <w:rPr>
          <w:sz w:val="20"/>
          <w:szCs w:val="20"/>
          <w:color w:val="auto"/>
        </w:rPr>
      </w:pPr>
    </w:p>
    <w:tbl>
      <w:tblPr>
        <w:tblLayout w:type="fixed"/>
        <w:tblInd w:w="232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High</w:t>
            </w:r>
          </w:p>
        </w:tc>
        <w:tc>
          <w:tcPr>
            <w:tcW w:w="3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Low</w:t>
            </w:r>
          </w:p>
        </w:tc>
      </w:tr>
      <w:tr>
        <w:trPr>
          <w:trHeight w:val="21"/>
        </w:trPr>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30, 2013:</w:t>
            </w:r>
          </w:p>
        </w:tc>
        <w:tc>
          <w:tcPr>
            <w:tcW w:w="2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2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8.74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6.42</w:t>
            </w:r>
          </w:p>
        </w:tc>
      </w:tr>
      <w:tr>
        <w:trPr>
          <w:trHeight w:val="27"/>
        </w:trPr>
        <w:tc>
          <w:tcPr>
            <w:tcW w:w="28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w:t>
            </w: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2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6.65</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4.79</w:t>
            </w:r>
          </w:p>
        </w:tc>
      </w:tr>
      <w:tr>
        <w:trPr>
          <w:trHeight w:val="27"/>
        </w:trPr>
        <w:tc>
          <w:tcPr>
            <w:tcW w:w="28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w:t>
            </w: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Year Ended December 30, 2012:</w:t>
            </w:r>
          </w:p>
        </w:tc>
        <w:tc>
          <w:tcPr>
            <w:tcW w:w="2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7"/>
        </w:trPr>
        <w:tc>
          <w:tcPr>
            <w:tcW w:w="28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2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w:t>
            </w: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2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6.04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4.71</w:t>
            </w:r>
          </w:p>
        </w:tc>
      </w:tr>
      <w:tr>
        <w:trPr>
          <w:trHeight w:val="27"/>
        </w:trPr>
        <w:tc>
          <w:tcPr>
            <w:tcW w:w="28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2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w:t>
            </w: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2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7.56</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5.90</w:t>
            </w:r>
          </w:p>
        </w:tc>
      </w:tr>
      <w:tr>
        <w:trPr>
          <w:trHeight w:val="486"/>
        </w:trPr>
        <w:tc>
          <w:tcPr>
            <w:tcW w:w="2840" w:type="dxa"/>
            <w:vAlign w:val="bottom"/>
          </w:tcPr>
          <w:p>
            <w:pPr>
              <w:spacing w:after="0"/>
              <w:rPr>
                <w:sz w:val="24"/>
                <w:szCs w:val="24"/>
                <w:color w:val="auto"/>
              </w:rPr>
            </w:pPr>
          </w:p>
        </w:tc>
        <w:tc>
          <w:tcPr>
            <w:tcW w:w="2340" w:type="dxa"/>
            <w:vAlign w:val="bottom"/>
          </w:tcPr>
          <w:p>
            <w:pPr>
              <w:jc w:val="right"/>
              <w:ind w:right="161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43"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 xml:space="preserve">On March 7, 2014, the closing sale price of our common stock as reported by the NASDAQ Global Select Market was $8.15 per share. On March 7, 2014, there were </w:t>
      </w:r>
      <w:r>
        <w:rPr>
          <w:rFonts w:ascii="Arial" w:cs="Arial" w:eastAsia="Arial" w:hAnsi="Arial"/>
          <w:sz w:val="19"/>
          <w:szCs w:val="19"/>
          <w:color w:val="1F497D"/>
        </w:rPr>
        <w:t>408</w:t>
      </w:r>
      <w:r>
        <w:rPr>
          <w:rFonts w:ascii="Arial" w:cs="Arial" w:eastAsia="Arial" w:hAnsi="Arial"/>
          <w:sz w:val="18"/>
          <w:szCs w:val="18"/>
          <w:color w:val="auto"/>
        </w:rPr>
        <w:t xml:space="preserve"> shareholders of record of our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have not declared any cash dividends since becoming a public company. We currently intend to retain any future earnings to finance the growth and development of the business and, therefore, do not anticipate paying any cash dividends in the foreseeable future. In addition, our ability to pay dividends is restricted by both the indenture entered into in connection with the issuance of our 10% Senior Secured Notes due 2017 and our amended credit and security agreement, each as discussed in the section entitled “Liquidity and Capital Resources” in Item 7 “Management's Discussion and Analysis of Financial Condition and Results of Operations” and Note 5 of the Notes to Consolidated Financial Statements contained within this Annual Report. Any future determination to pay cash dividends will be at the discretion of our board of directors and will be dependent upon our future financial condition, results of operations and capital requirements, general business conditions and other relevant factors as determined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as amended (the “Securities Act”), or the Exchange Act of 1934 as amended (the “Exchange Act”), except to the extent that we specifically incorporate it by reference into such filing.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performance graph presents a comparison of the five year cumulative stockholder return on our common stock against the cumulative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return of a broad equity market index, the Russell 2000 Stock Index, and an industry index, including an old peer group composed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AeroVironment Inc., CACI International Inc., General Dynamics Corp., L3 Communications Holdings Inc., Lockheed Martin Corp., Mantech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Corp., NCI Inc., SAIC Inc., SRA International Inc., and WPCS International Inc., and a new peer group of AeroVironment, API Technologies, American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Science &amp; Engineering Inc., Comtech Telecommunications Corp., AeroVironment, Inc., AAR Corp., iRobot, and Mercury Computer Systems for the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commencing December 28, 2008 and ending December 29, 2013. The new peer group reflects the change in products and solutions we offer as a result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acquisitions beginning in 2011 and 2012. The performance graph assumes an initial investment of $100 in our common stock and in each of the Russell 2000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Index and the peer groups, and further assumes that all dividends were reinvested and all returns are market-cap weighted. The historical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417195</wp:posOffset>
            </wp:positionV>
            <wp:extent cx="4845050" cy="3996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45050" cy="399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25"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219"/>
          </w:cols>
          <w:pgMar w:left="240" w:top="125" w:right="1440"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following selected consolidated financial data should be read in conjunction with our Consolidated Financial Statements and related notes thereto and with Item 7 “Management's Discussion and Analysis of Financial Condition and Results of Operations” contained within this Annual Report. Our historical results are not necessarily indicative of operating results to be expected in the future.</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125"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Amounts in millions except per share amounts</w:t>
      </w:r>
    </w:p>
    <w:p>
      <w:pPr>
        <w:spacing w:after="0" w:line="55"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27,</w:t>
            </w: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26,</w:t>
            </w: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25,</w:t>
            </w:r>
          </w:p>
        </w:tc>
        <w:tc>
          <w:tcPr>
            <w:tcW w:w="200" w:type="dxa"/>
            <w:vAlign w:val="bottom"/>
          </w:tcPr>
          <w:p>
            <w:pPr>
              <w:spacing w:after="0"/>
              <w:rPr>
                <w:sz w:val="14"/>
                <w:szCs w:val="14"/>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b w:val="1"/>
                <w:bCs w:val="1"/>
                <w:color w:val="auto"/>
                <w:w w:val="92"/>
              </w:rPr>
              <w:t>December 30,</w:t>
            </w:r>
          </w:p>
        </w:tc>
        <w:tc>
          <w:tcPr>
            <w:tcW w:w="220" w:type="dxa"/>
            <w:vAlign w:val="bottom"/>
          </w:tcPr>
          <w:p>
            <w:pPr>
              <w:spacing w:after="0"/>
              <w:rPr>
                <w:sz w:val="14"/>
                <w:szCs w:val="14"/>
                <w:color w:val="auto"/>
              </w:rPr>
            </w:pPr>
          </w:p>
        </w:tc>
        <w:tc>
          <w:tcPr>
            <w:tcW w:w="1280" w:type="dxa"/>
            <w:vAlign w:val="bottom"/>
          </w:tcPr>
          <w:p>
            <w:pPr>
              <w:jc w:val="center"/>
              <w:ind w:right="140"/>
              <w:spacing w:after="0"/>
              <w:rPr>
                <w:sz w:val="20"/>
                <w:szCs w:val="20"/>
                <w:color w:val="auto"/>
              </w:rPr>
            </w:pPr>
            <w:r>
              <w:rPr>
                <w:rFonts w:ascii="Arial" w:cs="Arial" w:eastAsia="Arial" w:hAnsi="Arial"/>
                <w:sz w:val="14"/>
                <w:szCs w:val="14"/>
                <w:b w:val="1"/>
                <w:bCs w:val="1"/>
                <w:color w:val="auto"/>
                <w:w w:val="90"/>
              </w:rPr>
              <w:t>December 29,</w:t>
            </w:r>
          </w:p>
        </w:tc>
      </w:tr>
      <w:tr>
        <w:trPr>
          <w:trHeight w:val="196"/>
        </w:trPr>
        <w:tc>
          <w:tcPr>
            <w:tcW w:w="2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6"/>
              </w:rPr>
              <w:t>2013</w:t>
            </w:r>
          </w:p>
        </w:tc>
      </w:tr>
      <w:tr>
        <w:trPr>
          <w:trHeight w:val="206"/>
        </w:trPr>
        <w:tc>
          <w:tcPr>
            <w:tcW w:w="2600" w:type="dxa"/>
            <w:vAlign w:val="bottom"/>
          </w:tcPr>
          <w:p>
            <w:pPr>
              <w:ind w:left="20"/>
              <w:spacing w:after="0"/>
              <w:rPr>
                <w:sz w:val="20"/>
                <w:szCs w:val="20"/>
                <w:color w:val="auto"/>
              </w:rPr>
            </w:pPr>
            <w:r>
              <w:rPr>
                <w:rFonts w:ascii="Arial" w:cs="Arial" w:eastAsia="Arial" w:hAnsi="Arial"/>
                <w:sz w:val="16"/>
                <w:szCs w:val="16"/>
                <w:color w:val="auto"/>
              </w:rPr>
              <w:t>Consolidated Statements of</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6"/>
        </w:trPr>
        <w:tc>
          <w:tcPr>
            <w:tcW w:w="2600" w:type="dxa"/>
            <w:vAlign w:val="bottom"/>
          </w:tcPr>
          <w:p>
            <w:pPr>
              <w:ind w:left="20"/>
              <w:spacing w:after="0"/>
              <w:rPr>
                <w:sz w:val="20"/>
                <w:szCs w:val="20"/>
                <w:color w:val="auto"/>
              </w:rPr>
            </w:pPr>
            <w:r>
              <w:rPr>
                <w:rFonts w:ascii="Arial" w:cs="Arial" w:eastAsia="Arial" w:hAnsi="Arial"/>
                <w:sz w:val="16"/>
                <w:szCs w:val="16"/>
                <w:color w:val="auto"/>
              </w:rPr>
              <w:t>Operations Data:</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3"/>
        </w:trPr>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969.2</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950.6</w:t>
            </w:r>
          </w:p>
        </w:tc>
      </w:tr>
      <w:tr>
        <w:trPr>
          <w:trHeight w:val="237"/>
        </w:trPr>
        <w:tc>
          <w:tcPr>
            <w:tcW w:w="26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257.2</w:t>
            </w:r>
          </w:p>
        </w:tc>
        <w:tc>
          <w:tcPr>
            <w:tcW w:w="22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240.0</w:t>
            </w:r>
          </w:p>
        </w:tc>
      </w:tr>
      <w:tr>
        <w:trPr>
          <w:trHeight w:val="33"/>
        </w:trPr>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w:t>
            </w:r>
          </w:p>
        </w:tc>
      </w:tr>
      <w:tr>
        <w:trPr>
          <w:trHeight w:val="237"/>
        </w:trPr>
        <w:tc>
          <w:tcPr>
            <w:tcW w:w="260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continuing</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37"/>
        </w:trPr>
        <w:tc>
          <w:tcPr>
            <w:tcW w:w="2600" w:type="dxa"/>
            <w:vAlign w:val="bottom"/>
          </w:tcPr>
          <w:p>
            <w:pPr>
              <w:ind w:left="20"/>
              <w:spacing w:after="0"/>
              <w:rPr>
                <w:sz w:val="20"/>
                <w:szCs w:val="20"/>
                <w:color w:val="auto"/>
              </w:rPr>
            </w:pPr>
            <w:r>
              <w:rPr>
                <w:rFonts w:ascii="Arial" w:cs="Arial" w:eastAsia="Arial" w:hAnsi="Arial"/>
                <w:sz w:val="16"/>
                <w:szCs w:val="16"/>
                <w:color w:val="auto"/>
              </w:rPr>
              <w:t>Loss from discontinued operations</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20"/>
        </w:trPr>
        <w:tc>
          <w:tcPr>
            <w:tcW w:w="2600" w:type="dxa"/>
            <w:vAlign w:val="bottom"/>
          </w:tcPr>
          <w:p>
            <w:pPr>
              <w:ind w:left="20"/>
              <w:spacing w:after="0"/>
              <w:rPr>
                <w:sz w:val="20"/>
                <w:szCs w:val="20"/>
                <w:color w:val="auto"/>
              </w:rPr>
            </w:pPr>
            <w:r>
              <w:rPr>
                <w:rFonts w:ascii="Arial" w:cs="Arial" w:eastAsia="Arial" w:hAnsi="Arial"/>
                <w:sz w:val="16"/>
                <w:szCs w:val="16"/>
                <w:color w:val="auto"/>
              </w:rPr>
              <w:t>Income (loss) from continuing</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2600" w:type="dxa"/>
            <w:vAlign w:val="bottom"/>
          </w:tcPr>
          <w:p>
            <w:pPr>
              <w:ind w:left="20"/>
              <w:spacing w:after="0"/>
              <w:rPr>
                <w:sz w:val="20"/>
                <w:szCs w:val="20"/>
                <w:color w:val="auto"/>
              </w:rPr>
            </w:pPr>
            <w:r>
              <w:rPr>
                <w:rFonts w:ascii="Arial" w:cs="Arial" w:eastAsia="Arial" w:hAnsi="Arial"/>
                <w:sz w:val="16"/>
                <w:szCs w:val="16"/>
                <w:color w:val="auto"/>
              </w:rPr>
              <w:t>operations per common share</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3"/>
        </w:trPr>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r>
      <w:tr>
        <w:trPr>
          <w:trHeight w:val="237"/>
        </w:trPr>
        <w:tc>
          <w:tcPr>
            <w:tcW w:w="2600" w:type="dxa"/>
            <w:vAlign w:val="bottom"/>
          </w:tcPr>
          <w:p>
            <w:pPr>
              <w:ind w:left="2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0.87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(0.56)</w:t>
            </w:r>
          </w:p>
        </w:tc>
      </w:tr>
      <w:tr>
        <w:trPr>
          <w:trHeight w:val="33"/>
        </w:trPr>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discontinued operations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per common share</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37"/>
        </w:trPr>
        <w:tc>
          <w:tcPr>
            <w:tcW w:w="2600" w:type="dxa"/>
            <w:vAlign w:val="bottom"/>
          </w:tcPr>
          <w:p>
            <w:pPr>
              <w:ind w:left="2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(0.09)</w:t>
            </w:r>
          </w:p>
        </w:tc>
      </w:tr>
      <w:tr>
        <w:trPr>
          <w:trHeight w:val="33"/>
        </w:trPr>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r>
      <w:tr>
        <w:trPr>
          <w:trHeight w:val="220"/>
        </w:trPr>
        <w:tc>
          <w:tcPr>
            <w:tcW w:w="2600" w:type="dxa"/>
            <w:vAlign w:val="bottom"/>
          </w:tcPr>
          <w:p>
            <w:pPr>
              <w:ind w:left="20"/>
              <w:spacing w:after="0"/>
              <w:rPr>
                <w:sz w:val="20"/>
                <w:szCs w:val="20"/>
                <w:color w:val="auto"/>
              </w:rPr>
            </w:pPr>
            <w:r>
              <w:rPr>
                <w:rFonts w:ascii="Arial" w:cs="Arial" w:eastAsia="Arial" w:hAnsi="Arial"/>
                <w:sz w:val="16"/>
                <w:szCs w:val="16"/>
                <w:color w:val="auto"/>
              </w:rPr>
              <w:t>Net income (loss) per common</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2600" w:type="dxa"/>
            <w:vAlign w:val="bottom"/>
          </w:tcPr>
          <w:p>
            <w:pPr>
              <w:ind w:left="20"/>
              <w:spacing w:after="0"/>
              <w:rPr>
                <w:sz w:val="20"/>
                <w:szCs w:val="20"/>
                <w:color w:val="auto"/>
              </w:rPr>
            </w:pPr>
            <w:r>
              <w:rPr>
                <w:rFonts w:ascii="Arial" w:cs="Arial" w:eastAsia="Arial" w:hAnsi="Arial"/>
                <w:sz w:val="16"/>
                <w:szCs w:val="16"/>
                <w:color w:val="auto"/>
              </w:rPr>
              <w:t>share</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3"/>
        </w:trPr>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r>
      <w:tr>
        <w:trPr>
          <w:trHeight w:val="237"/>
        </w:trPr>
        <w:tc>
          <w:tcPr>
            <w:tcW w:w="2600" w:type="dxa"/>
            <w:vAlign w:val="bottom"/>
          </w:tcPr>
          <w:p>
            <w:pPr>
              <w:ind w:left="2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(0.88)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(0.65)</w:t>
            </w:r>
          </w:p>
        </w:tc>
      </w:tr>
      <w:tr>
        <w:trPr>
          <w:trHeight w:val="33"/>
        </w:trPr>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2600" w:type="dxa"/>
            <w:vAlign w:val="bottom"/>
          </w:tcPr>
          <w:p>
            <w:pPr>
              <w:ind w:left="2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46.9</w:t>
            </w:r>
          </w:p>
        </w:tc>
        <w:tc>
          <w:tcPr>
            <w:tcW w:w="22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56.8</w:t>
            </w:r>
          </w:p>
        </w:tc>
      </w:tr>
      <w:tr>
        <w:trPr>
          <w:trHeight w:val="33"/>
        </w:trPr>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56.8</w:t>
            </w:r>
          </w:p>
        </w:tc>
      </w:tr>
      <w:tr>
        <w:trPr>
          <w:trHeight w:val="500"/>
        </w:trPr>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27,</w:t>
            </w:r>
          </w:p>
        </w:tc>
        <w:tc>
          <w:tcPr>
            <w:tcW w:w="20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26,</w:t>
            </w:r>
          </w:p>
        </w:tc>
        <w:tc>
          <w:tcPr>
            <w:tcW w:w="20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25,</w:t>
            </w:r>
          </w:p>
        </w:tc>
        <w:tc>
          <w:tcPr>
            <w:tcW w:w="200" w:type="dxa"/>
            <w:vAlign w:val="bottom"/>
          </w:tcPr>
          <w:p>
            <w:pPr>
              <w:spacing w:after="0"/>
              <w:rPr>
                <w:sz w:val="24"/>
                <w:szCs w:val="24"/>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b w:val="1"/>
                <w:bCs w:val="1"/>
                <w:color w:val="auto"/>
                <w:w w:val="92"/>
              </w:rPr>
              <w:t>December 30,</w:t>
            </w:r>
          </w:p>
        </w:tc>
        <w:tc>
          <w:tcPr>
            <w:tcW w:w="220" w:type="dxa"/>
            <w:vAlign w:val="bottom"/>
          </w:tcPr>
          <w:p>
            <w:pPr>
              <w:spacing w:after="0"/>
              <w:rPr>
                <w:sz w:val="24"/>
                <w:szCs w:val="24"/>
                <w:color w:val="auto"/>
              </w:rPr>
            </w:pPr>
          </w:p>
        </w:tc>
        <w:tc>
          <w:tcPr>
            <w:tcW w:w="1280" w:type="dxa"/>
            <w:vAlign w:val="bottom"/>
          </w:tcPr>
          <w:p>
            <w:pPr>
              <w:jc w:val="center"/>
              <w:ind w:right="140"/>
              <w:spacing w:after="0"/>
              <w:rPr>
                <w:sz w:val="20"/>
                <w:szCs w:val="20"/>
                <w:color w:val="auto"/>
              </w:rPr>
            </w:pPr>
            <w:r>
              <w:rPr>
                <w:rFonts w:ascii="Arial" w:cs="Arial" w:eastAsia="Arial" w:hAnsi="Arial"/>
                <w:sz w:val="14"/>
                <w:szCs w:val="14"/>
                <w:b w:val="1"/>
                <w:bCs w:val="1"/>
                <w:color w:val="auto"/>
                <w:w w:val="90"/>
              </w:rPr>
              <w:t>December 29,</w:t>
            </w:r>
          </w:p>
        </w:tc>
      </w:tr>
      <w:tr>
        <w:trPr>
          <w:trHeight w:val="196"/>
        </w:trPr>
        <w:tc>
          <w:tcPr>
            <w:tcW w:w="2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6"/>
              </w:rPr>
              <w:t>2013</w:t>
            </w:r>
          </w:p>
        </w:tc>
      </w:tr>
      <w:tr>
        <w:trPr>
          <w:trHeight w:val="237"/>
        </w:trPr>
        <w:tc>
          <w:tcPr>
            <w:tcW w:w="2600" w:type="dxa"/>
            <w:vAlign w:val="bottom"/>
          </w:tcPr>
          <w:p>
            <w:pPr>
              <w:ind w:left="20"/>
              <w:spacing w:after="0"/>
              <w:rPr>
                <w:sz w:val="20"/>
                <w:szCs w:val="20"/>
                <w:color w:val="auto"/>
              </w:rPr>
            </w:pPr>
            <w:r>
              <w:rPr>
                <w:rFonts w:ascii="Arial" w:cs="Arial" w:eastAsia="Arial" w:hAnsi="Arial"/>
                <w:sz w:val="16"/>
                <w:szCs w:val="16"/>
                <w:color w:val="auto"/>
              </w:rPr>
              <w:t>Consolidated Balance Sheet Data:</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49.0</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55.7</w:t>
            </w:r>
          </w:p>
        </w:tc>
      </w:tr>
      <w:tr>
        <w:trPr>
          <w:trHeight w:val="237"/>
        </w:trPr>
        <w:tc>
          <w:tcPr>
            <w:tcW w:w="260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176.6</w:t>
            </w:r>
          </w:p>
        </w:tc>
        <w:tc>
          <w:tcPr>
            <w:tcW w:w="22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179.3</w:t>
            </w:r>
          </w:p>
        </w:tc>
      </w:tr>
      <w:tr>
        <w:trPr>
          <w:trHeight w:val="33"/>
        </w:trPr>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1,284.0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1,216.6</w:t>
            </w:r>
          </w:p>
        </w:tc>
      </w:tr>
      <w:tr>
        <w:trPr>
          <w:trHeight w:val="237"/>
        </w:trPr>
        <w:tc>
          <w:tcPr>
            <w:tcW w:w="2600" w:type="dxa"/>
            <w:vAlign w:val="bottom"/>
          </w:tcPr>
          <w:p>
            <w:pPr>
              <w:ind w:left="20"/>
              <w:spacing w:after="0"/>
              <w:rPr>
                <w:sz w:val="20"/>
                <w:szCs w:val="20"/>
                <w:color w:val="auto"/>
              </w:rPr>
            </w:pPr>
            <w:r>
              <w:rPr>
                <w:rFonts w:ascii="Arial" w:cs="Arial" w:eastAsia="Arial" w:hAnsi="Arial"/>
                <w:sz w:val="16"/>
                <w:szCs w:val="16"/>
                <w:color w:val="auto"/>
              </w:rPr>
              <w:t>Short-term debt</w:t>
            </w: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33"/>
        </w:trPr>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630.1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628.9</w:t>
            </w:r>
          </w:p>
        </w:tc>
      </w:tr>
      <w:tr>
        <w:trPr>
          <w:trHeight w:val="237"/>
        </w:trPr>
        <w:tc>
          <w:tcPr>
            <w:tcW w:w="2600" w:type="dxa"/>
            <w:vAlign w:val="bottom"/>
          </w:tcPr>
          <w:p>
            <w:pPr>
              <w:ind w:left="20"/>
              <w:spacing w:after="0"/>
              <w:rPr>
                <w:sz w:val="20"/>
                <w:szCs w:val="20"/>
                <w:color w:val="auto"/>
              </w:rPr>
            </w:pPr>
            <w:r>
              <w:rPr>
                <w:rFonts w:ascii="Arial" w:cs="Arial" w:eastAsia="Arial" w:hAnsi="Arial"/>
                <w:sz w:val="16"/>
                <w:szCs w:val="16"/>
                <w:color w:val="auto"/>
              </w:rPr>
              <w:t>Long-term debt premium</w:t>
            </w:r>
          </w:p>
        </w:tc>
        <w:tc>
          <w:tcPr>
            <w:tcW w:w="2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18.7</w:t>
            </w:r>
          </w:p>
        </w:tc>
        <w:tc>
          <w:tcPr>
            <w:tcW w:w="22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14.5</w:t>
            </w:r>
          </w:p>
        </w:tc>
      </w:tr>
      <w:tr>
        <w:trPr>
          <w:trHeight w:val="33"/>
        </w:trPr>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169.9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324.1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295.8</w:t>
            </w:r>
          </w:p>
        </w:tc>
      </w:tr>
      <w:tr>
        <w:trPr>
          <w:trHeight w:val="33"/>
        </w:trPr>
        <w:tc>
          <w:tcPr>
            <w:tcW w:w="2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2011 and 2012 Consolidated Statements of Operations and Comprehensive Loss Data and Consolidated Balance Sheet Data have been impacted by the acquisitions we completed in those periods. See Note 3 to our Consolidated Financial Statements for a discussion of these acquisitions. The Consolidated Statements of Operations and Comprehensive Loss Data reflects the results from operations for each of the acquired companies from the date of acquisition and forward, which contributed an aggregate $375.1 million and $287.3 million increase in revenues from 2010 to 2011; and 2011 to 2012,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respectively. We incurred acquisition related expenses of $12.5 million for fiscal 2011 and a benefit of $(2.7) million related to acquisition items for fiscal 2012. In 2012, we incurred an impairment of goodwill and intangible assets of $96.6 million.</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2011 and 2012 Consolidated Balance Sheet Data reflects the impact of our acquisitions as well as the issuance of $625 million in Senior Secured Notes and the issuance of approximately 39.3 million common shares which were used to fund the acquisitions. See Notes 2, 3 and 5 of our Consolidated Financial Statements for a further discussion of these items.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In addition to historical information, the following discussion contains forward-looking statements that are subject to risks and uncertainties. Our actual results may differ substantially from those expressed in or implied by any forward-looking statements herein due to a number of factors, including but not limited to the risks and uncertainties described in this Item 7, in Item 1A Risk Factors and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73"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audited Consolidated Financial Statements and the related notes and other financial information appearing elsewhere in this Annual Report and other reports and filings made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are a specialized security technology business providing mission critical products, solutions and services for domestic and international customers, with our principal customers being agencies of the U.S. Government. Our core capabilities are sophisticated engineering, manufacturing, technology development, system integration, and test and evaluation offerings for national security platforms and programs. Our principal products and solutions are related to Command, Control, Communications, Computing, Combat Systems, Intelligence, Surveillance and Reconnaissance (“C5ISR”). We offer our customers products, solutions, services and expertise to support their mission-critical needs by leveraging our skills across our core offering areas in C5ISR.</w:t>
      </w:r>
    </w:p>
    <w:p>
      <w:pPr>
        <w:spacing w:after="0" w:line="193"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We design, engineer, and manufacture specialized electronic components, subsystems and systems for electronic attack, electronic warfare, radar, and missile system platforms; integrated technology solutions for satellite communications; products and solutions for unmanned systems; products and services related to cybersecurity and cyberwarfare; products and solutions for ballistic missile defense; weapons systems trainers; advanced network engineering and information technology services; weapons systems lifecycle support and sustainment; military weapon range operations and technical services; and public safety, critical infrastructure security and surveillance systems.</w:t>
      </w:r>
    </w:p>
    <w:p>
      <w:pPr>
        <w:spacing w:after="0" w:line="173"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primary end customers are U.S. Government agencies, including the DoD, classified agencies, intelligence agencies, other national security agencies and homeland security related agencies. We also conduct business with local, state and foreign governments and domestic and international commercial customers. In fiscal 2011, 2012 and 2013, we generated 74%, 65% and 64%, respectively, of our total revenues from contracts with the U.S. Government (including all branches of the U.S. military), either as a prime contractor or a subcontractor. We believe our stable customer base, strong customer relationships, broad array of contract vehicles, large employee base possessing specialized skills, extensive list of past performance qualifications, and significant management and operational capabilities position us for continued growth.</w:t>
      </w:r>
    </w:p>
    <w:p>
      <w:pPr>
        <w:spacing w:after="0" w:line="17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August 2011, Congress and the Administration enacted the Budget Control Act of 2011 (the “Budget Control Act”) in order to permit an increase in the federal government's borrowing limit while reducing projected net government spending over the next ten years. The Budget Control Act required $900 billion in immediate cuts to discretionary spending for 2012-2021. It also established a bi-partisan congressional Joint Select Committee on Deficit Reduction (the “Joint Committee”), which was charged with recommending legislation that would reduce net government spending by $1.2 to $1.5 trillion over the next 10 years, in addition to the $900 billion in immediate discretionary spending reductions referenced above. The Joint Committee was unable to identify the required reductions, thereby triggering a provision of the Budget Control Act called “sequestration,” which requires very substantial automatic spending cuts, split between defense and non-defense programs, that started in 2013 and continues over a nine-year period.</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January 2013, Congress enacted the American Taxpayer Relief Act of 2012. It addressed a number of tax code provisions and certain spending issues but left in place the sequester (although delaying its implementation to March 1, 2013) and did not address other fiscal matters such as the debt ceiling. Although debate on budget reductions continued through the first two months of 2013, no resolution was reached prior to the March 1, 2013 sequester deadline. As a result, the President was required by law to issue an order canceling $85 billion in budgetary resources across the U.S. Government for the remainder of FY 2013. The Office of Management and Budget (“OMB”) in its report to Congress of March 1, 2013, entitled “</w:t>
      </w:r>
      <w:r>
        <w:rPr>
          <w:rFonts w:ascii="Arial" w:cs="Arial" w:eastAsia="Arial" w:hAnsi="Arial"/>
          <w:sz w:val="17"/>
          <w:szCs w:val="17"/>
          <w:i w:val="1"/>
          <w:iCs w:val="1"/>
          <w:color w:val="auto"/>
        </w:rPr>
        <w:t>OMB Report to the Congress on</w:t>
      </w:r>
      <w:r>
        <w:rPr>
          <w:rFonts w:ascii="Arial" w:cs="Arial" w:eastAsia="Arial" w:hAnsi="Arial"/>
          <w:sz w:val="17"/>
          <w:szCs w:val="17"/>
          <w:color w:val="auto"/>
        </w:rPr>
        <w:t xml:space="preserve"> </w:t>
      </w:r>
      <w:r>
        <w:rPr>
          <w:rFonts w:ascii="Arial" w:cs="Arial" w:eastAsia="Arial" w:hAnsi="Arial"/>
          <w:sz w:val="17"/>
          <w:szCs w:val="17"/>
          <w:i w:val="1"/>
          <w:iCs w:val="1"/>
          <w:color w:val="auto"/>
        </w:rPr>
        <w:t>the Joint Committee Sequestration,</w:t>
      </w:r>
      <w:r>
        <w:rPr>
          <w:rFonts w:ascii="Arial" w:cs="Arial" w:eastAsia="Arial" w:hAnsi="Arial"/>
          <w:sz w:val="17"/>
          <w:szCs w:val="17"/>
          <w:color w:val="auto"/>
        </w:rPr>
        <w:t>” calculated that, over the course of the fiscal year, the order required a 7.8 percent reduction in non-exempt defense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discretionary funding and a 5.0 percent reduction in non-exempt non-defense discretionary funding. The sequestration also required reductions of 7.9 percent to non-exempt defense mandatory programs. The sequestration report provided calculations of the amounts and percentages by which various budgetary resources are required to be reduced, and a listing of the reductions required for each non-exempt budget account. Federal agencies were directed to apply the same percentage reduction to all programs, projects, and activities within a budget account, as required by Section 256(k)(2) of Balanced Budget and Emergency Deficit Control Act, as amended (“BBEDCA”), and to operate in a manner that is consistent with guidance provided by OMB in Memorandum 13-03, Planning for Uncertainty with Respect to Fiscal Year 2013 Budgetary Resources and Memorandum 13-05, Agency Responsibilities for Implementation of Potential Joint Committee Sequestration.</w:t>
      </w:r>
    </w:p>
    <w:p>
      <w:pPr>
        <w:spacing w:after="0" w:line="18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On April 10, 2013, the President delivered his proposed Fiscal Year ("FY") 2014 budget to Congress. The President's $527 billion FY 2014 defense budget is slightly lower than final defense appropriations for FY 2013. While it largely reflects defense spending plans in the FY 2013 budget, it does not reflect the reductions mandated by Part II of the Budget Control Act. On October 17, 2013, HR. 2775 the “Continuing Appropriations Act of 2014” was signed into law by the President, extending the debt ceiling through February 7, 2014 and temporarily restoring funding for government agencies. The legislation funds federal agencies only until January 15, 2014, and at the FY 2013 enacted levels, which reflect the first sequestration cuts that took effect in March and a discretionary funding level of $986 billion, the amount available to the appropriators to fund FY 2014 federal government programs.</w:t>
      </w:r>
    </w:p>
    <w:p>
      <w:pPr>
        <w:spacing w:after="0" w:line="16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On December 19, 2013, Congress passed the Bipartisan Budget Act of 2013 (the "Bipartisan Budget"). The Bipartisan Budget is a two-year plan that sets spending for the Pentagon and other federal agencies at $1.012 trillion for fiscal 2014. For fiscal 2015, overall spending would increase only slightly to $1.014 trillion. The plan calls for extending part of the sequester into 2022 and 2023 to get an additional $23 billion in planned savings.</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February 15, 2014 legislation was signed which raises the U.S. debt limit through March 2015. In addition, appropriators passed legislation that offsets a significant portion of the sequester cuts. This does translate to a better outlook for the Defense Industry than what was generally expected for both this year and next. However, we still expect some lower or delayed awards on some of our programs with a related negative impact on our revenues, earnings and cash flows.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Reporting Segments</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operate in two principal reportable segments: Kratos Government Solutions and Public Safety &amp; Security. We organize our reportable segments based on the nature of the services offered. Transactions between segments are generally negotiated and accounted for under terms and conditions similar to other government and commercial contracts and these intercompany transactions are eliminated in consolidation. The Consolidated Financial Statements in this Annual Report are presented in a manner consistent with our operating structure. For additional information regarding our reportable segments, see Note 14 of Notes to Consolidated Financial Statements contained within this Annual Report. From a customer and solutions perspective, we view our business as an integrated whole, leveraging skills and assets wherever possible.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Kratos Government Solutions Segment</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KGS segment provides C5ISR products, solutions and services primarily for strategic mission critical national security programs and priorities. Our primary end customers in the KGS segment are U.S. Government agencies, including the Department of Defense ("DoD"), classified agencies, intelligence agencies, civilian agencies, other national security agencies and homeland security related agencies. Our work includes electronic warfare/attack and intelligence, reconnaissance and surveillance; satellite command and control, satellite communications support, signal monitoring, interference detection and geolocation; unmanned aerial systems and unmanned ground systems; ballistic missile defense test and evaluation; cyber and IT; learning, performance and training solutions; missile range operations and technical services; weapon systems lifecycle sustainment, support and extension; manufacturing of specialized tactical combat products, shelters and enclosures for C5ISR systems, UAVs, modular data centers and critical infrastructure shelters, weapons systems and warfighters.</w:t>
      </w:r>
    </w:p>
    <w:p>
      <w:pPr>
        <w:spacing w:after="0" w:line="3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Public Safety &amp; Security Segment</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Our PSS segment provides independent integrated security solutions for homeland security, public safety, critical infrastructure, and strategic assets for government, industrial and commercial customers. Our solutions include designing, engineering, installing, operating and servicing physical security systems and technologies that protect people, critical infrastructure, strategic assets, and property and make facilities more secure and efficient. We provide solutions in such areas as the design, engineering and operation of command and control centers, the design, engineering, deployment and integration of access control, building automation and control, communications, digital and closed circuit television security and surveillance, fire and life safety, maintenance, services and product support services. We provide solutions for customers in the critical infrastructure, power generation, power transport, nuclear energy, financial, IT, healthcare, education, transportation and petro-chemical industries, as well as certain government and military customers. For example, we provide biometrics and other access control technologies to customers such as pipelines, electrical grids, municipal port authorities, power plants, communication centers, large data centers, government installations and other commercial enterprises.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Acquisitions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supplemented our organic growth by identifying, acquiring and integrating businesses that meet our primary objective of providing us with enhanced capabilities to pursue a broader cross section of the DoD, DHS and other government and critical infrastructure markets, complement and broaden our existing customer base and expand our primary service offerings. Our senior management team has significant acquisition experience. Since March 2011, we have acquired five companies and selected assets of a critical infrastructure security and safety system integration business, each as discussed below.</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Acquisitions in the KGS segment</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July 2, 2012, we completed the acquisition of Composite Engineering, Inc. (“CEI”) for approximately $164.0 million. The purchase price, including an adjustment for working capital and cash to be paid to the shareholders for an Internal Revenue Service ("IRC") Section 338(h)(10) election, includes $135.0 million in cash, and 4.0 million shares of the Company's common stock, valued at $5.94 per share on July 2, 2012, or $23.8 million. $10.7 million of the cash paid was placed into an escrow account as security for CEI's indemnification obligations as set forth in the CEI purchase agreement and was reduced by $1.0 million for the working capital adjustment paid to the Company in July 2013, at which time the remaining escrow was released to the CEI shareholders. In addition, we paid $2.5 million to retire certain pre-existing CEI debt and settle pre-existing accounts receivable from CEI at its carrying and fair value of $3.0 million. The Company made an election under Section 338(h)(10) of the IRC, which resulted in tax deductible goodwill related to this transaction, and paid approximately $1.6 million in additional tax liability incurred by the shareholders of CEi for this election. The Company estimates that the tax deductible goodwill and intangibles is approximately $136.3 million and can be deducted for federal and California state income taxes over a 15-year period.</w:t>
      </w:r>
    </w:p>
    <w:p>
      <w:pPr>
        <w:spacing w:after="0" w:line="17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In connection with the CEI acquisition certain CEI personnel entered into long-term employment agreements with us. On July 2, 2012, we granted restricted stock units (“RSUs”) for an aggregate 2.0 million shares of our common stock as long-term retention inducement grants to certain employees of CEI who have joined Kratos. The RSUs had an estimated value of $11.9 million on the grant date, cliff vest on the fourth anniversary of the closing of the CEI acquisition, or earlier upon the occurrence of certain events, and are being accounted for as compensation expense over this four year period.</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25"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To fund the acquisition of CEI, on May 14, 2012, we sold 20.0 million shares of our common stock at a purchase price of $5.00 per share in an underwritten public offering. We received gross proceeds of approximately $100.0 million and net proceeds of approximately $97.0 million after deducting underwriting fees and other offering expenses. We used the net proceeds from this offering to fund a portion of the purchase price for the acquisition of CEI. In addition, we borrowed $40.0 million from our revolving line of credit to partially fund the purchase price of CEI.</w:t>
      </w:r>
    </w:p>
    <w:p>
      <w:pPr>
        <w:spacing w:after="0" w:line="17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CEI is a vertically integrated manufacturer and developer of unmanned aerial target systems and composite structures used for national security programs. Its drones are designed to replicate some of the most lethal aerial threats facing Warfighters and strategic assets. CEI's customers include U.S. and foreign governments.</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November 15, 2011, we acquired SecureInfo Corporation (“SecureInfo”) for $20.3 million in cash, which included a $1.5 million earn-out payment made in the first quarter of 2012. Based in northern Virginia, SecureInfo is a leading cybersecurity company specializing in assisting defense, intelligence, civilian government and commercial customers to identify, understand, document, manage, mitigate and protect against cybersecurity risks while reducing information security costs and achieving compliance with applicable regulations, standards and guidance. SecureInfo offers strategic advisory, operational cybersecurity and cybersecurity risk management services and is a recognized leader in the rapidly evolving fields of cloud security, continuous monitoring and cybersecurity training. Customers include the DoD, DHS and large commercial customers, including market-leading cloud computing service providers.</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July 27, 2011, we acquired Integral Systems, Inc. (“Integral”) in a cash and stock transaction valued at $241.1 million. As consideration for the acquisition of Integral, we paid $131.4 million in cash and issued approximately 10.4 million shares of our common stock valued at $108.7 million. The cash portion of the acquisition was substantially funded with the gross proceeds from the sale of our 10% Senior Secured Notes due 2017 in the aggregate principal amount of $115.0 million issued on July 27, 2011.</w:t>
      </w:r>
    </w:p>
    <w:p>
      <w:pPr>
        <w:spacing w:after="0" w:line="18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addition, upon completion of the merger (i) each outstanding Integral stock option with an exercise price less than $13.00 per share was, if the holder thereof had so elected in writing, canceled in exchange for an amount in cash equal to the product of the total number of shares of Integral common stock subject to such in-the-money option, multiplied by the aggregate value of the excess, if any, of $13.00 over the exercise price per share subject to such option, less the amount of any tax withholding, (ii) each outstanding Integral stock option with an exercise price equal to or greater than $13.00 per share and each Integral in-the-money option the holder of which had not made the election described in (i), above, was converted into an option to purchase our common stock, with the number of shares subject to such option adjusted to equal the number of shares of Integral common stock subject to such out-of-the-money option multiplied by 0.9559, rounded up to the nearest whole share, and the per share exercise price under each such option adjusted by dividing the per share exercise price under such option by 0.9559, rounded up to the nearest whole cent, and (iii) each outstanding share of restricted stock granted under an Integral equity plan or otherwise, whether vested or unvested, was canceled and converted into the right to receive $13.00, less the amount of any tax withholding.</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Integral is a global provider of products, systems and services for satellite command and control, telemetry and digital signal processing, data communications, enterprise network management and communications information assurance. Integral specializes in developing, managing and operating secure communications networks, both satellite and terrestrial, as well as systems and services to detect, characterize and geolocate sources of radio frequency interference. Integral's customers include U.S. and foreign commercial, government, military and intelligence organizations. For almost 30 years, customers have relied on Integral to design and deliver innovative commercially-based products, solutions and services that are cost-effective and reduce delivery schedules and risk.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25, 2011, we acquired Herley Industries, Inc. (“Herley”) in a cash tender offer to purchase all of the outstanding shares of Herley common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stock. The shares of Herley common stock were purchased at a price of $19.00 per share. Accordingly, we paid total aggregate cash consideration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$270.7 million in respect of the shares of Herley common stock and certain in-the-money options, which were exercised upon the change in control of Herley.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addition, upon completion of the merger, all unexercised options to purchase Herley common stock were assumed by us and converted into options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our common stock, entitling the holders thereof to receive 1.3495 shares of our common stock for each share of Herley common stock underlying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options. Herley is a leading provider of microwave technologies for use in command and control systems, flight instrumentation, weapons sensors, radar,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communication systems, electronic warfare and electronic attack systems. Herley has served the defense industry for approximately 45 years by designing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manufacturing microwave devices for use in high-technology defense electronics applications. It has established relationships, experience and expertise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military electronics, electronic warfare and electronic attack industry. Herley's products represent key components in the national security efforts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 as they are employed in mission critical electronic warfare, electronic attack, electronic warfare threat and radar simulation, command and control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network, and cyber warfare/cybersecurity applications.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in the PSS segment</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December 30, 2011, we acquired selected assets of the Critical Infrastructure Business for approximately $18.8 million, which includes a final agreement on the working capital adjustment. The Critical Infrastructure Business designs, engineers, deploys, manages and maintains specialty security systems at some of the United States' most strategic asset and critical infrastructure locations.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29, 2013, we consider the following factors to be important in understanding our financial statements.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KGS' business with the U.S. Government and prime contractors is generally performed under cost reimbursable, fixed-price or time and materials contracts. Cost reimbursable contracts for the U.S.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In accounting for our long-term contracts for production of products and services provided to the U.S. Government and provided to our PSS segment customers under fixed-price contracts, we utilize both cost-to-cost and units delivered measures under the percentage-of-completion method of accounting in accordance with the provisions of Financial Accounting Standards Board (“FASB”) Accounting Standards Codification (“ASC”) </w:t>
      </w:r>
      <w:r>
        <w:rPr>
          <w:rFonts w:ascii="Arial" w:cs="Arial" w:eastAsia="Arial" w:hAnsi="Arial"/>
          <w:sz w:val="16"/>
          <w:szCs w:val="16"/>
          <w:i w:val="1"/>
          <w:iCs w:val="1"/>
          <w:color w:val="auto"/>
        </w:rPr>
        <w:t>Topic 605, Revenue Recognition</w:t>
      </w:r>
      <w:r>
        <w:rPr>
          <w:rFonts w:ascii="Arial" w:cs="Arial" w:eastAsia="Arial" w:hAnsi="Arial"/>
          <w:sz w:val="16"/>
          <w:szCs w:val="16"/>
          <w:color w:val="auto"/>
        </w:rPr>
        <w:t>. Under the units delivered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w:t>
      </w:r>
    </w:p>
    <w:p>
      <w:pPr>
        <w:spacing w:after="0" w:line="173"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may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181"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We manage and assess the performance of our businesses based on our performance on individual contracts and programs obtained generally from government organizations with consideration given to our Critical Accounting Principles and Estimates discussed below.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percentage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30, 2012 to the Year ended December 29, 2013</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by reportable segment for the years ended December 30, 2012 and December 29, 2013 are as follows (in millions):</w:t>
      </w:r>
    </w:p>
    <w:p>
      <w:pPr>
        <w:spacing w:after="0" w:line="200" w:lineRule="exact"/>
        <w:rPr>
          <w:sz w:val="20"/>
          <w:szCs w:val="20"/>
          <w:color w:val="auto"/>
        </w:rPr>
      </w:pP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3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51"/>
              <w:spacing w:after="0"/>
              <w:rPr>
                <w:sz w:val="20"/>
                <w:szCs w:val="20"/>
                <w:color w:val="auto"/>
              </w:rPr>
            </w:pPr>
            <w:r>
              <w:rPr>
                <w:rFonts w:ascii="Arial" w:cs="Arial" w:eastAsia="Arial" w:hAnsi="Arial"/>
                <w:sz w:val="16"/>
                <w:szCs w:val="16"/>
                <w:b w:val="1"/>
                <w:bCs w:val="1"/>
                <w:color w:val="auto"/>
                <w:w w:val="97"/>
              </w:rPr>
              <w:t>$ Change</w:t>
            </w:r>
          </w:p>
        </w:tc>
        <w:tc>
          <w:tcPr>
            <w:tcW w:w="100" w:type="dxa"/>
            <w:vAlign w:val="bottom"/>
          </w:tcPr>
          <w:p>
            <w:pPr>
              <w:spacing w:after="0"/>
              <w:rPr>
                <w:sz w:val="18"/>
                <w:szCs w:val="18"/>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4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Kratos Government Solutions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260"/>
              <w:spacing w:after="0"/>
              <w:rPr>
                <w:sz w:val="20"/>
                <w:szCs w:val="20"/>
                <w:color w:val="auto"/>
              </w:rPr>
            </w:pPr>
            <w:r>
              <w:rPr>
                <w:rFonts w:ascii="Arial" w:cs="Arial" w:eastAsia="Arial" w:hAnsi="Arial"/>
                <w:sz w:val="18"/>
                <w:szCs w:val="18"/>
                <w:color w:val="auto"/>
              </w:rPr>
              <w:t>Service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Product sales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Total Kratos Government Solutions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4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260"/>
              <w:spacing w:after="0"/>
              <w:rPr>
                <w:sz w:val="20"/>
                <w:szCs w:val="20"/>
                <w:color w:val="auto"/>
              </w:rPr>
            </w:pPr>
            <w:r>
              <w:rPr>
                <w:rFonts w:ascii="Arial" w:cs="Arial" w:eastAsia="Arial" w:hAnsi="Arial"/>
                <w:sz w:val="18"/>
                <w:szCs w:val="18"/>
                <w:color w:val="auto"/>
              </w:rPr>
              <w:t>Service revenues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12.7 %</w:t>
            </w:r>
          </w:p>
        </w:tc>
      </w:tr>
      <w:tr>
        <w:trPr>
          <w:trHeight w:val="27"/>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Product sales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Total Public Safety &amp; Security</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12.7 %</w:t>
            </w:r>
          </w:p>
        </w:tc>
      </w:tr>
      <w:tr>
        <w:trPr>
          <w:trHeight w:val="27"/>
        </w:trPr>
        <w:tc>
          <w:tcPr>
            <w:tcW w:w="4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4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Revenues decreased $18.6 million from $969.2 million in 2012 to $950.6 million in 2013. Included in our 2013 revenues are increased revenues of $33.6 million generated from the acquisition of CEI in 2012. Organic increases in our weapons range support work of $4.0 million were offset by continued reductions and compression in our legacy government service revenues of approximately $14.5 million, which have continued to be negatively impacted by increased competitive pricing pressures, and continued in-sourcing of our employees by the U.S. Government. In addition, expected reductions due to the completion of production and subsequent migration to the maintenance phase of certain of our satellite communications projects resulted in reduced annual revenues of $18.3 million. Finally, the delay of contract awards and shipments caused by the uncertainty in the DoD budgetary environment impacted revenues primarily in our ground equipment, ballistic missile target and our electronic warfare products business by an aggregate amount of $28.0 million. PSS segment revenue increased by $23.7 million, which was primarily due to strong demand for security and surveillance systems primarily in our transportation and utility vertical within our critical infrastructure business.</w:t>
      </w:r>
    </w:p>
    <w:p>
      <w:pPr>
        <w:spacing w:after="0" w:line="18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Product sales, which are all from the KGS segment, decreased $12.2 million from $519.2 million for the year ended December 30, 2012 to $507.0 million for the year ended December 29, 2013. As a percentage of total revenue, product revenues were 53.6% for the year ended December 30, 2012 as compared to 53.3% for the year ended December 29, 2013. An increase in product sales primarily related to the acquisition of CEI, was offset by reduced orders and timing on shipments in our ground equipment and electronic warfare businesses. Service revenues decreased by $6.4 million from $450.0 million for the year ended December 30, 2012 to $443.6 million for the year ended December 29, 2013. The decrease was primarily related to the reductions in service revenue in other business units in the KGS segment as discussed above.</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As described in our “Critical Accounting Principles and Estimates” below and in the Notes to Consolidated Financial Statements contained within this Annual Report, we utilize both the cost-to-cost and units delivered measures under the percentage-of-completion method of accounting for recognizing revenue as provided for in </w:t>
      </w:r>
      <w:r>
        <w:rPr>
          <w:rFonts w:ascii="Arial" w:cs="Arial" w:eastAsia="Arial" w:hAnsi="Arial"/>
          <w:sz w:val="17"/>
          <w:szCs w:val="17"/>
          <w:i w:val="1"/>
          <w:iCs w:val="1"/>
          <w:color w:val="auto"/>
        </w:rPr>
        <w:t>Topic 605</w:t>
      </w:r>
      <w:r>
        <w:rPr>
          <w:rFonts w:ascii="Arial" w:cs="Arial" w:eastAsia="Arial" w:hAnsi="Arial"/>
          <w:sz w:val="17"/>
          <w:szCs w:val="17"/>
          <w:color w:val="auto"/>
        </w:rPr>
        <w:t>. When revenue is calculated using the percentage-of-completion method, total costs incurred to date are compared to total estimated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percentage of completion,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on certain projects based on the aforementioned factors, but the effect of such adjustments, both positive and negative, when evaluated in total were determined to be immaterial to our Consolidated Financial Statements.</w:t>
      </w:r>
    </w:p>
    <w:p>
      <w:pPr>
        <w:spacing w:after="0" w:line="17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decreased from $712.0 million for the year ended December 30, 2012 to $710.6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29, 2013. The $1.4 million decrease in cost of revenues was primarily a result of 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increase resulting from our 2012 acquisition of CEi offset by reductions in cost of revenues in our KGS segment as a result of decreased revenue as discussed above.</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Gross margin declined from 26.5% for the year ended December 30, 2012 compared to 25.2% for the year ended December 29, 2013. Margins on services increased from 22.0% for the year ended December 30, 2012 to 24.4% for the year ended December 29, 2013, primarily reflecting the impact of cost reduction actions we have taken. Margins on products decreased for the year ended December 30, 2012 as compared to December 29, 2013 from 30.4% to 26.0%, respectively, as a result of a change in mix of products sold. Margins in the KGS segment decreased from 26.5% for the year ended December 30, 2012 to 25.1% for the year ended December 29, 2013 primarily as a result of change in mix of products sold as well as due in part to contract design retrofit costs of approximately $7.6 million recorded in 2013 as a result of an unsuccessful flight test failure of one of our aerial targets. Margins in the PSS segment decreased from 26.5% for the year ended December 30, 2012 to 25.8% for the year ended December 29, 2013 as a result of the mix of revenue and due to the impact of certain larger projects that were awarded at more competitive margins.</w:t>
      </w:r>
    </w:p>
    <w:p>
      <w:pPr>
        <w:spacing w:after="0" w:line="17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(“SG&amp;A”) decreased $0.1 million from $193.1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 ended December 30, 2012 to $193.0 million for the year ended December 29, 2013. The decrease was primarily a result of the additional SG&amp;A expenses associated with the CEI business offset in part by cost reduction actions we have made. As a percentage of revenues, SG&amp;A increased from 19.9% for fiscal 2012 to 20.3% for fiscal 2013. Excluding amortization of intangibles of $43.9 million for the year ended December 30, 2012 and amortization of intangibles of $36.2 million for the year ended December 29, 2013, SG&amp;A increased as a percentage of revenues from 15.4% to 16.5% for the year ended December 30, 2012 and December 29, 2013, respectively, primarily reflecting a full year of the SG&amp;A of our acquisition of CEI, which currently operates at a higher SG&amp;A infrastructure support than our other businesses.</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Merger and acquisition related items. </w:t>
      </w:r>
      <w:r>
        <w:rPr>
          <w:rFonts w:ascii="Arial" w:cs="Arial" w:eastAsia="Arial" w:hAnsi="Arial"/>
          <w:sz w:val="17"/>
          <w:szCs w:val="17"/>
          <w:color w:val="auto"/>
        </w:rPr>
        <w:t>Merger and acquisition expenses decreased $1.1 million from $2.7 million to a benefit of $3.8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years ended December 30, 2012 and December 29, 2013, respectively. Acquisition expenses related to our acquisitions of the Critical Infrastructure Business and CEI in 2012 were offset by a reduction in liabilities of $4.5 million as a result of reaching an agreement over previously disputed fees, a change in estimate of our indemnity obligations related to former directors and officers of Integral as a result of the settlement of the matter against one of the officers in November 2012 and an adjustment to the estimated contingent acquisition consideration owed to Southside Container &amp; Trailer, LLC ("SCT"). See Notes 3 and 15 of the Notes to the Consolidated Financial Statements for a further discussion of contingent consideration and our indemnity obligations. The benefit of $3.8 million in 2013 was due to the reduction in a $3.1 million liability as a result of our final settlement of our obligations related to former officers and directors of Integral on July 1, 2013, as well as a $2.7 million settlement, net of associated legal fees, arising from a contract dispute with a former subcontractor of the Company pursuant to a settlement agreement executed in December 2013. Both of these benefits were offset partially by legal fees and settlements related to prior acquisitions.</w:t>
      </w:r>
    </w:p>
    <w:p>
      <w:pPr>
        <w:spacing w:after="0" w:line="17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from $17.8 million for the year ended December 30, 2012 to</w:t>
      </w:r>
      <w:r>
        <w:rPr>
          <w:rFonts w:ascii="Arial" w:cs="Arial" w:eastAsia="Arial" w:hAnsi="Arial"/>
          <w:sz w:val="18"/>
          <w:szCs w:val="18"/>
          <w:i w:val="1"/>
          <w:iCs w:val="1"/>
          <w:color w:val="auto"/>
        </w:rPr>
        <w:t xml:space="preserve"> </w:t>
      </w:r>
      <w:r>
        <w:rPr>
          <w:rFonts w:ascii="Arial" w:cs="Arial" w:eastAsia="Arial" w:hAnsi="Arial"/>
          <w:sz w:val="18"/>
          <w:szCs w:val="18"/>
          <w:color w:val="auto"/>
        </w:rPr>
        <w:t>$21.4 million for the year ended December 29, 2013 primarily related to the acquisitions of CEI, as well as due to select investments we are making to enhance certain satellite, electronic warfare/electronic attack products and unmanned systems.</w:t>
      </w:r>
    </w:p>
    <w:p>
      <w:pPr>
        <w:spacing w:after="0" w:line="18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i w:val="1"/>
          <w:iCs w:val="1"/>
          <w:color w:val="auto"/>
        </w:rPr>
        <w:t xml:space="preserve">Impairment of goodwill and intangible assets. </w:t>
      </w:r>
      <w:r>
        <w:rPr>
          <w:rFonts w:ascii="Arial" w:cs="Arial" w:eastAsia="Arial" w:hAnsi="Arial"/>
          <w:sz w:val="18"/>
          <w:szCs w:val="18"/>
          <w:color w:val="auto"/>
        </w:rPr>
        <w:t>In 2012, as a result of reduced defense spending, the threat of sequestration and a decrease in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multiples and our stock price and the corresponding negative impact on the fair value of the KGS reporting unit, we incurred a non-cash goodwill impairment charge of $82.0 million. We also incurred a non-cash intangible asset charge of $14.6 million related to the decision to minimize the use of the Charleston Marine Containers, Inc. and Henry Bros. Electronics, Inc. ("HBE"), trade names as part of our overall branding strategy. For a further discussion of impairment charges, see Note 2 of the Notes to the Consolidated Financial Statements and our Critical Accounting Principles and Estimates later in this section.</w:t>
      </w:r>
    </w:p>
    <w:p>
      <w:pPr>
        <w:spacing w:after="0" w:line="1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Unused office space and other. </w:t>
      </w:r>
      <w:r>
        <w:rPr>
          <w:rFonts w:ascii="Arial" w:cs="Arial" w:eastAsia="Arial" w:hAnsi="Arial"/>
          <w:sz w:val="17"/>
          <w:szCs w:val="17"/>
          <w:color w:val="auto"/>
        </w:rPr>
        <w:t>The expense of $2.1 million for the year ended December 30, 2012 was a result of an increase in our excess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accrual due to consolidation of office space at our Lanham, Maryland and Huntsville, Alabama administrative facilities. The credit of $4.7 million for the year ended December 29, 2013 was due to a reduction in the excess facility accrual of office space at the Columbia, Maryland administrative facilities, primarily offset by expenses related to workforce reductions as a result of cost reduction initiatives we have implemented across the Company.</w:t>
      </w:r>
    </w:p>
    <w:p>
      <w:pPr>
        <w:spacing w:after="0" w:line="17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from $64.8 million to $63.7 million for the years ended December 30, 2012 and December 29,</w:t>
      </w:r>
      <w:r>
        <w:rPr>
          <w:rFonts w:ascii="Arial" w:cs="Arial" w:eastAsia="Arial" w:hAnsi="Arial"/>
          <w:sz w:val="18"/>
          <w:szCs w:val="18"/>
          <w:i w:val="1"/>
          <w:iCs w:val="1"/>
          <w:color w:val="auto"/>
        </w:rPr>
        <w:t xml:space="preserve"> </w:t>
      </w:r>
      <w:r>
        <w:rPr>
          <w:rFonts w:ascii="Arial" w:cs="Arial" w:eastAsia="Arial" w:hAnsi="Arial"/>
          <w:sz w:val="18"/>
          <w:szCs w:val="18"/>
          <w:color w:val="auto"/>
        </w:rPr>
        <w:t>2013, respectively. The decrease in expense of $1.1 million was mainly due to a decrease of $2.4 million in the net interest income/expense, partially offset by a decrease in other income of $1.3.</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The provision for income taxes decreased from a benefit of $1.6 million on a loss of $114.5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before income taxes for the year ended December 30, 2012 to no provision on a loss before income taxes of $31.9 million for the year ended December 29, 2013. The benefit for the year ended December 30, 2012 was primarily due to the impairment of goodwill and intangible assets offset by state income taxes. The zero provision for the year ended December 29, 2013 was primarily comprised of a provision for foreign and state taxes offset by tax benefit related to a statute of limitations expiration of unrecognized tax benefits. See Note 8 of the Notes to the Consolidated Financial Statements for a further discussion of our income taxes.</w:t>
      </w:r>
    </w:p>
    <w:p>
      <w:pPr>
        <w:spacing w:after="0" w:line="19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Loss from discontinued operations increased from $1.5 million to $5.3 million for the year ended December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2012 and December 29, 2013, respectively. In 2012 and 2013, the loss was primarily due to the operations of the non-core businesses from the Integral acquisition that have been classified as held for sale. Revenues generated by these businesses were approximately $18.5 million and $3.7 million for the year ended December 30, 2012 and December 29, 2013, respectively. Loss before income taxes was $1.8 million and $5.3 million for the years ended December 30, 2012 and December 29, 2013, respectively. Included in the loss for December 30, 2012 is a goodwill impairment charge of $1.5 million. We recognized a tax benefit of $0.3 million in the year ended December 30, 2012 primarily related to the expiration of the statute of limitations for certain domestic and foreign tax contingencies.</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36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Year ended</w:t>
            </w:r>
          </w:p>
        </w:tc>
      </w:tr>
      <w:tr>
        <w:trPr>
          <w:trHeight w:val="149"/>
        </w:trPr>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30,</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29,</w:t>
            </w:r>
          </w:p>
        </w:tc>
      </w:tr>
      <w:tr>
        <w:trPr>
          <w:trHeight w:val="192"/>
        </w:trPr>
        <w:tc>
          <w:tcPr>
            <w:tcW w:w="64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Loss before taxes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9 of the Notes to the Consolidated Financial Statements for a further discussion of discontinued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25, 2011 to the Year ended December 30, 2012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by reportable segment for the years ended December 25, 2011 and December 30, 2012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 Change</w:t>
            </w:r>
          </w:p>
        </w:tc>
        <w:tc>
          <w:tcPr>
            <w:tcW w:w="1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264.0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25.2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519.2</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156.3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Total Kratos Government Solutions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601.7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783.2</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181.5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30.2%</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Safety &amp; Security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26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186.0</w:t>
            </w:r>
          </w:p>
        </w:tc>
        <w:tc>
          <w:tcPr>
            <w:tcW w:w="28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73.8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65.8%</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Total Public Safety &amp; Security</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186.0</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73.8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65.8%</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713.9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969.2</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$255.3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Revenues increased $255.3 million from $713.9 million in 2011 to $969.2 million in 2012. Included in our 2012 revenues are net aggregate increased revenues of $287.3 million generated from the businesses we acquired in 2011 and 2012. Approximately $245.0 million of the increase in the KGS segment was related to aggregate net increased revenues from the acquired businesses. In addition, an increase of approximately $7.0 million was related to organic revenue growth in our ballistic missile defense business, our business in which we provide specialty support services at certain weapons ranges, and our learning and training business. These aggregate increases were partially offset by reductions of $37.4 million in our legacy government service revenues, which have continued to be negatively impacted by increased competitive pricing pressures, the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5"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completion of the remaining small business contracts from companies we acquired and continued in-sourcing of our employees by the U.S. Government, as well as reduced orders and timing on shipments in our ground equipment business and legacy weapons systems sustainment business, resulting in an aggregate net reduction of approximately $33.1 million. PSS segment revenue increased by $73.8 million, which was primarily due to the acquisition of the Critical Infrastructure Business on December 30, 2011 as well as organic growth in our legacy PSS business.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Product sales, which are all from the KGS segment, increased $156.3 million from $362.9 million for the year ended December 25, 2011 to $519.2 million for the year ended December 30, 2012. As a percentage of total revenue, product revenues were 50.8% for the year ended December 25, 2011 as compared to 53.6% for the year ended December 30, 2012. The increase in product sales was primarily related to the acquisitions of Integral, Herley and CEI, partially offset by the reduced orders and timing on shipments in our ground equipment business. Service revenues increased by $99.0 million from $351.0 million for the year ended December 25, 2011 to $450.0 million for the year ended December 30, 2012. The increase was primarily related to the acquisitions of Integral, SecureInfo and the Critical Infrastructure Business, partially offset by the reductions in service revenue in other business units in the KGS segment as discussed above.</w:t>
      </w:r>
    </w:p>
    <w:p>
      <w:pPr>
        <w:spacing w:after="0" w:line="189"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from $522.7 million for the year ended December 25, 2011 to $712.0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30, 2012. The $189.3 million increase in cost of revenues was primarily a result of our acquisitions partially offset by reductions in cost of revenues in our KGS segment as a result of decreased revenue as discussed above.</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Gross margin remained fairly flat at 26.8% for the year ended December 25, 2011 compared to 26.5% for the year ended December 30, 2012. Margins on services decreased from 25.7% for the year ended December 25, 2011 to 22.0% for the year ended December 30, 2012, due primarily to a reduction in profit of $3.2 million related to a close-out settlement on a previously acquired contract, the acquisition of the Critical Infrastructure Business, as well as the continued margin pressure experienced in our service business. Margins on products increased for the year ended December 25, 2011 as compared to December 30, 2012 from 27.8% to 30.4%, respectively, as a result of the acquisitions of CEI, Integral and Herley. Margins in the KGS segment increased from 26.2% for the year ended December 25, 2011 to 26.5% for the year ended December 30, 2012 primarily as a result of the higher gross margins from our CEI, Integral, Herley, and SecureInfo acquisitions. Margins in the PSS segment decreased from 30.0% for the year ended December 25, 2011 to 26.5% for the year ended December 30, 2012 as a result of the mix of revenue and due to the acquisition of the Critical Infrastructure Business, for which cost reduction actions were not fully implemented until the fourth quarter of 2012.</w:t>
      </w:r>
    </w:p>
    <w:p>
      <w:pPr>
        <w:spacing w:after="0" w:line="18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(“SG&amp;A”) increased $52.5 million from $140.6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 ended December 25, 2011 to $193.1 million for the year ended December 30, 2012. The increase was primarily a result of the acquisitions of SecureInfo, Integral, Herley, the Critical Infrastructure Business and CEI. As a percentage of revenues, SG&amp;A increased from 19.7% for fiscal 2011 to 19.9% for fiscal 2012. Excluding amortization of intangibles of $38.0 million for the year ended December 25, 2011 and amortization of intangibles of $43.9 million for the year ended December 30, 2012, SG&amp;A increased as a percentage of revenues from 14.4% to 15.4% for the year ended December 25, 2011 and December 30, 2012, respectively, reflecting the SG&amp;A of our acquisitions of SecureInfo, Integral, Herley, the Critical Infrastructure Business and CEI, which have higher SG&amp;A as a percentage of revenues and corresponding higher gross margin percentages.</w:t>
      </w:r>
    </w:p>
    <w:p>
      <w:pPr>
        <w:spacing w:after="0" w:line="17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 xml:space="preserve">Merger and acquisition related items. </w:t>
      </w:r>
      <w:r>
        <w:rPr>
          <w:rFonts w:ascii="Arial" w:cs="Arial" w:eastAsia="Arial" w:hAnsi="Arial"/>
          <w:sz w:val="18"/>
          <w:szCs w:val="18"/>
          <w:color w:val="auto"/>
        </w:rPr>
        <w:t>Merger and acquisition expenses decreased $15.2 million from $12.5 million to a benefit of $2.7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years ended December 25, 2011 and December 30, 2012, respectively. Acquisition expenses are related primarily to our acquisitions of Herley and Integral in 2011. Expenses related to our acquisitions of the Critical Infrastructure Business and CEI in 2012 were offset by a reduction in liabilities of $4.5 million as a result of reaching an agreement over previously disputed fees, a change in estimate of our indemnity obligations related to former directors and officers of Integral as a result of the settlement of the matter against one of the officers in November 2012 and an adjustment to the estimated contingent acquisition consideration owed to SCT. See Notes 3 and 15 of the Notes to the Consolidated Financial Statements for a further discussion of contingent consideration and our indemnity obligations.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increased from $8.6 million for the year ended December 25, 2011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$17.8 million for the year ended December 30, 2012 primarily related to the acquisitions of CEI, Integral and Herley, as well as due to select investments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making to enhance certain satellite and electronic warfare/electronic attack products.</w:t>
      </w:r>
    </w:p>
    <w:p>
      <w:pPr>
        <w:spacing w:after="0" w:line="21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Impairment of goodwill and intangible assets. </w:t>
      </w:r>
      <w:r>
        <w:rPr>
          <w:rFonts w:ascii="Arial" w:cs="Arial" w:eastAsia="Arial" w:hAnsi="Arial"/>
          <w:sz w:val="18"/>
          <w:szCs w:val="18"/>
          <w:color w:val="auto"/>
        </w:rPr>
        <w:t>In 2012, as a result of reduced defense spending, the threat of sequestration and a decrease in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multiples and our stock price and the corresponding negative impact on the fair value of the KGS reporting unit, we incurred a non-cash goodwill impairment charge of $82.0 million. We also incurred a non-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intangible asset charge of $14.6 million related to the decision to minimize the use of the Charleston Marine Containers, Inc. and Henry Bros. Electronics, Inc. ("HBE"), trade names as part of our overall branding strategy. For a further discussion of impairment charges, see Note 2 of the Notes to the Consolidated Financial Statements and the Application of Critical Accounting Policies later in this section.</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Unused office space and other. </w:t>
      </w:r>
      <w:r>
        <w:rPr>
          <w:rFonts w:ascii="Arial" w:cs="Arial" w:eastAsia="Arial" w:hAnsi="Arial"/>
          <w:sz w:val="18"/>
          <w:szCs w:val="18"/>
          <w:color w:val="auto"/>
        </w:rPr>
        <w:t>The expense of $2.1 million for the year ended December 30, 2012 was a result of an increase in our excess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accrual due to consolidation of office space at our Lanham, Maryland and Huntsville, Alabama administrative facilities.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Other expense, net increased from $51.1 million to $64.8 million for the years ended December 25, 2011 and December 30,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2012, respectively. The increase in expense of $13.7 million is primarily related to an increase in interest expense as a result of the Notes issued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2011 and July 2011, primarily to fund the Herley and Integral acquisitions. In 2012, the interest expense was partially offset by other income of $1.3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primarily related to foreign currency transaction gains.</w:t>
      </w:r>
    </w:p>
    <w:p>
      <w:pPr>
        <w:spacing w:after="0" w:line="211"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The provision for income taxes decreased from an expense of $1.9 million on a loss of $21.6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continuing operations before income taxes for the year ended December 25, 2011 to a benefit of $1.6 million on a loss before income taxes of $114.5 million for the year ended December 30, 2012. The provision for the year ended December 25, 2011 was primarily comprised of taxes of $3.1 million and</w:t>
      </w:r>
    </w:p>
    <w:p>
      <w:pPr>
        <w:jc w:val="both"/>
        <w:ind w:right="620"/>
        <w:spacing w:after="0" w:line="255" w:lineRule="auto"/>
        <w:rPr>
          <w:sz w:val="20"/>
          <w:szCs w:val="20"/>
          <w:color w:val="auto"/>
        </w:rPr>
      </w:pPr>
      <w:r>
        <w:rPr>
          <w:rFonts w:ascii="Arial" w:cs="Arial" w:eastAsia="Arial" w:hAnsi="Arial"/>
          <w:sz w:val="18"/>
          <w:szCs w:val="18"/>
          <w:color w:val="auto"/>
        </w:rPr>
        <w:t>$0.4 million for state and foreign current taxes, respectively, partially offset by a tax refund settlement of $2.1 million. The benefit for the year ended December 30, 2012 was primarily due to the impairment of goodwill and intangible assets offset by state income taxes. See Note 8 of the Notes to the Consolidated Financial Statements for a further discussion of our income taxes.</w:t>
      </w:r>
    </w:p>
    <w:p>
      <w:pPr>
        <w:spacing w:after="0" w:line="19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 xml:space="preserve">Loss from discontinued operations. </w:t>
      </w:r>
      <w:r>
        <w:rPr>
          <w:rFonts w:ascii="Arial" w:cs="Arial" w:eastAsia="Arial" w:hAnsi="Arial"/>
          <w:sz w:val="17"/>
          <w:szCs w:val="17"/>
          <w:color w:val="auto"/>
        </w:rPr>
        <w:t>Loss from discontinued operations increased from $0.7 million to $1.5 million for the year ended December 25,</w:t>
      </w:r>
      <w:r>
        <w:rPr>
          <w:rFonts w:ascii="Arial" w:cs="Arial" w:eastAsia="Arial" w:hAnsi="Arial"/>
          <w:sz w:val="17"/>
          <w:szCs w:val="17"/>
          <w:i w:val="1"/>
          <w:iCs w:val="1"/>
          <w:color w:val="auto"/>
        </w:rPr>
        <w:t xml:space="preserve"> </w:t>
      </w:r>
      <w:r>
        <w:rPr>
          <w:rFonts w:ascii="Arial" w:cs="Arial" w:eastAsia="Arial" w:hAnsi="Arial"/>
          <w:sz w:val="17"/>
          <w:szCs w:val="17"/>
          <w:color w:val="auto"/>
        </w:rPr>
        <w:t>2011 and December 30, 2012, respectively. In 2011 and 2012 the loss was primarily due to the operations of the non-core businesses from the Integral acquisition that have been classified as held for sale. Revenues generated by these businesses were approximately $9.2 million and $18.5 million for the year ended December 25, 2011 and December 30, 2012, respectively. Loss before income taxes was $1.3 million and $1.8 million for the years ended December 25, 2011 and December 30, 2012, respectively. Included in the loss for December 30, 2012 is a goodwill impairment charge of $1.5 million. For the years ended December 25, 2011 and December 30, 2012, we recognized a tax benefit of $0.6 million and $0.3 million, respectively, primarily related to the expiration of the statute of limitations for certain domestic and foreign tax contingencies.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38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Year ended</w:t>
            </w: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Year ended</w:t>
            </w:r>
          </w:p>
        </w:tc>
      </w:tr>
      <w:tr>
        <w:trPr>
          <w:trHeight w:val="216"/>
        </w:trPr>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December 25,</w:t>
            </w: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December 30,</w:t>
            </w:r>
          </w:p>
        </w:tc>
      </w:tr>
      <w:tr>
        <w:trPr>
          <w:trHeight w:val="230"/>
        </w:trPr>
        <w:tc>
          <w:tcPr>
            <w:tcW w:w="6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0"/>
                <w:szCs w:val="20"/>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Loss before taxes</w:t>
            </w: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9 of the Notes to the Consolidated Financial Statements for a further discussion of discontinued operations.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of December 29, 2013, we had cash and cash equivalents of $55.7 million compared with cash and cash equivalents of $49.0 million as of December 30, 2012, which includes $16.0 million and $15.2 million, respectively, of cash and cash equivalents held by our foreign subsidiaries. We are not presently aware of any restrictions on the repatriation of these funds, however, they are essentially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Any additional taxes could be offset, in part or in whole, by foreign tax credits. The amount of such taxes and application of tax credits would be dependent on the income tax laws and other circumstances at the time these amounts are repatriated. Based on these variables, it is not practicable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determine the income tax liability that might be incurred if these earnings were to be repatriated. We do not currently intend to repatriate these earnings.</w:t>
      </w:r>
    </w:p>
    <w:p>
      <w:pPr>
        <w:spacing w:after="0" w:line="23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total debt, including capital lease obligations, principal due on the Notes, other term debt, and the premium of $14.5 million received on Notes issued, decreased by $5.6 million from $650.3 million on December 30, 2012 to $644.7 million on December 29, 2013. The decrease in debt was primarily the result of the amortization of the premium on the Notes of approximately $4.2 million and a $1.0 million principal payment on a ten-year term loan with a bank in Israel assumed in connection with our acquisition of Herley.</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operating cash flow is used to finance trade accounts receivable, fund necessary increases in inventory, fund capital expenditures and our ongoing operations, service our debt and make strategic acquisitions. Financing trade accounts receivable is necessary because, on average, our customers do not pay us as quickly as we pay our vendors and employees for their goods and services. As our mix of revenues has become more product rather than service focused, our days sales outstanding on our receivables have been impacted by contractual billing milestones under which we are unable to bill and collect certain amounts until the milestones have been satisfied.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accounts receivable balance of $265.8 million at December 29, 2013 includes $1.2 million of receivables due from a Greek customer under a subcontract arrangement Gichner Holdings, Inc. ("Gichner") entered into with the Greek Ministry of Defense (GMoD) in 2004 prior to our acquisition of Gichner in 2010. We do not have any significant direct exposure to European government receivables, and our customers do not rely heavily on European government subsidies or other European government support. We will continue to monitor our exposure to risks relating to European sovereign debt.</w:t>
      </w:r>
    </w:p>
    <w:p>
      <w:pPr>
        <w:spacing w:after="0" w:line="18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 summary of our net cash provided by operating activities from continuing operations from our Consolidated Statements of Cash Flows is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264"/>
        </w:trPr>
        <w:tc>
          <w:tcPr>
            <w:tcW w:w="4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December 25, 2011</w:t>
            </w:r>
          </w:p>
        </w:tc>
        <w:tc>
          <w:tcPr>
            <w:tcW w:w="220" w:type="dxa"/>
            <w:vAlign w:val="bottom"/>
          </w:tcPr>
          <w:p>
            <w:pPr>
              <w:spacing w:after="0"/>
              <w:rPr>
                <w:sz w:val="22"/>
                <w:szCs w:val="22"/>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30, 2012</w:t>
            </w:r>
          </w:p>
        </w:tc>
        <w:tc>
          <w:tcPr>
            <w:tcW w:w="220" w:type="dxa"/>
            <w:vAlign w:val="bottom"/>
          </w:tcPr>
          <w:p>
            <w:pPr>
              <w:spacing w:after="0"/>
              <w:rPr>
                <w:sz w:val="22"/>
                <w:szCs w:val="22"/>
                <w:color w:val="auto"/>
              </w:rPr>
            </w:pPr>
          </w:p>
        </w:tc>
        <w:tc>
          <w:tcPr>
            <w:tcW w:w="1580" w:type="dxa"/>
            <w:vAlign w:val="bottom"/>
          </w:tcPr>
          <w:p>
            <w:pPr>
              <w:jc w:val="right"/>
              <w:ind w:right="239"/>
              <w:spacing w:after="0"/>
              <w:rPr>
                <w:sz w:val="20"/>
                <w:szCs w:val="20"/>
                <w:color w:val="auto"/>
              </w:rPr>
            </w:pPr>
            <w:r>
              <w:rPr>
                <w:rFonts w:ascii="Arial" w:cs="Arial" w:eastAsia="Arial" w:hAnsi="Arial"/>
                <w:sz w:val="14"/>
                <w:szCs w:val="14"/>
                <w:b w:val="1"/>
                <w:bCs w:val="1"/>
                <w:color w:val="auto"/>
                <w:w w:val="98"/>
              </w:rPr>
              <w:t>December 29, 2013</w:t>
            </w:r>
          </w:p>
        </w:tc>
      </w:tr>
      <w:tr>
        <w:trPr>
          <w:trHeight w:val="215"/>
        </w:trPr>
        <w:tc>
          <w:tcPr>
            <w:tcW w:w="4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from</w:t>
            </w:r>
          </w:p>
        </w:tc>
        <w:tc>
          <w:tcPr>
            <w:tcW w:w="3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30"/>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22.6</w:t>
            </w:r>
          </w:p>
        </w:tc>
      </w:tr>
      <w:tr>
        <w:trPr>
          <w:trHeight w:val="27"/>
        </w:trPr>
        <w:tc>
          <w:tcPr>
            <w:tcW w:w="4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Our cash provided by operating activities was impacted by interest and transaction expenses we paid related to the completion of strategic acquisitions in 2011, and 2012. We paid $46.2 million, $64.0 million, and $63.8 million in interest expense in 2011, 2012, and 2013, respectively. The increase in interest expense paid from 2011 to 2012 was a result of the $285.0 million in 10% Senior Secured Notes we issued on March 25, 2011 to fund the acquisition of Herley and the issuance of $115.0 million in 10% Senior Secured Notes we issued on July 27, 2011 to fund the acquisition of Integral, as well as a full years impact of the $225.0 million of 10% Senior Secured Notes we issued in May 2010. Cash provided by operating activities in 2011, 2012 and 2013 also includes $27.8 million, $5.4 million, and $0.6 million, respectively, in transaction costs paid related to our acquisitions. See Note 3 and Note 5 of the Notes to Consolidated Financial Statements contained within this Annual Report for a further discussion of our acquisitions and debt. Excluding the payment of transaction expenses, cash provided by operating activities was $33.0 million, $57.7 million, and $23.2 million in 2011, 2012, and 2013, respectively.</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used in investing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4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25, 2011</w:t>
            </w:r>
          </w:p>
        </w:tc>
        <w:tc>
          <w:tcPr>
            <w:tcW w:w="18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30, 2012</w:t>
            </w:r>
          </w:p>
        </w:tc>
        <w:tc>
          <w:tcPr>
            <w:tcW w:w="180" w:type="dxa"/>
            <w:vAlign w:val="bottom"/>
          </w:tcPr>
          <w:p>
            <w:pPr>
              <w:spacing w:after="0"/>
              <w:rPr>
                <w:sz w:val="22"/>
                <w:szCs w:val="22"/>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29, 2013</w:t>
            </w:r>
          </w:p>
        </w:tc>
      </w:tr>
      <w:tr>
        <w:trPr>
          <w:trHeight w:val="250"/>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2.2</w:t>
            </w:r>
          </w:p>
        </w:tc>
      </w:tr>
      <w:tr>
        <w:trPr>
          <w:trHeight w:val="27"/>
        </w:trPr>
        <w:tc>
          <w:tcPr>
            <w:tcW w:w="4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contingent acquisition consideration</w:t>
            </w:r>
          </w:p>
        </w:tc>
        <w:tc>
          <w:tcPr>
            <w:tcW w:w="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w w:val="95"/>
              </w:rPr>
              <w:t>Proceeds from the disposition of discontinued operations</w:t>
            </w:r>
          </w:p>
        </w:tc>
        <w:tc>
          <w:tcPr>
            <w:tcW w:w="5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
        </w:trPr>
        <w:tc>
          <w:tcPr>
            <w:tcW w:w="4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restricted cash</w:t>
            </w:r>
          </w:p>
        </w:tc>
        <w:tc>
          <w:tcPr>
            <w:tcW w:w="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45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4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Net cash used in investing activities from continuing</w:t>
            </w:r>
          </w:p>
        </w:tc>
        <w:tc>
          <w:tcPr>
            <w:tcW w:w="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7"/>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4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1000" w:firstLine="648"/>
        <w:spacing w:after="0" w:line="342" w:lineRule="auto"/>
        <w:rPr>
          <w:sz w:val="20"/>
          <w:szCs w:val="20"/>
          <w:color w:val="auto"/>
        </w:rPr>
      </w:pPr>
      <w:r>
        <w:rPr>
          <w:rFonts w:ascii="Arial" w:cs="Arial" w:eastAsia="Arial" w:hAnsi="Arial"/>
          <w:sz w:val="16"/>
          <w:szCs w:val="16"/>
          <w:color w:val="auto"/>
        </w:rPr>
        <w:t>Cash paid for acquisitions accounted for the most significant outlays for investing activities for the years ended December 25, 2011 and December 30, 2012, in each case as a result of the implementation of our strategy to diversify our business through strategic acquisitions.</w:t>
      </w:r>
    </w:p>
    <w:p>
      <w:pPr>
        <w:spacing w:after="0" w:line="1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2011, we acquired three companies in cash and equity transactions. We paid cash of approximately $248.9 million for Herley, net of cash acquired of $21.8 million. We paid approximately $124.6 million for the cash portion of the purchase of Integral common stock and options and to retire Integral's existing debt and capital leases, net of cash acquired of $6.8 million. We paid approximately $17.3 million in cash, net of cash acquired of $1.4 million for the acquisition of SecureInfo. In addition, we also paid $0.3 million to the SCT shareholders as SCT's indemnification obligations as set forth in the SCT Agreement were met.</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December 30, 2011, we acquired selected assets of the Critical Infrastructure Business for approximately $20.0 million which is reflected in our fiscal 2012 investing activities. On July 2, 2012, we completed the acquisition of CEI and paid approximately $135.0 million for the cash portion of the purchase of CEI common stock and to retire CEI's existing debt and capital leases. We reached settlements of total working capital adjustments owed to us for these acquisitions of $2.2 million, which we received in 2013.</w:t>
      </w:r>
    </w:p>
    <w:p>
      <w:pPr>
        <w:spacing w:after="0" w:line="16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Capital expenditures consist primarily of investment in machinery, computer hardware and software, and improvement of our physical properties in order to maintain suitable conditions in which to conduct our business. The increase in capital expenditures of $9.1 million from $7.5 million in 2011 to $16.6 million in 2012 is primarily related to the full year's activity for Herley and Integral Systems as well as the 2012 activity for CEI. Capital expenditures in 2013 reflected a full years impact of CEI, and investments we have made for certain machinery, test equipment, and demonstration units in our unmanned aerial systems business.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financing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6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25, 2011</w:t>
            </w:r>
          </w:p>
        </w:tc>
        <w:tc>
          <w:tcPr>
            <w:tcW w:w="160" w:type="dxa"/>
            <w:vAlign w:val="bottom"/>
          </w:tcPr>
          <w:p>
            <w:pPr>
              <w:spacing w:after="0"/>
              <w:rPr>
                <w:sz w:val="22"/>
                <w:szCs w:val="22"/>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30, 2012</w:t>
            </w:r>
          </w:p>
        </w:tc>
        <w:tc>
          <w:tcPr>
            <w:tcW w:w="140" w:type="dxa"/>
            <w:vAlign w:val="bottom"/>
          </w:tcPr>
          <w:p>
            <w:pPr>
              <w:spacing w:after="0"/>
              <w:rPr>
                <w:sz w:val="22"/>
                <w:szCs w:val="22"/>
                <w:color w:val="auto"/>
              </w:rPr>
            </w:pPr>
          </w:p>
        </w:tc>
        <w:tc>
          <w:tcPr>
            <w:tcW w:w="140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December 29, 2013</w:t>
            </w:r>
          </w:p>
        </w:tc>
      </w:tr>
      <w:tr>
        <w:trPr>
          <w:trHeight w:val="250"/>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40"/>
              <w:spacing w:after="0"/>
              <w:rPr>
                <w:sz w:val="20"/>
                <w:szCs w:val="20"/>
                <w:color w:val="auto"/>
              </w:rPr>
            </w:pPr>
            <w:r>
              <w:rPr>
                <w:rFonts w:ascii="Arial" w:cs="Arial" w:eastAsia="Arial" w:hAnsi="Arial"/>
                <w:sz w:val="18"/>
                <w:szCs w:val="18"/>
                <w:color w:val="auto"/>
              </w:rPr>
              <w:t>Proceeds from the issuance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Proceeds from the issuance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140"/>
              <w:spacing w:after="0"/>
              <w:rPr>
                <w:sz w:val="20"/>
                <w:szCs w:val="20"/>
                <w:color w:val="auto"/>
              </w:rPr>
            </w:pPr>
            <w:r>
              <w:rPr>
                <w:rFonts w:ascii="Arial" w:cs="Arial" w:eastAsia="Arial" w:hAnsi="Arial"/>
                <w:sz w:val="18"/>
                <w:szCs w:val="18"/>
                <w:color w:val="auto"/>
              </w:rPr>
              <w:t>Cash paid for contingent acquisition consideration</w:t>
            </w:r>
          </w:p>
        </w:tc>
        <w:tc>
          <w:tcPr>
            <w:tcW w:w="1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Borrowings under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140"/>
              <w:spacing w:after="0"/>
              <w:rPr>
                <w:sz w:val="20"/>
                <w:szCs w:val="20"/>
                <w:color w:val="auto"/>
              </w:rPr>
            </w:pPr>
            <w:r>
              <w:rPr>
                <w:rFonts w:ascii="Arial" w:cs="Arial" w:eastAsia="Arial" w:hAnsi="Arial"/>
                <w:sz w:val="18"/>
                <w:szCs w:val="18"/>
                <w:color w:val="auto"/>
              </w:rPr>
              <w:t>Repayment under credit facility</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Purchase of treasury stock</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140"/>
              <w:spacing w:after="0"/>
              <w:rPr>
                <w:sz w:val="20"/>
                <w:szCs w:val="20"/>
                <w:color w:val="auto"/>
              </w:rPr>
            </w:pPr>
            <w:r>
              <w:rPr>
                <w:rFonts w:ascii="Arial" w:cs="Arial" w:eastAsia="Arial" w:hAnsi="Arial"/>
                <w:sz w:val="18"/>
                <w:szCs w:val="18"/>
                <w:color w:val="auto"/>
              </w:rPr>
              <w:t>Debt issuance costs paid</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Proceeds from the exercise of restricted stock units, employee stock options, and</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6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employee stock purchase plan</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r>
      <w:tr>
        <w:trPr>
          <w:trHeight w:val="243"/>
        </w:trPr>
        <w:tc>
          <w:tcPr>
            <w:tcW w:w="618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6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25, 2011, cash provided by financing activities was primarily related to proceeds from equity and debt offerings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which we used to finance our acquisitions. In March 2011, to finance the acquisition of Herley, we issued notes in the aggregate principal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$285.0 million and received approximately $20.0 million in premium for an effective interest rate on this issuance of 8.5%. In July 2011, to finance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Integral, we issued notes in the aggregate principal amount of $115.0 million and received $5.7 million in premium for an effective interest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8.9%. See Note 3 of the Notes to Consolidated Financial Statements contained within this Annual Report for a further discussion of these acquisitions.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also paid debt issuance costs of approximately $22.1 million related to these notes and the amendments to our credit facility discussed below.</w:t>
      </w:r>
    </w:p>
    <w:p>
      <w:pPr>
        <w:spacing w:after="0" w:line="21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 February 2011, we sold approximately 4.9 million shares of our common stock at a purchase price of $13.25 per share in an underwritten public offering. We received gross proceeds from the equity offering of approximately $64.8 million and, after deducting underwriting and other offering expenses, received approximately $61.1 million in net proceeds.</w:t>
      </w:r>
    </w:p>
    <w:p>
      <w:pPr>
        <w:spacing w:after="0" w:line="181"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On December 1, 2011, we paid $10.9 million for a block transaction to repurchase 2.0 million shares of our common stock in the open market from an institutional investor for $5.45 per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April 2012, we paid $2.5 million in contingent acquisition consideration related to the DEI Services Corporation performance milestones achieved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2011.</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On May 15, 2012, we sold 20.0 million shares of common stock at a purchase price of $5.00 per share in an underwritten public offering. We received gross proceeds of $100.0 million. After deducting underwriting and other offering expenses, we received approximately $97.0 million in net proceeds. We used the net proceeds from this offering as well as borrowings of $40.0 million from our revolving line of credit to fund the cash consideration paid to the stockholders of CEI in connection with our acquisition in July 2012. In September 2012, we repaid the $40.0 million borrowed on our revolving line of credit for the acquisition of CEI.</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“Contractual Obligations and Commitments” for a further discussion of our Senior Secured Notes, our Credit Facility and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(used in) discontinued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Year Ended</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4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25, 2011</w:t>
            </w:r>
          </w:p>
        </w:tc>
        <w:tc>
          <w:tcPr>
            <w:tcW w:w="16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30, 2012</w:t>
            </w:r>
          </w:p>
        </w:tc>
        <w:tc>
          <w:tcPr>
            <w:tcW w:w="16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4"/>
                <w:szCs w:val="14"/>
                <w:b w:val="1"/>
                <w:bCs w:val="1"/>
                <w:color w:val="auto"/>
                <w:w w:val="95"/>
              </w:rPr>
              <w:t>December 29, 2013</w:t>
            </w:r>
          </w:p>
        </w:tc>
      </w:tr>
      <w:tr>
        <w:trPr>
          <w:trHeight w:val="243"/>
        </w:trPr>
        <w:tc>
          <w:tcPr>
            <w:tcW w:w="4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cash flows provided by (used in) discontinued operations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flow from discontinued operations is primarily related to non-core businesses we acquired in the Integral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Senior Secured Notes due 2017</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 order to fund our acquisitions in 2011 and 2012 we issued equity as discussed above and increased our leverage through a series of financing transactions.</w:t>
      </w:r>
    </w:p>
    <w:p>
      <w:pPr>
        <w:spacing w:after="0" w:line="170"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color w:val="auto"/>
        </w:rPr>
        <w:t>On May 19, 2010, we entered into an Indenture with the guarantors set forth therein and Wilmington Trust FSB (“Wilmington Trust”), as trustee and collateral agent (as amended, the “Indenture”) to issue 10% Senior Secured Notes due 2017 (“Notes”). As of December 29, 2013, we have issued</w:t>
      </w:r>
    </w:p>
    <w:p>
      <w:pPr>
        <w:ind w:right="100"/>
        <w:spacing w:after="0" w:line="292" w:lineRule="auto"/>
        <w:rPr>
          <w:sz w:val="20"/>
          <w:szCs w:val="20"/>
          <w:color w:val="auto"/>
        </w:rPr>
      </w:pPr>
      <w:r>
        <w:rPr>
          <w:rFonts w:ascii="Arial" w:cs="Arial" w:eastAsia="Arial" w:hAnsi="Arial"/>
          <w:sz w:val="16"/>
          <w:szCs w:val="16"/>
          <w:color w:val="auto"/>
        </w:rPr>
        <w:t>$625.0 million in aggregate principal amount of Notes under this Indenture. The Notes were issued in three separate offerings, each as described more fully below. The Notes have been used to fund acquisitions and for general corporate purposes. They are secured by a lien on substantially all of our assets and the assets of the guarantors thereunder, subject to certain exceptions and permitted liens. The holders of the Notes have a first priority lien on substantially all of our assets and the assets of the guarantors, except accounts receivable, inventory, deposit accounts, securities accounts, cash, securities and general intangibles (other than intellectual property) where the holders of the Notes have a second priority lien to the $110.0 million credit facility described below.</w:t>
      </w:r>
    </w:p>
    <w:p>
      <w:pPr>
        <w:spacing w:after="0" w:line="163"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pay interest on the Notes semi-annually, in arrears, on June 1 and December 1 of each year. The Notes include customary covenants and events of default as well as a consolidated fixed charge ratio of 2.0:1.0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December 29, 2013, we were in compliance with the covenants contained in the Indenture governing the Notes.</w:t>
      </w:r>
    </w:p>
    <w:p>
      <w:pPr>
        <w:spacing w:after="0" w:line="193"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On or after June 1, 2014, we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we may redeem up to 35% of the aggregate principal amount of the Notes at 110% of the aggregate principal amount of the Notes, plus accrued and unpaid interest to the redemption date, with the net cash proceeds of certain equity offerings. In addition, we may, at our option, redeem some or all of the Notes at any time prior to June 1, 2014, by paying a “make whole” premium, plus accrued and unpaid interest, if any, to the date of redemption. The Company may also at any time purchase outstanding Notes traded on the open market.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$225 Million 10% Senior Secured Note Offering, May 2010</w:t>
      </w:r>
    </w:p>
    <w:p>
      <w:pPr>
        <w:spacing w:after="0" w:line="225"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On May 19, 2010, we issued Notes in the aggregate principal amount of $225.0 million in an unregistered offering pursuant to Rule 144A and Regulation S under the Securities Act, and on August 11, 2010, we completed an exchange offer for such Notes pursuant to a registration rights agreement entered into in connection with the issuance thereof. The proceeds were primarily used to finance the acquisitions of Gichner, DEI and SCT.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$285 Million 10% Senior Secured Note Offering, March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25, 2011, we issued Notes in the aggregate principal amount of $285.0 million in an unregistered offering pursuant to Rule 144A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Regulation S under the Securities Act. We received approximately $314.0 million in cash proceeds from the issuance of such Notes, which includes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 $20.0 million of issuance premiums and $9.0 million of accrued interest, which proceeds were used, together with our cash contributions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$45.0 million, to finance the acquisition of all of the outstanding shares of common stock of Herley, to pay related fees and expenses and for general corporate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effective interest rate on this issuance was 8.5%. On July 29, 2011, we completed an exchange offer for these Notes pursuant to a registration rights agreement entered into in connection with the issuance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$115 Million 10% Senior Secured Note Offering, July 2011</w:t>
      </w:r>
    </w:p>
    <w:p>
      <w:pPr>
        <w:spacing w:after="0" w:line="225"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On July 27, 2011, we issued Notes in the aggregate principal amount of $115.0 million in an unregistered offering pursuant to Rule 144A and Regulation S under the Securities Act. We received approximately $122.5 million in cash proceeds from the issuance of such Notes, which includes an approximate $5.8 million of issuance premiums and $1.7 million of accrued interest. These proceeds were used to finance, in part, the cash portion of the purchase price for the acquisition of Integral, to refinance existing indebtedness of Integral, to make certain severance payments in connection with the acquisition of Integral and to pay related fees and expenses. The effective interest rate on this issuance was 8.9%. On December 2, 2011, we completed an exchange offer for these Notes pursuant to a registration rights agreement entered into in connection with the issuance thereof.</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Facility</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On July 27, 2011, we entered into a credit and security agreement with KeyBank National Association (“KeyBank”), as lead arranger, sole book runner and administrative agent, and East West Bank and Bank of the West, as the lenders (the “2011 Credit Agreement”). The 2011 Credit Agreement amends and restates in its entirety the credit and security agreement, dated as of May 19, 2010, by and among the Company, KeyBank and the lenders named therein (as amended). The 2011 Credit Agreement establishes a five-year senior secured revolving credit facility in the amount of $65.0 million (as amended as described below, the “Amended Revolver”). The Amended Revolver is secured by a lien on substantially all of our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Notes.</w:t>
      </w:r>
    </w:p>
    <w:p>
      <w:pPr>
        <w:spacing w:after="0" w:line="17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November 14, 2011, we entered into a first amendment (the “First Amendment”) to the 2011 Credit Agreement. Among other things, the First Amendment: (i) increased the amount of the Amended Revolver from $65.0 million to $90.0 million; (ii) added to and modified the definitions of certain terms contained in the 2011 Credit Agreement; (iii) added PNC Bank, National Association as a lender under the 2011 Credit Agreement; and (iv) updated certain schedules to the 2011 Credit Agreement.</w:t>
      </w:r>
    </w:p>
    <w:p>
      <w:pPr>
        <w:spacing w:after="0" w:line="187" w:lineRule="exact"/>
        <w:rPr>
          <w:sz w:val="20"/>
          <w:szCs w:val="20"/>
          <w:color w:val="auto"/>
        </w:rPr>
      </w:pPr>
    </w:p>
    <w:p>
      <w:pPr>
        <w:ind w:right="120" w:firstLine="612"/>
        <w:spacing w:after="0" w:line="279" w:lineRule="auto"/>
        <w:rPr>
          <w:sz w:val="20"/>
          <w:szCs w:val="20"/>
          <w:color w:val="auto"/>
        </w:rPr>
      </w:pPr>
      <w:r>
        <w:rPr>
          <w:rFonts w:ascii="Arial" w:cs="Arial" w:eastAsia="Arial" w:hAnsi="Arial"/>
          <w:sz w:val="17"/>
          <w:szCs w:val="17"/>
          <w:color w:val="auto"/>
        </w:rPr>
        <w:t>On May 4, 2012, we entered into a second amendment (the “Second Amendment”) to the 2011 Credit Agreement. Among other things, the Second Amendment (i) increased the amount of the Amended Revolver from $90.0 million to $110.0 million, (ii) added to and modified the definitions of certain terms contained in the 2011 Credit Agreement, (iii) added Cathay Bank as a lender under the 2011 Credit Agreement, (iv) increased the maximum revolving amount capacity of the 2011Credit Agreement to $135.0 million, and (v) updated certain schedules to the 2011 Credit Agreement.</w:t>
      </w:r>
    </w:p>
    <w:p>
      <w:pPr>
        <w:spacing w:after="0" w:line="17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May 8, 2012, we entered into a third amendment (the “Third Amendment”) to the 2011 Credit Agreement. Under the terms of the Third Amendment, the definitions of certain terms of the 2011 Credit Agreement were modified and the acquisition of CEI was approved. We used the net proceeds from the sale of 20.0 million shares of our common stock, together with a $40.0 million borrowing under the Amended Revolver, to fund the purchase of the CEI and to pay related fees and expenses. In September 2012, we repaid the $40.0 million borrowing under our credit facility.</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we are required to repay such</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borrowings in an amount sufficient to eliminate such excess. The Amended Revolver includes $50.0 million of availability for letters of credit and $10.0 million of availability for swing line loans.</w:t>
      </w:r>
    </w:p>
    <w:p>
      <w:pPr>
        <w:spacing w:after="0" w:line="170"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We may borrow funds under the Amended Revolver at a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As of December 29, 2013, there were no outstanding borrowings on the Amended Revolver and $10.7 million was outstanding on letters of credit resulting in net borrowing base availability of $79.9 million. We were in compliance with the financial covenants as of December 29, 2013.</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assumed a $10.0 million ten-year term loan with a bank in Israel that Herley entered into on September 16, 2008 in connection with the acquisition of one of its wholly owned subsidiaries. The balance as of December 29, 2013 was $4.8 million, and the loan is payable in quarterly installments of $0.3 million plus interest at LIBOR plus a margin of 1.5%. The loan agreement contains various covenants including a minimum net equity covenant as defined in the loan agreement. We were in compliance with the financial covenants of the loan agreement as of December 29, 2013.</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Payments in Connection with Acquisitions</w:t>
      </w:r>
    </w:p>
    <w:p>
      <w:pPr>
        <w:spacing w:after="0" w:line="225"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 xml:space="preserve">In connection with our business acquisitions, we agreed to make additional future payments to sellers based on final purchase price adjustments and the expiration of certain indemnification obligations. Pursuant to the provisions of </w:t>
      </w:r>
      <w:r>
        <w:rPr>
          <w:rFonts w:ascii="Arial" w:cs="Arial" w:eastAsia="Arial" w:hAnsi="Arial"/>
          <w:sz w:val="16"/>
          <w:szCs w:val="16"/>
          <w:i w:val="1"/>
          <w:iCs w:val="1"/>
          <w:color w:val="auto"/>
        </w:rPr>
        <w:t>Topic 805</w:t>
      </w:r>
      <w:r>
        <w:rPr>
          <w:rFonts w:ascii="Arial" w:cs="Arial" w:eastAsia="Arial" w:hAnsi="Arial"/>
          <w:sz w:val="16"/>
          <w:szCs w:val="16"/>
          <w:color w:val="auto"/>
        </w:rPr>
        <w:t>, such amounts are recorded at fair value on the acquisition date.</w:t>
      </w:r>
    </w:p>
    <w:p>
      <w:pPr>
        <w:spacing w:after="0" w:line="124"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agreement and plan of merger entered into in connection with our acquisition of SecureInfo provided that upon achievement of certain cash receipts, revenue and EBITDA in 2011, we were obligated to pay the former stockholders of SecureInfo additional cash contingent consideration. In March 2012, we paid $1.5 million related to this contingent consideration.</w:t>
      </w:r>
    </w:p>
    <w:p>
      <w:pPr>
        <w:spacing w:after="0" w:line="18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Pursuant to the terms of the agreement and plan of merger with DEI Services Corporation entered into on August 9, 2010 (“the DEI Agreement”), upon achievement of certain cash receipts, revenue, EBITDA and backlog amounts in 2010, 2011 and 2012, we were obligated to pay certain additional contingent consideration (the “DEI Contingent Consideration”). We have paid $5.0 million related to the DEI Contingent Consideration, of which $2.5 million and $2.1 million was paid in April 2012 and April 2013, respectively.</w:t>
      </w:r>
    </w:p>
    <w:p>
      <w:pPr>
        <w:spacing w:after="0" w:line="187"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SCT Agreement provided that upon achievement of certain EBITDA amounts in 2011, 2012 and 2013, we would have had to pay the former stockholders of SCT certain additional performance-based consideration. The potential undiscounted amount of all future contingent consideration that would have been payable by us under the SCT Agreement has been reduced to zero and no amounts were earned or paid in 2011, 2012, or 2013.</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in Regulation S-K, Item 303(a)(4)(ii).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our contractual obligations and other commitments at December 29, 2013, and the effect such obligations could have on our liquidity and cash flow in future periods (in millions):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54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8"/>
          </w:tcPr>
          <w:p>
            <w:pPr>
              <w:ind w:left="460"/>
              <w:spacing w:after="0"/>
              <w:rPr>
                <w:sz w:val="20"/>
                <w:szCs w:val="20"/>
                <w:color w:val="auto"/>
              </w:rPr>
            </w:pPr>
            <w:r>
              <w:rPr>
                <w:rFonts w:ascii="Arial" w:cs="Arial" w:eastAsia="Arial" w:hAnsi="Arial"/>
                <w:sz w:val="14"/>
                <w:szCs w:val="14"/>
                <w:b w:val="1"/>
                <w:bCs w:val="1"/>
                <w:color w:val="auto"/>
              </w:rPr>
              <w:t>Payments due/forecast by Period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76"/>
        </w:trPr>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4"/>
                <w:szCs w:val="2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2014 - 2015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2016 - 2017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b w:val="1"/>
                <w:bCs w:val="1"/>
                <w:color w:val="auto"/>
                <w:w w:val="95"/>
              </w:rPr>
              <w:t>2018 and After</w:t>
            </w:r>
          </w:p>
        </w:tc>
      </w:tr>
      <w:tr>
        <w:trPr>
          <w:trHeight w:val="250"/>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net of interest(1)</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Estimated interest on debt(2)</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orders(3)</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Operating leases(4)</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12.7</w:t>
            </w:r>
          </w:p>
        </w:tc>
      </w:tr>
      <w:tr>
        <w:trPr>
          <w:trHeight w:val="27"/>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4520" w:type="dxa"/>
            <w:vAlign w:val="bottom"/>
          </w:tcPr>
          <w:p>
            <w:pPr>
              <w:ind w:left="40"/>
              <w:spacing w:after="0"/>
              <w:rPr>
                <w:sz w:val="20"/>
                <w:szCs w:val="20"/>
                <w:color w:val="auto"/>
              </w:rPr>
            </w:pPr>
            <w:r>
              <w:rPr>
                <w:rFonts w:ascii="Arial" w:cs="Arial" w:eastAsia="Arial" w:hAnsi="Arial"/>
                <w:sz w:val="18"/>
                <w:szCs w:val="18"/>
                <w:color w:val="auto"/>
              </w:rPr>
              <w:t>Unrecognized tax benefits, including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520" w:type="dxa"/>
            <w:vAlign w:val="bottom"/>
          </w:tcPr>
          <w:p>
            <w:pPr>
              <w:ind w:left="200"/>
              <w:spacing w:after="0"/>
              <w:rPr>
                <w:sz w:val="20"/>
                <w:szCs w:val="20"/>
                <w:color w:val="auto"/>
              </w:rPr>
            </w:pPr>
            <w:r>
              <w:rPr>
                <w:rFonts w:ascii="Arial" w:cs="Arial" w:eastAsia="Arial" w:hAnsi="Arial"/>
                <w:sz w:val="18"/>
                <w:szCs w:val="18"/>
                <w:color w:val="auto"/>
              </w:rPr>
              <w:t>interest and penalties(5)</w:t>
            </w:r>
          </w:p>
        </w:tc>
        <w:tc>
          <w:tcPr>
            <w:tcW w:w="2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commitments and recorded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30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Notes in the aggregate principal amount of $625 million are due June 1, 2017. See Note 5 in the Notes to Consolidated Financial Statements contained within this Annual Report for further details.</w:t>
      </w:r>
    </w:p>
    <w:p>
      <w:pPr>
        <w:spacing w:after="0" w:line="170" w:lineRule="exact"/>
        <w:rPr>
          <w:rFonts w:ascii="Arial" w:cs="Arial" w:eastAsia="Arial" w:hAnsi="Arial"/>
          <w:sz w:val="18"/>
          <w:szCs w:val="18"/>
          <w:color w:val="auto"/>
        </w:rPr>
      </w:pPr>
    </w:p>
    <w:p>
      <w:pPr>
        <w:ind w:left="660" w:right="34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interest payments based on current interest rates for variable rate debt and the Notes. See Note 5 in the Notes to Consolidated Financial Statements contained within in this Annual Report for further details.</w:t>
      </w:r>
    </w:p>
    <w:p>
      <w:pPr>
        <w:spacing w:after="0" w:line="170" w:lineRule="exact"/>
        <w:rPr>
          <w:rFonts w:ascii="Arial" w:cs="Arial" w:eastAsia="Arial" w:hAnsi="Arial"/>
          <w:sz w:val="18"/>
          <w:szCs w:val="18"/>
          <w:color w:val="auto"/>
        </w:rPr>
      </w:pPr>
    </w:p>
    <w:p>
      <w:pPr>
        <w:ind w:left="660" w:right="5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 orders include commitments in which a written purchase order has been issued to a vendor, but the goods have not been received or services have not been performed.</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entered into or acquired various non-cancelable operating lease agreements that expire on various dates through 2022. The amounts include $12.4 million in excess facility costs and exclude expected sublease income. See Note 6 in the Notes to Consolidated Financial Statements contained within this Annual Report for further details.</w:t>
      </w:r>
    </w:p>
    <w:p>
      <w:pPr>
        <w:spacing w:after="0" w:line="181" w:lineRule="exact"/>
        <w:rPr>
          <w:rFonts w:ascii="Arial" w:cs="Arial" w:eastAsia="Arial" w:hAnsi="Arial"/>
          <w:sz w:val="18"/>
          <w:szCs w:val="18"/>
          <w:color w:val="auto"/>
        </w:rPr>
      </w:pPr>
    </w:p>
    <w:p>
      <w:pPr>
        <w:ind w:left="660" w:right="1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Consolidated Balance Sheet at December 29, 2013 included a $2.0 million noncurrent liability for uncertain tax positions, all of which may result in cash payments. The future payments related to uncertain tax positions have not been presented in the table above due to the uncertainty of the amounts and timing of cash settlement with the taxing authorities.</w:t>
      </w:r>
    </w:p>
    <w:p>
      <w:pPr>
        <w:spacing w:after="0" w:line="181"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As of December 29, 2013, we have $10.7 million of standby letters of credit outstanding. Our letters of credit are primarily related to milestone payments received from foreign customers for which the customer has not yet received the product, our prior workers compensation program, and our performance bond program for work performed in the PSS segment. Additional information regarding our financial commitments at December 29, 2013 is provided in the Notes to Consolidated Financial Statements contained in this Annual Report, specifically Note 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Liquidity Matters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intend to fund our cash requirements with cash flows from operating activities and borrowings under the Amended Revolver. We believe these sources should be sufficient to meet our cash needs for at least the next 12 months. As discussed in Item 1A, “Risk Factors” contained within this Annual Report,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color w:val="auto"/>
        </w:rPr>
        <w:t>We have identified the following critical accounting policies that affect our more significant judgments and estimates used in the preparation of our Consolidated Financial Statements. The preparation of our financial statements in conformity with GAAP requires us to make estimates and judgments that affect the reported amounts of assets and liabilities, stockholders' equity, revenues and expenses, and related disclosures of contingent assets and liabilities.</w:t>
      </w:r>
    </w:p>
    <w:p>
      <w:pPr>
        <w:ind w:right="40"/>
        <w:spacing w:after="0" w:line="253" w:lineRule="auto"/>
        <w:rPr>
          <w:sz w:val="20"/>
          <w:szCs w:val="20"/>
          <w:color w:val="auto"/>
        </w:rPr>
      </w:pPr>
      <w:r>
        <w:rPr>
          <w:rFonts w:ascii="Arial" w:cs="Arial" w:eastAsia="Arial" w:hAnsi="Arial"/>
          <w:sz w:val="18"/>
          <w:szCs w:val="18"/>
          <w:color w:val="auto"/>
        </w:rPr>
        <w:t>On a periodic basis, as deemed necessary, we evaluate our estimates, including those related to revenue recognition, allowance for doubtful accounts, valuation of inventory including the reserves for excess and obsolete inventory, valuation of long-lived assets including identifiable intangibles and goodwill, accounting for income taxes including the related valuation allowance, accruals for partial self-insurance, contingencies and litigation, contingent acquisition consideration, stock-based compensation, and losses on unused office space. We explain these accounting policies in the Notes to the Consolidated Financial Statements contained within this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Annual Report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 and such differences may be material.</w:t>
      </w:r>
    </w:p>
    <w:p>
      <w:pPr>
        <w:spacing w:after="0" w:line="18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generate our revenue from three different types of contractual arrangements: cost-plus-fee contracts, time-and-materials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and fixed-price contracts. Revenue on cost-plus-fee contracts is recognized to the extent of allowable costs incurred plus an estimate of the applicable fees earned. We consider fixed fees under cost-plus-fee contracts to be earned in proportion to the allowable costs incurred in performance of the contract. We recognize the relevant portion of the expected fee to be awarded by the customer at the time such fee can be reasonably estimated, based on factors such as our prior award experience and communications with the customer regarding performance, including any interim performance evaluations rendered by the customer. Revenue on time-and-materials contracts is recognized to the extent of billable rates times hours delivered for services provided, to the extent of material cost for products delivered to customers, and to the extent of expenses incurred on behalf of the customers.</w:t>
      </w:r>
    </w:p>
    <w:p>
      <w:pPr>
        <w:spacing w:after="0" w:line="167"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 xml:space="preserve">We have three basic categories of fixed-price contracts: fixed unit price, fixed-price level of effort, and fixed-price completion. Revenue recognition methods on fixed-price contracts will vary depending on the nature of the work and the contract terms. Revenues on fixed-price service contracts are recorded as work is performed in accordance with </w:t>
      </w:r>
      <w:r>
        <w:rPr>
          <w:rFonts w:ascii="Arial" w:cs="Arial" w:eastAsia="Arial" w:hAnsi="Arial"/>
          <w:sz w:val="16"/>
          <w:szCs w:val="16"/>
          <w:i w:val="1"/>
          <w:iCs w:val="1"/>
          <w:color w:val="auto"/>
        </w:rPr>
        <w:t>Topic 605</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605</w:t>
      </w:r>
      <w:r>
        <w:rPr>
          <w:rFonts w:ascii="Arial" w:cs="Arial" w:eastAsia="Arial" w:hAnsi="Arial"/>
          <w:sz w:val="16"/>
          <w:szCs w:val="16"/>
          <w:color w:val="auto"/>
        </w:rPr>
        <w:t xml:space="preserve"> which generally requires revenue to be deferred until all of the following have occurred:</w:t>
      </w:r>
    </w:p>
    <w:p>
      <w:pPr>
        <w:ind w:right="60" w:firstLine="8"/>
        <w:spacing w:after="0" w:line="277"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there is a contract in place, (2) delivery has occurred, (3) the price is fixed or determinable, and (4) collectability is reasonably assured. Revenues on fixed-price contracts that require delivery of specific items may be recorded based on a price per unit as units are delivered. Revenue for fixed-price contracts in which we are paid a specific amount to provide services for a stated period of time is recognized ratably over the service period.</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A portion of our fixed-price completion contracts are within the scope of </w:t>
      </w:r>
      <w:r>
        <w:rPr>
          <w:rFonts w:ascii="Arial" w:cs="Arial" w:eastAsia="Arial" w:hAnsi="Arial"/>
          <w:sz w:val="17"/>
          <w:szCs w:val="17"/>
          <w:i w:val="1"/>
          <w:iCs w:val="1"/>
          <w:color w:val="auto"/>
        </w:rPr>
        <w:t>Topic 605</w:t>
      </w:r>
      <w:r>
        <w:rPr>
          <w:rFonts w:ascii="Arial" w:cs="Arial" w:eastAsia="Arial" w:hAnsi="Arial"/>
          <w:sz w:val="17"/>
          <w:szCs w:val="17"/>
          <w:color w:val="auto"/>
        </w:rPr>
        <w:t>. For these contracts, revenue is recognized using the percentage-of-completion method based on the ratio of total costs incurred to date compared to estimated total costs to complete the contract. Estimates of costs to complete include material, direct labor, overhead, and allowable indirect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 In certain instances, when our customers have requested that we commence work prior to receipt of the contract award and funding we have incurred costs related to that specific anticipated contract, and we believe recoverability of the costs is probable, we may defer those costs incurred until the associated contract has been awarded and funded by the customer.</w:t>
      </w:r>
    </w:p>
    <w:p>
      <w:pPr>
        <w:spacing w:after="0" w:line="17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In accounting for our long-term contracts for production of products provided to the U.S. Government, we utilize both cost-to-cost and units delivered measures under the percentage-of-completion method of accounting under the provisions of </w:t>
      </w:r>
      <w:r>
        <w:rPr>
          <w:rFonts w:ascii="Arial" w:cs="Arial" w:eastAsia="Arial" w:hAnsi="Arial"/>
          <w:sz w:val="17"/>
          <w:szCs w:val="17"/>
          <w:i w:val="1"/>
          <w:iCs w:val="1"/>
          <w:color w:val="auto"/>
        </w:rPr>
        <w:t>Topic 605</w:t>
      </w:r>
      <w:r>
        <w:rPr>
          <w:rFonts w:ascii="Arial" w:cs="Arial" w:eastAsia="Arial" w:hAnsi="Arial"/>
          <w:sz w:val="17"/>
          <w:szCs w:val="17"/>
          <w:color w:val="auto"/>
        </w:rPr>
        <w:t>. Under the units delivered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units delivered or as computed on the basis of the estimated final average unit costs plus profit. We classify contract revenues as product sales or service revenues depending upon the predominant attributes of the relevant underlying contracts. Significant management judgments and estimates, including but not limited to the estimated costs to complete projects, must be made and used in connection with the revenue recognized in any accounting period. A cancellation, schedule delay, or modification of a fixed-price contract which is accounted for using the percentage-of-completion method may adversely affect our gross margins for the period in which the contract is modified or canceled.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to our gross margin. Material differences may result in the amount and timing of our revenue for any period if management made different judgments or utilized different estimates.</w:t>
      </w:r>
    </w:p>
    <w:p>
      <w:pPr>
        <w:spacing w:after="0" w:line="18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It is our policy to review any arrangement containing software or software deliverables and services against the criteria contained in </w:t>
      </w:r>
      <w:r>
        <w:rPr>
          <w:rFonts w:ascii="Arial" w:cs="Arial" w:eastAsia="Arial" w:hAnsi="Arial"/>
          <w:sz w:val="17"/>
          <w:szCs w:val="17"/>
          <w:i w:val="1"/>
          <w:iCs w:val="1"/>
          <w:color w:val="auto"/>
        </w:rPr>
        <w:t>FASB ASC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985, Software (“Topic 985”) </w:t>
      </w:r>
      <w:r>
        <w:rPr>
          <w:rFonts w:ascii="Arial" w:cs="Arial" w:eastAsia="Arial" w:hAnsi="Arial"/>
          <w:sz w:val="17"/>
          <w:szCs w:val="17"/>
          <w:color w:val="auto"/>
        </w:rPr>
        <w:t>and related technical practice aids. Under the provisions of</w:t>
      </w:r>
      <w:r>
        <w:rPr>
          <w:rFonts w:ascii="Arial" w:cs="Arial" w:eastAsia="Arial" w:hAnsi="Arial"/>
          <w:sz w:val="17"/>
          <w:szCs w:val="17"/>
          <w:i w:val="1"/>
          <w:iCs w:val="1"/>
          <w:color w:val="auto"/>
        </w:rPr>
        <w:t xml:space="preserve"> Topic 985</w:t>
      </w:r>
      <w:r>
        <w:rPr>
          <w:rFonts w:ascii="Arial" w:cs="Arial" w:eastAsia="Arial" w:hAnsi="Arial"/>
          <w:sz w:val="17"/>
          <w:szCs w:val="17"/>
          <w:color w:val="auto"/>
        </w:rPr>
        <w:t>, we review the contract value of software deliverables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and determine allocations of the contract value based on Vendor Specific Objective Evidence (“VSOE”). All software arrangements requiring significant production, modification, or customization of the software are accounted for in conformity with </w:t>
      </w:r>
      <w:r>
        <w:rPr>
          <w:rFonts w:ascii="Arial" w:cs="Arial" w:eastAsia="Arial" w:hAnsi="Arial"/>
          <w:sz w:val="17"/>
          <w:szCs w:val="17"/>
          <w:i w:val="1"/>
          <w:iCs w:val="1"/>
          <w:color w:val="auto"/>
        </w:rPr>
        <w:t>Topic 605</w:t>
      </w:r>
      <w:r>
        <w:rPr>
          <w:rFonts w:ascii="Arial" w:cs="Arial" w:eastAsia="Arial" w:hAnsi="Arial"/>
          <w:sz w:val="17"/>
          <w:szCs w:val="17"/>
          <w:color w:val="auto"/>
        </w:rPr>
        <w: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Our contracts may include the provision of more than one of our services (“multiple element arrangements”). In these situations, we apply the guidance of </w:t>
      </w:r>
      <w:r>
        <w:rPr>
          <w:rFonts w:ascii="Arial" w:cs="Arial" w:eastAsia="Arial" w:hAnsi="Arial"/>
          <w:sz w:val="18"/>
          <w:szCs w:val="18"/>
          <w:i w:val="1"/>
          <w:iCs w:val="1"/>
          <w:color w:val="auto"/>
        </w:rPr>
        <w:t>Topic 605.</w:t>
      </w:r>
      <w:r>
        <w:rPr>
          <w:rFonts w:ascii="Arial" w:cs="Arial" w:eastAsia="Arial" w:hAnsi="Arial"/>
          <w:sz w:val="18"/>
          <w:szCs w:val="18"/>
          <w:color w:val="auto"/>
        </w:rPr>
        <w:t xml:space="preserve"> Accordingly, for applicable arrangements, revenue recognition includes the proper identification of separate units of accounting and the allocation of revenue across all elements based on relative fair values, with proper consideration given to the guidance provided by other authoritative literature.</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multiple element arrangements that include hardware products containing software essential to the hardware products' functionality and undelivered non-software services, we allocate revenue to all deliverables based on their relative selling prices. In such circumstances, we use a hierarchy to determine the selling price to be used for allocating revenue to deliverables: (i) VSOE, (ii) third-party evidence of selling price (“TPE”), and (iii) best estimate of the selling price (“ESP”).</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VSOE generally exists only when we sell the deliverable separately and is the price actually charged by us for that deliverable. TPE is determined based on competitor prices for similar deliverables when sold separately. Generally, our offerings contain significant differentiation such that comparable pricing of products with similar functionality cannot be obtained. Furthermore, we are unable to reliably determine what similar competitor products' selling prices are on a stand-alone basis. Therefore, we typically are not able to obtain TPE of selling price. ESP reflects our best estimates of what the selling prices of elements would be if they were sold regularly on a stand-alone basis. We determine ESP for a product or service by considering multiple factors including, but not limited to major product groupings, geographies, market conditions, competitive landscape, internal costs, gross margin objectives and pricing practices. The determination of ESP is made through consultation with our management, taking into consideration our marketing strategy.</w:t>
      </w:r>
    </w:p>
    <w:p>
      <w:pPr>
        <w:spacing w:after="0" w:line="16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 xml:space="preserve">We account for multiple element arrangements that consist only of software or software-related products, including the sale of upgrades to previously sold software, in accordance with industry specific software accounting guidance. For such transactions, revenue on arrangements that include multiple elements is allocated to each element based on the relative fair value of each element, and fair value is determined by VSOE. If we cannot objectively determine the fair value of any undelivered element included in such multiple element arrangements, we defer revenue until all elements are delivered and services have been performed, or until fair value can objectively be determined for any remaining undelivered elements. Under certain of our contractual arrangements, we may also recognize revenue for out-of-pocket expenses in accordance with </w:t>
      </w:r>
      <w:r>
        <w:rPr>
          <w:rFonts w:ascii="Arial" w:cs="Arial" w:eastAsia="Arial" w:hAnsi="Arial"/>
          <w:sz w:val="17"/>
          <w:szCs w:val="17"/>
          <w:i w:val="1"/>
          <w:iCs w:val="1"/>
          <w:color w:val="auto"/>
        </w:rPr>
        <w:t>Topic 605.</w:t>
      </w:r>
      <w:r>
        <w:rPr>
          <w:rFonts w:ascii="Arial" w:cs="Arial" w:eastAsia="Arial" w:hAnsi="Arial"/>
          <w:sz w:val="17"/>
          <w:szCs w:val="17"/>
          <w:color w:val="auto"/>
        </w:rPr>
        <w:t xml:space="preserve"> Depending on the contractual arrangement, these expenses may be reimbursed with or without a fee.</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Under certain of our contracts, we provide supplier procurement services and materials for our customers. We record revenue on these arrangements on a gross or net basis in accordance with </w:t>
      </w:r>
      <w:r>
        <w:rPr>
          <w:rFonts w:ascii="Arial" w:cs="Arial" w:eastAsia="Arial" w:hAnsi="Arial"/>
          <w:sz w:val="18"/>
          <w:szCs w:val="18"/>
          <w:i w:val="1"/>
          <w:iCs w:val="1"/>
          <w:color w:val="auto"/>
        </w:rPr>
        <w:t>Topic 605</w:t>
      </w:r>
      <w:r>
        <w:rPr>
          <w:rFonts w:ascii="Arial" w:cs="Arial" w:eastAsia="Arial" w:hAnsi="Arial"/>
          <w:sz w:val="18"/>
          <w:szCs w:val="18"/>
          <w:color w:val="auto"/>
        </w:rPr>
        <w:t>. Depending on the specific circumstances of the arrangement we consider the following criteria, among others, for recording revenue on a gross or net basis:</w:t>
      </w:r>
    </w:p>
    <w:p>
      <w:pPr>
        <w:spacing w:after="0" w:line="18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act as a principal in the transaction;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take title to the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assume risks and rewards of ownership, such as risk of loss for collection, delivery or returns;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serve as an agent or broker, with compensation on a commission or fee basis;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assume the credit risk for the amount billed to the customer subsequent to delivery.</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our federal contracts, we follow U.S. Government procurement and accounting standards in assessing the allowability and the allocability of costs to contracts. Due to the significance of the judgments and estimation processes, it is likely that materially different amounts could be recorded if we used different assumptions or if the underlying circumstances were to change. We closely monitor compliance with, and the consistent application of, our critical accounting policies related to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our personnel, and are subject to audit by the DCAA.</w:t>
      </w:r>
    </w:p>
    <w:p>
      <w:pPr>
        <w:spacing w:after="0" w:line="17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From time to time, we may proceed with work based on customer direction prior to the completion and signing of formal contract documents. We have a formal review process for approving any such work. Revenue associated with such work is recognized only when it can be reliably estimated and realization is probable. We base our estimates on previous experiences with the customer, communications with the customer regarding funding status, and our knowledge of available funding for the contract or program.</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125"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Allowance for doubtful accounts. </w:t>
      </w:r>
      <w:r>
        <w:rPr>
          <w:rFonts w:ascii="Arial" w:cs="Arial" w:eastAsia="Arial" w:hAnsi="Arial"/>
          <w:sz w:val="17"/>
          <w:szCs w:val="17"/>
          <w:color w:val="auto"/>
        </w:rPr>
        <w:t>We maintain an allowance for doubtful accounts for estimated losses resulting from the potential inability of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customers to make required future payments on 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collectability.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 Changes to estimates of contract value are recorded as adjustments to revenue and not as a component of the allowance for doubtful accounts. We write off accounts receivable when they become uncollectible and payments subsequently received on such receivables are credited to the allowance for doubtful accounts.</w:t>
      </w:r>
    </w:p>
    <w:p>
      <w:pPr>
        <w:spacing w:after="0" w:line="182"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i w:val="1"/>
          <w:iCs w:val="1"/>
          <w:color w:val="auto"/>
        </w:rPr>
        <w:t xml:space="preserve">Long-lived and Intangible Assets. </w:t>
      </w:r>
      <w:r>
        <w:rPr>
          <w:rFonts w:ascii="Arial" w:cs="Arial" w:eastAsia="Arial" w:hAnsi="Arial"/>
          <w:sz w:val="16"/>
          <w:szCs w:val="16"/>
          <w:color w:val="auto"/>
        </w:rPr>
        <w:t>We account for long-lived assets in accordance with the provisions of</w:t>
      </w:r>
      <w:r>
        <w:rPr>
          <w:rFonts w:ascii="Arial" w:cs="Arial" w:eastAsia="Arial" w:hAnsi="Arial"/>
          <w:sz w:val="16"/>
          <w:szCs w:val="16"/>
          <w:i w:val="1"/>
          <w:iCs w:val="1"/>
          <w:color w:val="auto"/>
        </w:rPr>
        <w:t xml:space="preserve"> FASB ASC Topic 360 Property, Plant, and Equipment (“Topic 360”). Topic 360 </w:t>
      </w:r>
      <w:r>
        <w:rPr>
          <w:rFonts w:ascii="Arial" w:cs="Arial" w:eastAsia="Arial" w:hAnsi="Arial"/>
          <w:sz w:val="16"/>
          <w:szCs w:val="16"/>
          <w:color w:val="auto"/>
        </w:rPr>
        <w:t>addresses financial accounting and reporting for the impairment or disposal of long-lived assets and requires that long-lived assets be reviewed for impairment whenever events or changes in circumstances indicate that the carrying amount of an asset may not be recoverable.</w:t>
      </w:r>
    </w:p>
    <w:p>
      <w:pPr>
        <w:spacing w:after="0" w:line="253" w:lineRule="auto"/>
        <w:rPr>
          <w:sz w:val="20"/>
          <w:szCs w:val="20"/>
          <w:color w:val="auto"/>
        </w:rPr>
      </w:pPr>
      <w:r>
        <w:rPr>
          <w:rFonts w:ascii="Arial" w:cs="Arial" w:eastAsia="Arial" w:hAnsi="Arial"/>
          <w:sz w:val="18"/>
          <w:szCs w:val="18"/>
          <w:color w:val="auto"/>
        </w:rPr>
        <w:t xml:space="preserve">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w:t>
      </w:r>
      <w:r>
        <w:rPr>
          <w:rFonts w:ascii="Arial" w:cs="Arial" w:eastAsia="Arial" w:hAnsi="Arial"/>
          <w:sz w:val="18"/>
          <w:szCs w:val="18"/>
          <w:i w:val="1"/>
          <w:iCs w:val="1"/>
          <w:color w:val="auto"/>
        </w:rPr>
        <w:t>Topic 360</w:t>
      </w:r>
      <w:r>
        <w:rPr>
          <w:rFonts w:ascii="Arial" w:cs="Arial" w:eastAsia="Arial" w:hAnsi="Arial"/>
          <w:sz w:val="18"/>
          <w:szCs w:val="18"/>
          <w:color w:val="auto"/>
        </w:rPr>
        <w:t xml:space="preserve">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19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Topic 360</w:t>
      </w:r>
      <w:r>
        <w:rPr>
          <w:rFonts w:ascii="Arial" w:cs="Arial" w:eastAsia="Arial" w:hAnsi="Arial"/>
          <w:sz w:val="18"/>
          <w:szCs w:val="18"/>
          <w:color w:val="auto"/>
        </w:rPr>
        <w:t>,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18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1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Goodwill and Purchased Intangibles. </w:t>
      </w:r>
      <w:r>
        <w:rPr>
          <w:rFonts w:ascii="Arial" w:cs="Arial" w:eastAsia="Arial" w:hAnsi="Arial"/>
          <w:sz w:val="18"/>
          <w:szCs w:val="18"/>
          <w:color w:val="auto"/>
        </w:rPr>
        <w:t>The purchase price of an acquired business is allocated to the underlying tangible and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and liabilities assumed based upon their respective fair market values, with the excess recorded as goodwill. Such fair market value assessments require judgments and estimates that can be affected by contract performance and other factors over time, which may cause final amounts to differ materially from original estimates.</w:t>
      </w:r>
    </w:p>
    <w:p>
      <w:pPr>
        <w:spacing w:after="0" w:line="187"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We have established certain accruals in connection with indemnities and other contingencies from our acquisitions. These accruals and subsequent adjustments have been recorded during the purchase price allocation period for acquisitions. The accruals were determined based upon the terms of the purchase or sales agreements and, in most cases; involve a significant degree of judgment. Management has recorded these accruals in accordance with its interpretation of the terms of the purchase or sale agreements, known facts, and an estimation of probable future events based on management's experience. Any changes to recorded estimates will be recognized through earnings.</w:t>
      </w:r>
    </w:p>
    <w:p>
      <w:pPr>
        <w:spacing w:after="0" w:line="17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We perform our impairment test for goodwill 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We assess goodwill for impairment at the reporting unit level, which is defined as an operating segment or one level below an operating segment, referred to as a component. We determine our reporting units by first identifying our operating segments, and then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a result of the Company’s internal organizational realignment in August 2013 the Company reviewed its reporting units to be tested for its 2013 annual test for impairment. The realignment resulted in the formation of three new divisions in</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5"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KGS reportable segment comprised of our Unmanned Combat Aerial Systems (UCAS) Division, our Advanced Drones &amp; Target Systems (ADTS) Division and our Modular Systems (MS) Division in addition to the existing Defense and Rocket Support Services (DRSS) Division, Technical and Training Solutions (TTS) Division and Electronic Products (EP) Division. As a result of this reorganization, the Company identified its reporting units to be the ADTS, DRSS, EP, MS, TTS and UCAS divisions within the KGS reportable segment and the PSS operating segment to be tested for potential impairment in its 2013 annual test.</w:t>
      </w:r>
    </w:p>
    <w:p>
      <w:pPr>
        <w:spacing w:after="0" w:line="1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perform impairment tests for goodwill as of the last day of our fiscal year, or when evidence of potential impairment exists. When it is determined that impairment has occurred, a charge to operations is recorded. In order to test for potential impairment, we estimate the fair value of each of our reporting units based on a comparison and weighting of the income approach, specifically the discounted cash flow (“DCF”) method and the market approach, which estimates the fair value of our reporting units based upon comparable market prices and recent transactions and also validates the reasonableness of the implied multiples from the income approach. We reconcile the fair value of our reporting units to our market capitalization by calculating our market capitalization based upon an average of our stock price prior to and subsequent to the date we perform our analysis and assuming a control premium.</w:t>
      </w:r>
    </w:p>
    <w:p>
      <w:pPr>
        <w:spacing w:after="0" w:line="18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testing for impairment of our goodwill, we make assumptions about the amount and timing of future expected cash flows, terminal growth rates, appropriate discount rates, market multiples, and the control premium a controlling shareholder could be expected to pay:</w:t>
      </w:r>
    </w:p>
    <w:p>
      <w:pPr>
        <w:spacing w:after="0" w:line="170" w:lineRule="exact"/>
        <w:rPr>
          <w:sz w:val="20"/>
          <w:szCs w:val="20"/>
          <w:color w:val="auto"/>
        </w:rPr>
      </w:pPr>
    </w:p>
    <w:p>
      <w:pPr>
        <w:ind w:left="980" w:right="80" w:hanging="324"/>
        <w:spacing w:after="0" w:line="270"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future cash flows within our DCF analysis is based on our most recent forecasts and other estimates. Our historical growth rates and operating results are not indicative of our projected growth rates and operating results as a consequence of our acquisitions and divestitures. The decline in revenues on a pro forma basis after considering acquisitions, which was expected by us, is primarily due to the impact of the conversion of our work as a prime contractor under certain legacy small business awards to that of a subcontractor as well as the recent commoditization experienced in traditional services businesses. This change resulted in an award of an overall smaller portion of the entire project as the contracts were recompeted and the original term of the small business contracts were completed. The conversion of work as a prime to a subcontractor related to legacy small business contracts awarded to the acquired companies is not uncommon in the government defense contractor industry for companies that have been acquisitive. Our projected growth rates take into consideration this anticipated impact on small business awards.</w:t>
      </w:r>
    </w:p>
    <w:p>
      <w:pPr>
        <w:spacing w:after="0" w:line="181" w:lineRule="exact"/>
        <w:rPr>
          <w:rFonts w:ascii="Arial" w:cs="Arial" w:eastAsia="Arial" w:hAnsi="Arial"/>
          <w:sz w:val="17"/>
          <w:szCs w:val="17"/>
          <w:color w:val="auto"/>
        </w:rPr>
      </w:pPr>
    </w:p>
    <w:p>
      <w:pPr>
        <w:ind w:left="980" w:right="1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terminal growth rate is used to calculate the value of cash flows beyond the last projected period in our DCF analysis and reflects our best estimates for stable, perpetual growth of our reporting units.</w:t>
      </w:r>
    </w:p>
    <w:p>
      <w:pPr>
        <w:spacing w:after="0" w:line="170" w:lineRule="exact"/>
        <w:rPr>
          <w:rFonts w:ascii="Arial" w:cs="Arial" w:eastAsia="Arial" w:hAnsi="Arial"/>
          <w:sz w:val="18"/>
          <w:szCs w:val="18"/>
          <w:color w:val="auto"/>
        </w:rPr>
      </w:pPr>
    </w:p>
    <w:p>
      <w:pPr>
        <w:ind w:left="980" w:right="140" w:hanging="324"/>
        <w:spacing w:after="0" w:line="297"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use estimates of market participant weighted average cost of capital (“WACC”) as a basis for determining the discount rates to apply to our reporting units' future expected cash flows. The significant assumptions within our WACC are: (a) equity risk premium, (b) beta, (c) size premium adjustments, (d) cost of debt and (e) capital structure assumptions. In addition, we use a company specific risk adjustment which is a subjective adjustment that, by its very nature does not include market related data, but instead examines the prospects of the reporting unit relative to the broader industry to determine if there are specific factors which may make it more “risky” relative to the industry.</w:t>
      </w:r>
    </w:p>
    <w:p>
      <w:pPr>
        <w:spacing w:after="0" w:line="158"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Recent historical market multiples are used to estimate future market pricing.</w:t>
      </w:r>
    </w:p>
    <w:p>
      <w:pPr>
        <w:spacing w:after="0" w:line="225" w:lineRule="exact"/>
        <w:rPr>
          <w:rFonts w:ascii="Arial" w:cs="Arial" w:eastAsia="Arial" w:hAnsi="Arial"/>
          <w:sz w:val="18"/>
          <w:szCs w:val="18"/>
          <w:color w:val="auto"/>
        </w:rPr>
      </w:pPr>
    </w:p>
    <w:p>
      <w:pPr>
        <w:ind w:left="980" w:right="60" w:hanging="324"/>
        <w:spacing w:after="0" w:line="276"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We use an estimated control premium in reconciling the aggregate value of our reporting units to our market capitalization. As discussed in </w:t>
      </w:r>
      <w:r>
        <w:rPr>
          <w:rFonts w:ascii="Arial" w:cs="Arial" w:eastAsia="Arial" w:hAnsi="Arial"/>
          <w:sz w:val="17"/>
          <w:szCs w:val="17"/>
          <w:i w:val="1"/>
          <w:iCs w:val="1"/>
          <w:color w:val="auto"/>
        </w:rPr>
        <w:t>Topic 350</w:t>
      </w:r>
      <w:r>
        <w:rPr>
          <w:rFonts w:ascii="Arial" w:cs="Arial" w:eastAsia="Arial" w:hAnsi="Arial"/>
          <w:sz w:val="17"/>
          <w:szCs w:val="17"/>
          <w:color w:val="auto"/>
        </w:rPr>
        <w:t>, control premiums may effectively cause a company's aggregate fair value of its reporting unit(s) to exceed its current market</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capitalization due to the ability of a controlling shareholder to benefit from synergies and other intangible assets that arise from such control. As a result, the measurement of fair value of an entity with a collection of assets and liabilities that operate together to produce cash flows is different from the fair value measurement of that entity's individual securities, hence, the reason a control premium is paid.</w:t>
      </w:r>
    </w:p>
    <w:p>
      <w:pPr>
        <w:spacing w:after="0" w:line="173"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While our methodology for evaluating goodwill and intangibles for impairment has always used the income and market approach, in the past the market approach was used solely to validate that the fair value derived from the income approach was comparable to its market peers. Beginning 2011, we used a weighting of the income and market approach to derive the fair value of our reporting units which resulted in a more conservative fair value.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20" w:firstLine="648"/>
        <w:spacing w:after="0" w:line="272" w:lineRule="auto"/>
        <w:rPr>
          <w:sz w:val="20"/>
          <w:szCs w:val="20"/>
          <w:color w:val="auto"/>
        </w:rPr>
      </w:pPr>
      <w:r>
        <w:rPr>
          <w:rFonts w:ascii="Arial" w:cs="Arial" w:eastAsia="Arial" w:hAnsi="Arial"/>
          <w:sz w:val="17"/>
          <w:szCs w:val="17"/>
          <w:color w:val="auto"/>
        </w:rPr>
        <w:t>The KGS reporting unit was impacted by continued declining market valuations and the economic uncertainty in the U.S. defense industry which resulted in the book value of KGS exceeding its fair value in step one of the impairment test. As a result during our annual test in 2012, we performed the second step of the goodwill impairment test to measure the amount of the impairment loss, if any. The second step of the test requires the allocation of the reporting unit's fair value to its assets and liabilities, including any unrecognized intangible assets, in a hypothetical analysis that calculates the implied fair value of goodwill as if the reporting unit was being acquired in a business combination. If the implied fair value of goodwill is less than the carrying value, the difference is recorded as an impairment loss. Based on the results of the step two analysis, we recorded an $82.0 million goodwill impairment related to the KGS reporting unit as of December 30, 2012.</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review intangible assets subject to amortization for impairment whenever events or changes in circumstances indicate that the carrying amount of the asset may not be recoverable. Impairment losses, where identified, are determined as the excess of the carrying value over the estimated fair value of the long-lived asset. We assess the recoverability of the carrying value of assets held for use based on a review of projected undiscounted cash flows. Prior to conducting step one of our 2012 goodwill impairment test, we reviewed certain of our long-lived assets for recoverability and recorded intangible asset impairment losses related to a change in the estimated life of trade names of $12.9 million and $1.7 million in our PSS and KGS reporting units, respectively. See Note 2 to the Consolidated Financial Statements for a further discussion of these intangible asset and goodwill impairments.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of the PSS and KGS reportable segments are $35.6 million and $560.8 million, respectively.</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As a result of the assumptions used in our analysis, several factors could result in impairment of our $596.4 million goodwill and $69.9 million long-lived intangibles in future periods, including but not limited to the risks discussed in Item 1A “Risk Factors” contained within this Annual Report and:</w:t>
      </w:r>
    </w:p>
    <w:p>
      <w:pPr>
        <w:spacing w:after="0" w:line="124" w:lineRule="exact"/>
        <w:rPr>
          <w:sz w:val="20"/>
          <w:szCs w:val="20"/>
          <w:color w:val="auto"/>
        </w:rPr>
      </w:pPr>
    </w:p>
    <w:p>
      <w:pPr>
        <w:ind w:left="980" w:right="20" w:hanging="324"/>
        <w:spacing w:after="0" w:line="25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decline in our stock price and resulting market capitalization, if we determine the decline is sustained and is indicative of a reduction in the fair value below the carrying value of our reporting units;</w:t>
      </w:r>
    </w:p>
    <w:p>
      <w:pPr>
        <w:spacing w:after="0" w:line="1" w:lineRule="exact"/>
        <w:rPr>
          <w:rFonts w:ascii="Arial" w:cs="Arial" w:eastAsia="Arial" w:hAnsi="Arial"/>
          <w:sz w:val="18"/>
          <w:szCs w:val="18"/>
          <w:color w:val="auto"/>
        </w:rPr>
      </w:pPr>
    </w:p>
    <w:p>
      <w:pPr>
        <w:ind w:left="980" w:right="72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available government funding, including budgetary constraints affecting U.S. Government spending generally, or specific departments or agencies;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U.S. Government programs or requirements, including the increased use of small business providers;</w:t>
      </w:r>
    </w:p>
    <w:p>
      <w:pPr>
        <w:spacing w:after="0" w:line="9" w:lineRule="exact"/>
        <w:rPr>
          <w:rFonts w:ascii="Arial" w:cs="Arial" w:eastAsia="Arial" w:hAnsi="Arial"/>
          <w:sz w:val="18"/>
          <w:szCs w:val="18"/>
          <w:color w:val="auto"/>
        </w:rPr>
      </w:pPr>
    </w:p>
    <w:p>
      <w:pPr>
        <w:ind w:left="980" w:right="5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failure to reach our internal forecasts could impact our ability to achieve our forecasted levels of cash flows and reduce the estimated discounted value of our reporting units; and</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volatility in equity and debt markets resulting in higher discount rates.</w:t>
      </w:r>
    </w:p>
    <w:p>
      <w:pPr>
        <w:spacing w:after="0" w:line="21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It is not possible at this time to determine if an impairment charge would result from these factors, or, if it does, whether such charge would be material. We will continue to monitor the recoverability of our goodwill.</w:t>
      </w:r>
    </w:p>
    <w:p>
      <w:pPr>
        <w:spacing w:after="0" w:line="17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Accounting for income taxes and tax contingencies. Topic 740 </w:t>
      </w:r>
      <w:r>
        <w:rPr>
          <w:rFonts w:ascii="Arial" w:cs="Arial" w:eastAsia="Arial" w:hAnsi="Arial"/>
          <w:sz w:val="18"/>
          <w:szCs w:val="18"/>
          <w:color w:val="auto"/>
        </w:rPr>
        <w:t>provides the accounting treatment for uncertainty in income taxes recognized in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enterprise's financial statements. </w:t>
      </w:r>
      <w:r>
        <w:rPr>
          <w:rFonts w:ascii="Arial" w:cs="Arial" w:eastAsia="Arial" w:hAnsi="Arial"/>
          <w:sz w:val="18"/>
          <w:szCs w:val="18"/>
          <w:i w:val="1"/>
          <w:iCs w:val="1"/>
          <w:color w:val="auto"/>
        </w:rPr>
        <w:t>Topic 740</w:t>
      </w:r>
      <w:r>
        <w:rPr>
          <w:rFonts w:ascii="Arial" w:cs="Arial" w:eastAsia="Arial" w:hAnsi="Arial"/>
          <w:sz w:val="18"/>
          <w:szCs w:val="18"/>
          <w:color w:val="auto"/>
        </w:rPr>
        <w:t xml:space="preserve"> prescribes a recognition threshold and measurement attribute for the financial statement recognition and measurement of a tax position taken or expected to be taken in a tax return. </w:t>
      </w:r>
      <w:r>
        <w:rPr>
          <w:rFonts w:ascii="Arial" w:cs="Arial" w:eastAsia="Arial" w:hAnsi="Arial"/>
          <w:sz w:val="18"/>
          <w:szCs w:val="18"/>
          <w:i w:val="1"/>
          <w:iCs w:val="1"/>
          <w:color w:val="auto"/>
        </w:rPr>
        <w:t>Topic 740</w:t>
      </w:r>
      <w:r>
        <w:rPr>
          <w:rFonts w:ascii="Arial" w:cs="Arial" w:eastAsia="Arial" w:hAnsi="Arial"/>
          <w:sz w:val="18"/>
          <w:szCs w:val="18"/>
          <w:color w:val="auto"/>
        </w:rPr>
        <w:t xml:space="preserve"> also provides guidance on derecognizing, classification, interest and penalties, accounting in interim periods, disclosure and transition.</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and included in our Consolidated Balance Sheets.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18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Significant management judgment is required in determining our provision for income taxes, our deferred tax assets and liabilities, tax contingencies, unrecognized tax benefits, and any required valuation allowance, including taking into consideration the probability of the tax contingencies being incurred. Management assesses this probability based upon information provided to us by our tax advisers, our legal advisers and similar tax cases. If at a later time our assessment of the probability of these tax contingencies changes, our accrual for such tax uncertainties may increase or decrease.</w:t>
      </w:r>
    </w:p>
    <w:p>
      <w:pPr>
        <w:spacing w:after="0" w:line="15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have a valuation allowance at December 29, 2013, due to management's overall assessment of risks and uncertainties related to our future ability to realize and, hence, utilize certain deferred tax assets, primarily consisting of net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operating losses, carry forward temporary differences and future tax deductions resulting from certain types of stock option exercises, before they expire.</w:t>
      </w:r>
    </w:p>
    <w:p>
      <w:pPr>
        <w:spacing w:after="0" w:line="24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2013 effective tax rate at December 29, 2013 for annual and interim reporting periods could be impacted if uncertain tax positions that are not recognized at December 29, 2013 are settled at an amount which differs from our estimate. Finally, during 2013 and thereafter, if we are impacted by a change in the valuation allowance as of December 29, 2013 resulting from a change in judgment regarding the realizability of deferred tax assets beyond December 29, 2013, such effect will be recognized in the interim period in which the change occurs.</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Contingencies and litigation. </w:t>
      </w:r>
      <w:r>
        <w:rPr>
          <w:rFonts w:ascii="Arial" w:cs="Arial" w:eastAsia="Arial" w:hAnsi="Arial"/>
          <w:sz w:val="17"/>
          <w:szCs w:val="17"/>
          <w:color w:val="auto"/>
        </w:rPr>
        <w:t>We are currently involved in certain legal proceedings. We estimate a range of liability related to pending litigation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where the amount and range of loss can be estimated. We record our estimate of a loss when the loss is considered probable and estimable. Where a liability is probable and there is a range of estimated loss and no amount in the range is more likely than any other number in the range, we record the minimum estimated liability related to the claim in accordance with </w:t>
      </w:r>
      <w:r>
        <w:rPr>
          <w:rFonts w:ascii="Arial" w:cs="Arial" w:eastAsia="Arial" w:hAnsi="Arial"/>
          <w:sz w:val="17"/>
          <w:szCs w:val="17"/>
          <w:i w:val="1"/>
          <w:iCs w:val="1"/>
          <w:color w:val="auto"/>
        </w:rPr>
        <w:t>FASB ASC Topic 450 Contingencies.</w:t>
      </w:r>
      <w:r>
        <w:rPr>
          <w:rFonts w:ascii="Arial" w:cs="Arial" w:eastAsia="Arial" w:hAnsi="Arial"/>
          <w:sz w:val="17"/>
          <w:szCs w:val="17"/>
          <w:color w:val="auto"/>
        </w:rPr>
        <w:t xml:space="preserve"> As additional information becomes available, we assess the potential liability related to our pending litigation and revise our estimates. Revisions in our estimates of potential liability could materially impact our results of operations. See Item 3 “Legal Proceedings” contained within this Annual Report for additional information.</w:t>
      </w:r>
    </w:p>
    <w:p>
      <w:pPr>
        <w:spacing w:after="0" w:line="17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account for stock-based compensation arrangements in accordance with the provisions of</w:t>
      </w:r>
      <w:r>
        <w:rPr>
          <w:rFonts w:ascii="Arial" w:cs="Arial" w:eastAsia="Arial" w:hAnsi="Arial"/>
          <w:sz w:val="18"/>
          <w:szCs w:val="18"/>
          <w:i w:val="1"/>
          <w:iCs w:val="1"/>
          <w:color w:val="auto"/>
        </w:rPr>
        <w:t xml:space="preserve"> FASB ASC Topic 718, Compensation-Stock Compensation (“Topic 718”), </w:t>
      </w:r>
      <w:r>
        <w:rPr>
          <w:rFonts w:ascii="Arial" w:cs="Arial" w:eastAsia="Arial" w:hAnsi="Arial"/>
          <w:sz w:val="18"/>
          <w:szCs w:val="18"/>
          <w:color w:val="auto"/>
        </w:rPr>
        <w:t>which requires the measurement and recognition of compensation expense for all stock-based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to employees and directors based on estimated fair values.</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The valuation provisions of </w:t>
      </w:r>
      <w:r>
        <w:rPr>
          <w:rFonts w:ascii="Arial" w:cs="Arial" w:eastAsia="Arial" w:hAnsi="Arial"/>
          <w:sz w:val="17"/>
          <w:szCs w:val="17"/>
          <w:i w:val="1"/>
          <w:iCs w:val="1"/>
          <w:color w:val="auto"/>
        </w:rPr>
        <w:t>Topic 718</w:t>
      </w:r>
      <w:r>
        <w:rPr>
          <w:rFonts w:ascii="Arial" w:cs="Arial" w:eastAsia="Arial" w:hAnsi="Arial"/>
          <w:sz w:val="17"/>
          <w:szCs w:val="17"/>
          <w:color w:val="auto"/>
        </w:rPr>
        <w:t xml:space="preserve"> apply to new awards and to awards that are outstanding on the effective date and subsequently modified or canceled. We use the Black-Scholes option pricing model and a lattice options pricing model for market condition options to estimate the fair value of our stock options at the grant date. The Black-Scholes option pricing model was developed for use in estimating the fair value of traded options which have no vesting restrictions and are fully transferable. The lattice options pricing model breaks down the time to expiration into potentially a very large number of time intervals, or steps which makes it possible to check at every point in an option's life for the possibility of early exercise. Our employee stock options are generally subject to vesting restrictions and are generally not transferable.</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Valuing options requires highly subjective assumptions including the expected stock price volatility over the term of the award, the expected life of an option and the number of awards ultimately expected to vest. Changes in these assumptions can materially affect the fair value estimates of an option. Furthermore, the estimated fair value of an option does not necessarily represent the value that will ultimately be realized by an employee. We used historical data to estimate the expected forfeiture rate, intrinsic and historical data to estimate the expected price volatility, and a weighted-average expected life formula to estimate the expected option life. The risk-free rate is based on the U.S. Treasury yield curve in effect at the time of grant for the estimated life of the option.</w:t>
      </w:r>
    </w:p>
    <w:p>
      <w:pPr>
        <w:spacing w:after="0" w:line="19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Estimates of stock-based compensation expenses are significant to our Consolidated Financial Statements, but these expenses are based on option valuation models and will never result in the payment of cash by us. For this reason, and because we do not view stock-based compensation to be significant as related to our operational performance, we exclude estimated stock-based compensation expense when evaluating the business performance of our operating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In July 2013, the FASB issued Accounting Standards Update 2013-11 ("ASU 2013-11") "Presentation of an Unrecognized Tax Benefit When a Net Operating Loss Carryforward, a Similar Tax Loss, or a Tax Credit Carryforward Exists," which states that an unrecognized tax benefit, or a portion of an unrecognized tax benefit, should be presented in the financial statements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The amendments in this ASU are effective for fiscal years, and interim periods within those years, beginning after December 15, 2013. The Company does not believe that the adoption of this guidance will have a material impact on its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February 2013, the FASB issued ASU 2013-02 "Comprehensive Income: Reporting of Amounts Reclassified Out of Accumulated Other Comprehensive Income," which requires entities to provide information about the amounts reclassified out of accumulated other comprehensive income by component. In addition, entities are required to present, either on the face of the statement where net income is presented or in the notes, significant amounts reclassified out of accumulated other comprehensive income by the respective line items of net income but only if the amount is required under GAAP to be reclassified to net income in its entirety in the same reporting period. For other amounts that are not required under GAAP to be reclassified in their entirety to net income, entities are required to cross-reference to other disclosures required under GAAP that provide additional detail on these amounts. This standard is effective prospectively for reporting periods beginning after December 15, 2012. The Company adopted this standard in the quarter ended March 31, 2013, which did not have a material impact on its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and Foreign Currency Risks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Exposure to market risk for changes in interest rates relates to our outstanding debt. We are exposed to interest rate risk, primarily through our borrowing activities under the Amended Revolver discussed under </w:t>
      </w:r>
      <w:r>
        <w:rPr>
          <w:rFonts w:ascii="Arial" w:cs="Arial" w:eastAsia="Arial" w:hAnsi="Arial"/>
          <w:sz w:val="18"/>
          <w:szCs w:val="18"/>
          <w:b w:val="1"/>
          <w:bCs w:val="1"/>
          <w:color w:val="auto"/>
        </w:rPr>
        <w:t>"</w:t>
      </w:r>
      <w:r>
        <w:rPr>
          <w:rFonts w:ascii="Arial" w:cs="Arial" w:eastAsia="Arial" w:hAnsi="Arial"/>
          <w:sz w:val="18"/>
          <w:szCs w:val="18"/>
          <w:color w:val="auto"/>
        </w:rPr>
        <w:t>Liquidity and Capital Resources" above. Based on our current outstanding balances, a 1% change in the LIBOR rate would not materially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interest rate risk on our prior credit facilities.</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Accordingly, a strengthening of the U.S. dollar ("USD") will negatively impact revenues and gross margins expressed in consolidated USD terms. We currently do not enter into foreign currency forward contracts to manage foreign currency exchange rate risk because to date exchange rate fluctuations have had minimal impact on our operating results and cash flows.</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Cash and cash equivalents as of December 29, 2013 were $55.7 million and are primarily invested in money market interest bearing accounts. A hypothetical 10% adverse change in the average interest rate on our money market cash investments and short-term investments would have had no material effect on our net loss for the year ended December 29,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 Management</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purchase commodities for use in our manufacturing processes. We typically purchase these commodities at market prices, and as a result are affected by market price fluctuations. We have decided not to hedge these exposures as they are deemed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Consolidated Financial Statements and supplementary data required by this item are set forth at the pages indicated in Item 15(a) (1) and 15(a) (2),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maintain disclosure controls and procedures, as defined in Rules 13a-15(e) and 15d-15(e) promulgated under the Exchange Act, designed to ensure that information required to be disclosed in our reports filed under the Exchange Act is recorded, processed, summarized and reported within the time periods specified in the SEC's rules and forms, and that such</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required by Rule 13a-15(b) and 15d-15(b)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Based on the foregoing, our Principal Executive Officer and Principal Financial Officer concluded that our disclosure controls and procedures were effective at the reasonable assurance level as of December 29,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that the degree of compliance with the policies and procedures may deteriorate.</w:t>
      </w:r>
    </w:p>
    <w:p>
      <w:pPr>
        <w:spacing w:after="0" w:line="15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the 1992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Based on the results of our evaluation, our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our internal control over financial reporting was effective as of December 29, 2013.</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internal control over financial reporting has been audited by Deloitte &amp; Touche LLP, an independent registered public accounting firm, as stated in their report appearing below, which expresses an unqualified opinion on the effectiveness of our internal control over financial reporting as of December 29,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accounting and reporting (as defined in Rules 13a-15(f) and 15d-15(f) of the Exchange Act) during the fourth quarter of the fiscal year ended December 29, 2013 that have materially affected, or are reasonably likely to materially affect, our internal control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2014 Annual Meeting of Stockholders or an amendment to this Annual Report to be filed with the SEC within 120 days after the close of our fiscal year ended December 29, 2013.</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2014 Annual Meeting of Stockholders or an amendment to this Annual Report to be filed with the SEC within 120 days after the close of our fiscal year ended December 29, 2013.</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2014 Annual Meeting of Stockholders or an amendment to this Annual Report to be filed with the SEC within 120 days after the close of our fiscal year ended December 29, 2013.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2014 Annual Meeting of Stockholders or an amendment to this Annual Report to be filed with the SEC within 120 days after the close of our fiscal year ended December 29, 2013.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2014 Annual Meeting of Stockholders or an amendment to this Annual Report to be filed with the SEC within 120 days after the close of our fiscal year ended December 29, 2013.</w:t>
      </w:r>
    </w:p>
    <w:p>
      <w:pPr>
        <w:spacing w:after="0" w:line="39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Statements Schedules.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(a)(1)</w:t>
        <w:tab/>
        <w:t>Financial Statements</w:t>
      </w:r>
    </w:p>
    <w:p>
      <w:pPr>
        <w:spacing w:after="0" w:line="200" w:lineRule="exact"/>
        <w:rPr>
          <w:sz w:val="20"/>
          <w:szCs w:val="20"/>
          <w:color w:val="auto"/>
        </w:rPr>
      </w:pPr>
    </w:p>
    <w:p>
      <w:pPr>
        <w:spacing w:after="0" w:line="27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860"/>
          </w:cols>
          <w:pgMar w:left="240" w:top="125" w:right="7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The Consolidated Financial Statements of Kratos Defense &amp; Security Solutions, Inc. and Reports of Deloitte LLP, and Grant Thornton LLP, Independent Registered Public Accounting Firms, are included in a separate section of this Annual Report beginning on page F-1.</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(a)(2)</w:t>
        <w:tab/>
        <w:t>Financial Statement Schedules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the notes thereto.</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500" w:type="dxa"/>
            <w:vAlign w:val="bottom"/>
            <w:gridSpan w:val="2"/>
            <w:vMerge w:val="continue"/>
          </w:tcPr>
          <w:p>
            <w:pPr>
              <w:spacing w:after="0"/>
              <w:rPr>
                <w:sz w:val="12"/>
                <w:szCs w:val="12"/>
                <w:color w:val="auto"/>
              </w:rPr>
            </w:pP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38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19"/>
                <w:szCs w:val="19"/>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Agreement and Plan of Merger, dated February 7,</w:t>
            </w: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424</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02/08/11</w:t>
            </w:r>
          </w:p>
        </w:tc>
        <w:tc>
          <w:tcPr>
            <w:tcW w:w="10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Solutions, Inc., Lanza Acquisition, Co. and Herley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Industries, Inc. (incorporated by reference to Annex A</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to the Prospectus Supplement dated February 8, 2011,</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0"/>
              </w:rPr>
              <w:t>pursuant to the Registration Statement on Form S-3 of</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38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12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Agreement and Plan of Merger, dated May 15, 2011,</w:t>
            </w:r>
          </w:p>
        </w:tc>
        <w:tc>
          <w:tcPr>
            <w:tcW w:w="12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05/18/2011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and among Kratos Defense &amp; Security Solutions,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Inc., Integral Systems, Inc., IRIS Merger Sub Inc., and</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IRIS Acquisition Sub LLC.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Stock Purchase Agreement, dated May 8, 2012, by</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5/8/2012</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Composite Engineering, Inc., and Amy Fournier, the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stockholders representative</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Amended and Restated Certificate of Incorporation of</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09/30/2001 (000-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Certificate of Ownership and Merger of Kratos</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09/14/2007 (000-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 into Wireless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Facilities,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Certificate of Amendment to Amended and Restated</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09/27/2009 (001-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Certificate of Incorporation of Kratos Defense &amp;</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Certificate of Designations, Preferences and Rights of</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09/30/2001 (000-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Series A Preferred Stock.</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Certificate of Designations, Preferences and Rights of</w:t>
            </w:r>
          </w:p>
        </w:tc>
        <w:tc>
          <w:tcPr>
            <w:tcW w:w="120" w:type="dxa"/>
            <w:vAlign w:val="bottom"/>
          </w:tcPr>
          <w:p>
            <w:pPr>
              <w:spacing w:after="0"/>
              <w:rPr>
                <w:sz w:val="22"/>
                <w:szCs w:val="2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rPr>
              <w:t>8-K/A</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06/5/2002 (000-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Series B Preferred Stock (included as Exhibit A to the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Preferred Stock Purchase Agreement dated as of</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May 16, 2002 among the Company, Meritech Capital</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Partners II L.P., Meritech Capital Affiliates II L.P.,</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MCB Entrepreneur Partners II L.P., Oak Investment</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Partners X, Limited Partnership, Oak X Affiliates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Fund, Limited Partnership, Oak Investment Partners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IX, L.P, Oak Affiliates Fund, L.P, Oak IX Affiliates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Fund-A, L.P, and the KLS Trust dated July 14, 1999).</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Certificate of Designation of Series C Preferred Stock.</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12/17/2004 (000-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500" w:type="dxa"/>
            <w:vAlign w:val="bottom"/>
            <w:gridSpan w:val="2"/>
          </w:tcPr>
          <w:p>
            <w:pPr>
              <w:jc w:val="right"/>
              <w:ind w:right="111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right"/>
              <w:ind w:right="49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Second Amended and Restated Bylaws of Kratos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w:t>
            </w:r>
          </w:p>
        </w:tc>
        <w:tc>
          <w:tcPr>
            <w:tcW w:w="0" w:type="dxa"/>
            <w:vAlign w:val="bottom"/>
          </w:tcPr>
          <w:p>
            <w:pPr>
              <w:spacing w:after="0"/>
              <w:rPr>
                <w:sz w:val="1"/>
                <w:szCs w:val="1"/>
                <w:color w:val="auto"/>
              </w:rPr>
            </w:pPr>
          </w:p>
        </w:tc>
      </w:tr>
      <w:tr>
        <w:trPr>
          <w:trHeight w:val="270"/>
        </w:trPr>
        <w:tc>
          <w:tcPr>
            <w:tcW w:w="1380" w:type="dxa"/>
            <w:vAlign w:val="bottom"/>
          </w:tcPr>
          <w:p>
            <w:pPr>
              <w:jc w:val="right"/>
              <w:ind w:right="49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Specimen Stock Certificate.</w:t>
            </w:r>
          </w:p>
        </w:tc>
        <w:tc>
          <w:tcPr>
            <w:tcW w:w="0" w:type="dxa"/>
            <w:vAlign w:val="bottom"/>
          </w:tcPr>
          <w:p>
            <w:pPr>
              <w:spacing w:after="0"/>
              <w:rPr>
                <w:sz w:val="1"/>
                <w:szCs w:val="1"/>
                <w:color w:val="auto"/>
              </w:rPr>
            </w:pPr>
          </w:p>
        </w:tc>
      </w:tr>
      <w:tr>
        <w:trPr>
          <w:trHeight w:val="256"/>
        </w:trPr>
        <w:tc>
          <w:tcPr>
            <w:tcW w:w="1380" w:type="dxa"/>
            <w:vAlign w:val="bottom"/>
          </w:tcPr>
          <w:p>
            <w:pPr>
              <w:jc w:val="right"/>
              <w:ind w:right="49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Rights Agreement, dated as of December 16, 2004,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between Kratos Defense &amp; Security Solutions,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Wells Fargo, N.A.</w:t>
            </w:r>
          </w:p>
        </w:tc>
        <w:tc>
          <w:tcPr>
            <w:tcW w:w="0" w:type="dxa"/>
            <w:vAlign w:val="bottom"/>
          </w:tcPr>
          <w:p>
            <w:pPr>
              <w:spacing w:after="0"/>
              <w:rPr>
                <w:sz w:val="1"/>
                <w:szCs w:val="1"/>
                <w:color w:val="auto"/>
              </w:rPr>
            </w:pPr>
          </w:p>
        </w:tc>
      </w:tr>
      <w:tr>
        <w:trPr>
          <w:trHeight w:val="256"/>
        </w:trPr>
        <w:tc>
          <w:tcPr>
            <w:tcW w:w="1380" w:type="dxa"/>
            <w:vAlign w:val="bottom"/>
          </w:tcPr>
          <w:p>
            <w:pPr>
              <w:jc w:val="right"/>
              <w:ind w:right="49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Amendment No. 1 to Rights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May 14, 2012, between Kratos Defense &amp; Security</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and Wells Fargo, N.A.</w:t>
            </w:r>
          </w:p>
        </w:tc>
        <w:tc>
          <w:tcPr>
            <w:tcW w:w="0" w:type="dxa"/>
            <w:vAlign w:val="bottom"/>
          </w:tcPr>
          <w:p>
            <w:pPr>
              <w:spacing w:after="0"/>
              <w:rPr>
                <w:sz w:val="1"/>
                <w:szCs w:val="1"/>
                <w:color w:val="auto"/>
              </w:rPr>
            </w:pPr>
          </w:p>
        </w:tc>
      </w:tr>
      <w:tr>
        <w:trPr>
          <w:trHeight w:val="256"/>
        </w:trPr>
        <w:tc>
          <w:tcPr>
            <w:tcW w:w="1380" w:type="dxa"/>
            <w:vAlign w:val="bottom"/>
          </w:tcPr>
          <w:p>
            <w:pPr>
              <w:jc w:val="right"/>
              <w:ind w:right="49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Indenture, dated as of May 19, 2010, by and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Guarantors set forth therein and Wilmington 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FSB, as Trustee and Collateral Agent (including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Form of 10% Senior Secured Notes due 2017 as an</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exhibit thereto).</w:t>
            </w:r>
          </w:p>
        </w:tc>
        <w:tc>
          <w:tcPr>
            <w:tcW w:w="0" w:type="dxa"/>
            <w:vAlign w:val="bottom"/>
          </w:tcPr>
          <w:p>
            <w:pPr>
              <w:spacing w:after="0"/>
              <w:rPr>
                <w:sz w:val="1"/>
                <w:szCs w:val="1"/>
                <w:color w:val="auto"/>
              </w:rPr>
            </w:pPr>
          </w:p>
        </w:tc>
      </w:tr>
      <w:tr>
        <w:trPr>
          <w:trHeight w:val="256"/>
        </w:trPr>
        <w:tc>
          <w:tcPr>
            <w:tcW w:w="1380" w:type="dxa"/>
            <w:vAlign w:val="bottom"/>
          </w:tcPr>
          <w:p>
            <w:pPr>
              <w:jc w:val="right"/>
              <w:ind w:right="493"/>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First Supplemental Indenture, dated as of February 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listed on Exhibit 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thereto and Wilmington Trust FSB, to the Indenture,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dated as of May 19, 2010 (as amended or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supplemented),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party thereto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Wilmington Trust FSB, as trustee 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right"/>
              <w:ind w:right="49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Supplemental Indenture, dated April 1, 2011,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guaranteeing subsidiaries named therein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Wilmington Trust FSB, as trustee, to the Indenture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amended or supplemented), dated as of May 19, 2010,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among 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guarantors party thereto and Wilmington Trust FSB,</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 trustee 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right"/>
              <w:ind w:right="49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Third Supplemental Indenture, dated April 15,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Solutions, Inc., the guaranteeing subsidiaries named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therein and Wilmington Trust FSB, as trustee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collateral agent, to the Indenture,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or supplemented),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Defense &amp; Security Solutions, Inc., the guarantors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party thereto and Wilmington Trust FSB, as trustee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right"/>
              <w:ind w:right="49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Sixth Supplemental Indenture, dated July 27, 2011, by</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bl>
    <w:p>
      <w:pPr>
        <w:ind w:left="1540" w:right="100"/>
        <w:spacing w:after="0" w:line="287" w:lineRule="auto"/>
        <w:rPr>
          <w:sz w:val="20"/>
          <w:szCs w:val="20"/>
          <w:color w:val="auto"/>
        </w:rPr>
      </w:pPr>
      <w:r>
        <w:rPr>
          <w:rFonts w:ascii="Arial" w:cs="Arial" w:eastAsia="Arial" w:hAnsi="Arial"/>
          <w:sz w:val="16"/>
          <w:szCs w:val="16"/>
          <w:color w:val="auto"/>
        </w:rPr>
        <w:t>the guaranteeing subsidiaries named therein and Wilmington Trust, National Association (as successor by merger to Wilmington Trust FSB), as trustee and collateral agent, to the Indenture, dated as of May 19, 2010 (as amended or supplemented), among Kratos Defense &amp; Security Solutions, Inc., the guarantors party thereto and Wilmington Trust FSB, as trustee and collateral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03/15/2011</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12/26/2010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12/17/2004 (000-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05/15/2012</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
        <w:spacing w:after="0"/>
        <w:tabs>
          <w:tab w:leader="none" w:pos="1740" w:val="left"/>
          <w:tab w:leader="none" w:pos="34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02/07/2011</w:t>
      </w:r>
      <w:r>
        <w:rPr>
          <w:sz w:val="20"/>
          <w:szCs w:val="20"/>
          <w:color w:val="auto"/>
        </w:rPr>
        <w:tab/>
      </w:r>
      <w:r>
        <w:rPr>
          <w:rFonts w:ascii="Arial" w:cs="Arial" w:eastAsia="Arial" w:hAnsi="Arial"/>
          <w:sz w:val="16"/>
          <w:szCs w:val="16"/>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04/07/2011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04/20/2011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07/29/2011</w:t>
      </w:r>
      <w:r>
        <w:rPr>
          <w:sz w:val="20"/>
          <w:szCs w:val="20"/>
          <w:color w:val="auto"/>
        </w:rPr>
        <w:tab/>
      </w:r>
      <w:r>
        <w:rPr>
          <w:rFonts w:ascii="Arial" w:cs="Arial" w:eastAsia="Arial" w:hAnsi="Arial"/>
          <w:sz w:val="15"/>
          <w:szCs w:val="15"/>
          <w:color w:val="auto"/>
        </w:rPr>
        <w:t>4.1</w:t>
      </w:r>
    </w:p>
    <w:p>
      <w:pPr>
        <w:spacing w:after="0" w:line="2199" w:lineRule="exact"/>
        <w:rPr>
          <w:sz w:val="20"/>
          <w:szCs w:val="20"/>
          <w:color w:val="auto"/>
        </w:rPr>
      </w:pPr>
    </w:p>
    <w:p>
      <w:pPr>
        <w:sectPr>
          <w:pgSz w:w="11900" w:h="16838" w:orient="portrait"/>
          <w:cols w:equalWidth="0" w:num="2">
            <w:col w:w="5500" w:space="120"/>
            <w:col w:w="5800"/>
          </w:cols>
          <w:pgMar w:left="240" w:top="125" w:right="239" w:bottom="1440" w:gutter="0" w:footer="0" w:header="0"/>
          <w:type w:val="continuous"/>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 connection with the 2010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in connection with the August 2011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in connection with the October 2011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Registration Rights Agreement,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2010,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set forth therein,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Jefferies &amp; Company, Inc., B. Riley &amp; Co., LLC,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Imperial Capital, LLC, Keybanc Capital Markets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Noble International Investments,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Indenture, dated March 25, 2011, by and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Acquisition Co. Lanza Parent, the Guarantors named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therein and a party thereto, and Wilmington 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FSB, as Trustee and Collateral Agent (including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Form of 10% Senior Secured Notes).</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First Supplemental Indenture, date April 4,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Herley Industries, Inc. and Wilmington Trust FSB,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Trustee and Collateral Agent, to the Indenture, dated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 of March 25, 2011, among Kratos Defense &amp;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Security Solutions, Inc., the Guarantor party thereto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and Wilmington Trust FSB, as Trustee and Collateral</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Registration Rights Agreement, dated March 25,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Solutions, Inc., Acquisition Co. Lanza Parent, Lanza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Acquisition Co., the Guarantors named therein,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Jefferies &amp; Company, Inc., KeyBanc Capital</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Markets Inc. and Oppenheimer &amp; Co.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Registration Rights Agreement, dated July 27,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and among Kratos Defense &amp; Security Solutions,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the guarantors named therein, Jefferies &amp;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Company, Inc., KeyBanc Capital Markets Inc. and B.</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Riley &amp; Co., LLC.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Commitment Letter, dated February 7, 2011, by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among Kratos Defense &amp; Security Solutions, Inc.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Jefferies Group, Inc., Key Capital Corporation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OPY Credit Corp.</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Form of Indemnification Agreement by and between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 and its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directors and executive officers.</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2000 Nonstatutory Stock Option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S-4</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06/28/10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S-4</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06/07/2011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S-4</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10/25/2011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1"/>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04/04/2011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1"/>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07/29/2011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02/07/2011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06/26/2011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9/30/2000 (000-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500" w:space="120"/>
            <w:col w:w="5800"/>
          </w:cols>
          <w:pgMar w:left="240" w:top="12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10.4#</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7"/>
              </w:rPr>
              <w:t>Form of Stock Option Agreement and Grant Notice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used in connection with the 2000 Nonstatutory Stock</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Option Plan.</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Nonqualified Deferred Compensation Plan.</w:t>
            </w:r>
          </w:p>
        </w:tc>
        <w:tc>
          <w:tcPr>
            <w:tcW w:w="0" w:type="dxa"/>
            <w:vAlign w:val="bottom"/>
          </w:tcPr>
          <w:p>
            <w:pPr>
              <w:spacing w:after="0"/>
              <w:rPr>
                <w:sz w:val="1"/>
                <w:szCs w:val="1"/>
                <w:color w:val="auto"/>
              </w:rPr>
            </w:pPr>
          </w:p>
        </w:tc>
      </w:tr>
      <w:tr>
        <w:trPr>
          <w:trHeight w:val="48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12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2005 Equity Incentive Plan.</w:t>
            </w:r>
          </w:p>
        </w:tc>
        <w:tc>
          <w:tcPr>
            <w:tcW w:w="0" w:type="dxa"/>
            <w:vAlign w:val="bottom"/>
          </w:tcPr>
          <w:p>
            <w:pPr>
              <w:spacing w:after="0"/>
              <w:rPr>
                <w:sz w:val="1"/>
                <w:szCs w:val="1"/>
                <w:color w:val="auto"/>
              </w:rPr>
            </w:pPr>
          </w:p>
        </w:tc>
      </w:tr>
      <w:tr>
        <w:trPr>
          <w:trHeight w:val="472"/>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10.7#</w:t>
            </w:r>
          </w:p>
        </w:tc>
        <w:tc>
          <w:tcPr>
            <w:tcW w:w="12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Form of Stock Option Agreement pursuant to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2005 Equity Incentive Plan.</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Form of Restricted Stock Unit Agreement and Form</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of Notice of Grant under the 2005 Equity Incentive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10.9#</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Herley Industries, Inc. 1996 Stock Option Plan.</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10.10#</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Herley Industries, Inc. 1997 Stock Option Plan.</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10.11#</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Herley Industries, Inc. 1998 Stock Option Plan.</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10.12#</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Herley Industries, Inc. 2000 Stock Option Plan.</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10.13#</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Herley Industries, Inc. 2003 Stock Option Plan.</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10.14#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Herley Industries, Inc. Amended and Restated 2006</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New Employee Stock Option Plan.</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10.15#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Integral Systems, Inc. Amended and Restated 2002</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Stock Option Plan.</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10.16#</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Integral Systems, Inc. 2008 Stock Incentive Plan.</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10.17#</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Equity Incentive Plan.</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10.18#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Form of Notice of Grant of Restricted Stock Units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Restricted Stock Unit Award Agreement pursuant to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2011 Equity Incentive Plan.</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10.19#</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0"/>
              </w:rPr>
              <w:t>Employment Agreement, dated as of July 22, 2010,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and between Kratos Government Solutions, Inc.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David Carter.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10.20#</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First Amendment to Employment Agreement, dated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as of August 4, 2011, by and between Kratos Defense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Engineering Solutions, Inc. and David Carter.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10.21#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Second Amended and Restated Executive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Employment Agreement, dated as of August 4,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by and between Kratos Defense &amp; Security Solutions,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and Eric DeMarco</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10.22#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7"/>
              </w:rPr>
              <w:t>Second Amended and Restated Severance and Change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of Control Agreement, dated as of August 4,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and between Kratos Defense &amp; Security Solutions,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and Deanna Lund.</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10.23#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Amended and Restated Severance and Change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Control Agreement, dated as of August 4,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and between Kratos Defense &amp; Security Solutions,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and Deborah S. Butera.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09/30/2000 (000-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12/31/2005 (000-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10.44</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08/01/2005 (333-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127060)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08/01/2005 (333-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127060)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01/17/2007 (000-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04/08/2011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04/08/2011</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04/08/2011</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04/08/2011</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04/08/2011</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04/08/2011</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10/25/2011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10/25/2011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DEF 14A</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04/15/2011</w:t>
            </w:r>
          </w:p>
        </w:tc>
        <w:tc>
          <w:tcPr>
            <w:tcW w:w="100" w:type="dxa"/>
            <w:vAlign w:val="bottom"/>
          </w:tcPr>
          <w:p>
            <w:pPr>
              <w:spacing w:after="0"/>
              <w:rPr>
                <w:sz w:val="23"/>
                <w:szCs w:val="2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11/18/2011</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12/26/2010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09/25/2011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10.90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06/26/2011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06/26/2011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6/26/2011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10.80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5500" w:space="120"/>
            <w:col w:w="5800"/>
          </w:cols>
          <w:pgMar w:left="240" w:top="125" w:right="239" w:bottom="1440" w:gutter="0" w:footer="0" w:header="0"/>
          <w:type w:val="continuous"/>
        </w:sectPr>
      </w:pPr>
    </w:p>
    <w:bookmarkStart w:id="68" w:name="page69"/>
    <w:bookmarkEnd w:id="6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10.24#</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Employment Agreement, dated as of August 4,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by and between Kratos Public Safety &amp; Security</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and Ben Goodwin.</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10.25#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Settlement Agreement and General Release of Claims,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dated as of October 16, 2009, among Kratos Defense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&amp; Security Solutions, Inc., KeyBank National</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Association, Field Point III, Ltd. and SPF CDO I, Ltd.</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10.26#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0"/>
              </w:rPr>
              <w:t>Sublease Agreement, dated as of December 17, 2009,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by and between Amylin Pharmaceuticals,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(Sublessor) and Kratos Defense &amp; Security Solutions,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(Sublessee).</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Purchase Agreement, dated as of May 12, 2010,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the Guarantors set forth therein, Jefferies &amp; Company,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B. Riley &amp; Co., LLC, Imperial Capital, LLC,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Keybanc Capital Markets Inc. and Noble International</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Investments,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0"/>
              </w:rPr>
              <w:t>Security Agreement, dated as of May 19, 2010, by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among 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Guarantors set forth therein and Wilmington Trust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FSB, as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Intercreditor Agreement, dated as of May 19, 2010,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the Guarantors set forth therein, Wilmington 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FSB, as Indenture Agent, and KeyBank National</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Association, as Credit Facility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Credit Agreement, dated as of March 3, 2010,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Kratos Defense &amp; Security Solutions, Inc., KeyBank</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National Association, as Administrative Agent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Lender, Bank of America, N.A., as Syndication Agent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and Lender, and the other financial institutions parties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thereto with Keybanc Capital Markets and Banc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America Securities, LLC, as Co-Lead Arrangers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Book Runners.</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First Amendment Agreement, dated as of December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13, 2010,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as Borrower, the Lenders named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therein and KeyBank National Association, as Lead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Arranger, Sole Book Runner and Administrative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Second Amendment Agreement, dated as of February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7, 2011, among Kratos Defense &amp; Security solutions,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the Lenders named therein and KeyBank National</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Association.</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Purchase Agreement, dated March 22, 2011, by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Acquisition Co. Lanza Parent, Lanza Acquisition Co.,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the guarantors named therein, Jefferies &amp; Company,</w:t>
            </w:r>
          </w:p>
        </w:tc>
        <w:tc>
          <w:tcPr>
            <w:tcW w:w="0" w:type="dxa"/>
            <w:vAlign w:val="bottom"/>
          </w:tcPr>
          <w:p>
            <w:pPr>
              <w:spacing w:after="0"/>
              <w:rPr>
                <w:sz w:val="1"/>
                <w:szCs w:val="1"/>
                <w:color w:val="auto"/>
              </w:rPr>
            </w:pPr>
          </w:p>
        </w:tc>
      </w:tr>
    </w:tbl>
    <w:p>
      <w:pPr>
        <w:ind w:left="1540" w:right="40"/>
        <w:spacing w:after="0" w:line="261" w:lineRule="auto"/>
        <w:rPr>
          <w:sz w:val="20"/>
          <w:szCs w:val="20"/>
          <w:color w:val="auto"/>
        </w:rPr>
      </w:pPr>
      <w:r>
        <w:rPr>
          <w:rFonts w:ascii="Arial" w:cs="Arial" w:eastAsia="Arial" w:hAnsi="Arial"/>
          <w:sz w:val="18"/>
          <w:szCs w:val="18"/>
          <w:color w:val="auto"/>
        </w:rPr>
        <w:t>Inc., KeyBanc Capital Markets, Inc. and Oppenheimer &amp; Co.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09/25/2011</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09/27/2009(001-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12/27/2009(000-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1"/>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03/08/2010(001-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7"/>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12/16/2010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1"/>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02/07/2011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69</w:t>
      </w:r>
    </w:p>
    <w:p>
      <w:pPr>
        <w:sectPr>
          <w:pgSz w:w="11900" w:h="16838" w:orient="portrait"/>
          <w:cols w:equalWidth="0" w:num="2">
            <w:col w:w="5500" w:space="120"/>
            <w:col w:w="5800"/>
          </w:cols>
          <w:pgMar w:left="240" w:top="125" w:right="23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right"/>
              <w:ind w:right="393"/>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Security Agreement, dated March 25, 2011, by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among Acquisition Co. Lanza Parent, Lanza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Acquisition Co. and Wilmington Trust FSB, as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Collateral Agent.</w:t>
            </w:r>
          </w:p>
        </w:tc>
        <w:tc>
          <w:tcPr>
            <w:tcW w:w="0" w:type="dxa"/>
            <w:vAlign w:val="bottom"/>
          </w:tcPr>
          <w:p>
            <w:pPr>
              <w:spacing w:after="0"/>
              <w:rPr>
                <w:sz w:val="1"/>
                <w:szCs w:val="1"/>
                <w:color w:val="auto"/>
              </w:rPr>
            </w:pPr>
          </w:p>
        </w:tc>
      </w:tr>
      <w:tr>
        <w:trPr>
          <w:trHeight w:val="256"/>
        </w:trPr>
        <w:tc>
          <w:tcPr>
            <w:tcW w:w="1380" w:type="dxa"/>
            <w:vAlign w:val="bottom"/>
          </w:tcPr>
          <w:p>
            <w:pPr>
              <w:jc w:val="right"/>
              <w:ind w:right="393"/>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Credit and Security Agreement,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and restated as of July 27,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among Kratos Defense &amp; Security Solutions, Inc.,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Borrower, the Lenders named therein and KeyBank</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National Association, as Lead Arranger, Sole Book</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Runner and Administrative Agent.</w:t>
            </w:r>
          </w:p>
        </w:tc>
        <w:tc>
          <w:tcPr>
            <w:tcW w:w="0" w:type="dxa"/>
            <w:vAlign w:val="bottom"/>
          </w:tcPr>
          <w:p>
            <w:pPr>
              <w:spacing w:after="0"/>
              <w:rPr>
                <w:sz w:val="1"/>
                <w:szCs w:val="1"/>
                <w:color w:val="auto"/>
              </w:rPr>
            </w:pPr>
          </w:p>
        </w:tc>
      </w:tr>
      <w:tr>
        <w:trPr>
          <w:trHeight w:val="256"/>
        </w:trPr>
        <w:tc>
          <w:tcPr>
            <w:tcW w:w="1380" w:type="dxa"/>
            <w:vAlign w:val="bottom"/>
          </w:tcPr>
          <w:p>
            <w:pPr>
              <w:jc w:val="right"/>
              <w:ind w:right="393"/>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First Amendment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November 14, 2011, by and among Kratos Defense &amp;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Security Solutions, Inc., as Borrower, the Lenders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0"/>
              </w:rPr>
              <w:t>named therein, and Key Bank National Association,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Lead Arranger, Sole Book Runner and Administrative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Agent.</w:t>
            </w:r>
          </w:p>
        </w:tc>
        <w:tc>
          <w:tcPr>
            <w:tcW w:w="0" w:type="dxa"/>
            <w:vAlign w:val="bottom"/>
          </w:tcPr>
          <w:p>
            <w:pPr>
              <w:spacing w:after="0"/>
              <w:rPr>
                <w:sz w:val="1"/>
                <w:szCs w:val="1"/>
                <w:color w:val="auto"/>
              </w:rPr>
            </w:pPr>
          </w:p>
        </w:tc>
      </w:tr>
      <w:tr>
        <w:trPr>
          <w:trHeight w:val="256"/>
        </w:trPr>
        <w:tc>
          <w:tcPr>
            <w:tcW w:w="1380" w:type="dxa"/>
            <w:vAlign w:val="bottom"/>
          </w:tcPr>
          <w:p>
            <w:pPr>
              <w:jc w:val="right"/>
              <w:ind w:right="393"/>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Purchase Agreement, dated July 14, 2011, by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among 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Guarantors named therein, Jefferies &amp; Company,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KeyBanc Capital Markets Inc. and B. Riley &amp; Co.,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LLC, as amended by that certain Joinder Agreement,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dated July 27, 2011.</w:t>
            </w:r>
          </w:p>
        </w:tc>
        <w:tc>
          <w:tcPr>
            <w:tcW w:w="0" w:type="dxa"/>
            <w:vAlign w:val="bottom"/>
          </w:tcPr>
          <w:p>
            <w:pPr>
              <w:spacing w:after="0"/>
              <w:rPr>
                <w:sz w:val="1"/>
                <w:szCs w:val="1"/>
                <w:color w:val="auto"/>
              </w:rPr>
            </w:pPr>
          </w:p>
        </w:tc>
      </w:tr>
      <w:tr>
        <w:trPr>
          <w:trHeight w:val="256"/>
        </w:trPr>
        <w:tc>
          <w:tcPr>
            <w:tcW w:w="1380" w:type="dxa"/>
            <w:vAlign w:val="bottom"/>
          </w:tcPr>
          <w:p>
            <w:pPr>
              <w:jc w:val="right"/>
              <w:ind w:right="393"/>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Stipulation and Agreement of Settlement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Derivative Claims, dated as of January 5, 2010.</w:t>
            </w:r>
          </w:p>
        </w:tc>
        <w:tc>
          <w:tcPr>
            <w:tcW w:w="0" w:type="dxa"/>
            <w:vAlign w:val="bottom"/>
          </w:tcPr>
          <w:p>
            <w:pPr>
              <w:spacing w:after="0"/>
              <w:rPr>
                <w:sz w:val="1"/>
                <w:szCs w:val="1"/>
                <w:color w:val="auto"/>
              </w:rPr>
            </w:pPr>
          </w:p>
        </w:tc>
      </w:tr>
      <w:tr>
        <w:trPr>
          <w:trHeight w:val="256"/>
        </w:trPr>
        <w:tc>
          <w:tcPr>
            <w:tcW w:w="1380" w:type="dxa"/>
            <w:vAlign w:val="bottom"/>
          </w:tcPr>
          <w:p>
            <w:pPr>
              <w:jc w:val="right"/>
              <w:ind w:right="393"/>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Amended and Restated Herley Industries, Inc. 2010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Stock Plan, and the forms of agreement related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thereto.</w:t>
            </w:r>
          </w:p>
        </w:tc>
        <w:tc>
          <w:tcPr>
            <w:tcW w:w="0" w:type="dxa"/>
            <w:vAlign w:val="bottom"/>
          </w:tcPr>
          <w:p>
            <w:pPr>
              <w:spacing w:after="0"/>
              <w:rPr>
                <w:sz w:val="1"/>
                <w:szCs w:val="1"/>
                <w:color w:val="auto"/>
              </w:rPr>
            </w:pPr>
          </w:p>
        </w:tc>
      </w:tr>
      <w:tr>
        <w:trPr>
          <w:trHeight w:val="256"/>
        </w:trPr>
        <w:tc>
          <w:tcPr>
            <w:tcW w:w="1380" w:type="dxa"/>
            <w:vAlign w:val="bottom"/>
          </w:tcPr>
          <w:p>
            <w:pPr>
              <w:jc w:val="right"/>
              <w:ind w:right="393"/>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Amended and Restated Integral Systems, Inc. 2008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Stock Incentive Plan, and the forms of agreement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related thereto.</w:t>
            </w:r>
          </w:p>
        </w:tc>
        <w:tc>
          <w:tcPr>
            <w:tcW w:w="0" w:type="dxa"/>
            <w:vAlign w:val="bottom"/>
          </w:tcPr>
          <w:p>
            <w:pPr>
              <w:spacing w:after="0"/>
              <w:rPr>
                <w:sz w:val="1"/>
                <w:szCs w:val="1"/>
                <w:color w:val="auto"/>
              </w:rPr>
            </w:pPr>
          </w:p>
        </w:tc>
      </w:tr>
      <w:tr>
        <w:trPr>
          <w:trHeight w:val="256"/>
        </w:trPr>
        <w:tc>
          <w:tcPr>
            <w:tcW w:w="1380" w:type="dxa"/>
            <w:vAlign w:val="bottom"/>
          </w:tcPr>
          <w:p>
            <w:pPr>
              <w:jc w:val="right"/>
              <w:ind w:right="393"/>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Second Amendment to Credit and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Agreement, dated as of May 4, 2012,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the lenders named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therein, and KeyBank National Association.</w:t>
            </w:r>
          </w:p>
        </w:tc>
        <w:tc>
          <w:tcPr>
            <w:tcW w:w="0" w:type="dxa"/>
            <w:vAlign w:val="bottom"/>
          </w:tcPr>
          <w:p>
            <w:pPr>
              <w:spacing w:after="0"/>
              <w:rPr>
                <w:sz w:val="1"/>
                <w:szCs w:val="1"/>
                <w:color w:val="auto"/>
              </w:rPr>
            </w:pPr>
          </w:p>
        </w:tc>
      </w:tr>
      <w:tr>
        <w:trPr>
          <w:trHeight w:val="256"/>
        </w:trPr>
        <w:tc>
          <w:tcPr>
            <w:tcW w:w="1380" w:type="dxa"/>
            <w:vAlign w:val="bottom"/>
          </w:tcPr>
          <w:p>
            <w:pPr>
              <w:jc w:val="right"/>
              <w:ind w:right="393"/>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Third Amendment to Credit and Security Agreement,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dated as of May 8, 2012, among Kratos Defense &amp;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Security Solutions, the lenders named therein,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KeyBank National Association.</w:t>
            </w:r>
          </w:p>
        </w:tc>
        <w:tc>
          <w:tcPr>
            <w:tcW w:w="0" w:type="dxa"/>
            <w:vAlign w:val="bottom"/>
          </w:tcPr>
          <w:p>
            <w:pPr>
              <w:spacing w:after="0"/>
              <w:rPr>
                <w:sz w:val="1"/>
                <w:szCs w:val="1"/>
                <w:color w:val="auto"/>
              </w:rPr>
            </w:pPr>
          </w:p>
        </w:tc>
      </w:tr>
      <w:tr>
        <w:trPr>
          <w:trHeight w:val="256"/>
        </w:trPr>
        <w:tc>
          <w:tcPr>
            <w:tcW w:w="1380" w:type="dxa"/>
            <w:vAlign w:val="bottom"/>
          </w:tcPr>
          <w:p>
            <w:pPr>
              <w:jc w:val="right"/>
              <w:ind w:right="393"/>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Standstill Agreement, dated May 14, 2012, between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Kratos Defense &amp; Security Solutions, Inc., Bandel</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Carano, Oak Investment Partners IX, L.P., Oak IX</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Affiliates Fund, L.P., Oak IX Affiliates Fund-A, L.P.,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Oak X Affiliates Fund, L.P., Oak Investment Partners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X, L.P., and Oak Investment Partners XIII, L.P.</w:t>
            </w:r>
          </w:p>
        </w:tc>
        <w:tc>
          <w:tcPr>
            <w:tcW w:w="0" w:type="dxa"/>
            <w:vAlign w:val="bottom"/>
          </w:tcPr>
          <w:p>
            <w:pPr>
              <w:spacing w:after="0"/>
              <w:rPr>
                <w:sz w:val="1"/>
                <w:szCs w:val="1"/>
                <w:color w:val="auto"/>
              </w:rPr>
            </w:pPr>
          </w:p>
        </w:tc>
      </w:tr>
      <w:tr>
        <w:trPr>
          <w:trHeight w:val="256"/>
        </w:trPr>
        <w:tc>
          <w:tcPr>
            <w:tcW w:w="1380" w:type="dxa"/>
            <w:vAlign w:val="bottom"/>
          </w:tcPr>
          <w:p>
            <w:pPr>
              <w:jc w:val="right"/>
              <w:ind w:right="393"/>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Form of Restricted Stock Unit Agreement entered into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between Kratos Defense &amp; Security Solutions,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certain employees of Composite Engineering,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03/29/2011</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07/29/2011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1960"/>
        <w:spacing w:after="0"/>
        <w:tabs>
          <w:tab w:leader="none" w:pos="4000" w:val="left"/>
          <w:tab w:leader="none" w:pos="23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11/18/2011</w:t>
      </w:r>
      <w:r>
        <w:rPr>
          <w:sz w:val="20"/>
          <w:szCs w:val="20"/>
          <w:color w:val="auto"/>
        </w:rPr>
        <w:tab/>
      </w:r>
      <w:r>
        <w:rPr>
          <w:rFonts w:ascii="Arial" w:cs="Arial" w:eastAsia="Arial" w:hAnsi="Arial"/>
          <w:sz w:val="15"/>
          <w:szCs w:val="15"/>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1960"/>
        <w:spacing w:after="0"/>
        <w:tabs>
          <w:tab w:leader="none" w:pos="4020" w:val="left"/>
          <w:tab w:leader="none" w:pos="23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09/25/2011</w:t>
      </w:r>
      <w:r>
        <w:rPr>
          <w:sz w:val="20"/>
          <w:szCs w:val="20"/>
          <w:color w:val="auto"/>
        </w:rPr>
        <w:tab/>
      </w:r>
      <w:r>
        <w:rPr>
          <w:rFonts w:ascii="Arial" w:cs="Arial" w:eastAsia="Arial" w:hAnsi="Arial"/>
          <w:sz w:val="15"/>
          <w:szCs w:val="15"/>
          <w:color w:val="auto"/>
        </w:rPr>
        <w:t>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12/27/2009(001-</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10.60</w:t>
            </w:r>
          </w:p>
        </w:tc>
      </w:tr>
      <w:tr>
        <w:trPr>
          <w:trHeight w:val="230"/>
        </w:trPr>
        <w:tc>
          <w:tcPr>
            <w:tcW w:w="7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720" w:type="dxa"/>
            <w:vAlign w:val="bottom"/>
          </w:tcPr>
          <w:p>
            <w:pPr>
              <w:spacing w:after="0"/>
              <w:rPr>
                <w:sz w:val="20"/>
                <w:szCs w:val="20"/>
                <w:color w:val="auto"/>
              </w:rPr>
            </w:pPr>
          </w:p>
        </w:tc>
      </w:tr>
      <w:tr>
        <w:trPr>
          <w:trHeight w:val="27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5"/>
              </w:rPr>
              <w:t>S-8</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03/08/2012</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4.10</w:t>
            </w:r>
          </w:p>
        </w:tc>
      </w:tr>
      <w:tr>
        <w:trPr>
          <w:trHeight w:val="702"/>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5"/>
              </w:rPr>
              <w:t>S-8</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03/08/2012</w:t>
            </w:r>
          </w:p>
        </w:tc>
        <w:tc>
          <w:tcPr>
            <w:tcW w:w="720" w:type="dxa"/>
            <w:vAlign w:val="bottom"/>
          </w:tcPr>
          <w:p>
            <w:pPr>
              <w:jc w:val="center"/>
              <w:ind w:left="250"/>
              <w:spacing w:after="0"/>
              <w:rPr>
                <w:sz w:val="20"/>
                <w:szCs w:val="20"/>
                <w:color w:val="auto"/>
              </w:rPr>
            </w:pPr>
            <w:r>
              <w:rPr>
                <w:rFonts w:ascii="Arial" w:cs="Arial" w:eastAsia="Arial" w:hAnsi="Arial"/>
                <w:sz w:val="18"/>
                <w:szCs w:val="18"/>
                <w:color w:val="auto"/>
                <w:w w:val="85"/>
              </w:rPr>
              <w:t>4.11</w:t>
            </w:r>
          </w:p>
        </w:tc>
      </w:tr>
      <w:tr>
        <w:trPr>
          <w:trHeight w:val="702"/>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05/08/2012</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10.10</w:t>
            </w:r>
          </w:p>
        </w:tc>
      </w:tr>
      <w:tr>
        <w:trPr>
          <w:trHeight w:val="918"/>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05/08/2012</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10.20</w:t>
            </w:r>
          </w:p>
        </w:tc>
      </w:tr>
      <w:tr>
        <w:trPr>
          <w:trHeight w:val="918"/>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05/15/2012</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80"/>
        <w:spacing w:after="0"/>
        <w:tabs>
          <w:tab w:leader="none" w:pos="1740" w:val="left"/>
          <w:tab w:leader="none" w:pos="3460" w:val="left"/>
        </w:tabs>
        <w:rPr>
          <w:sz w:val="20"/>
          <w:szCs w:val="20"/>
          <w:color w:val="auto"/>
        </w:rPr>
      </w:pPr>
      <w:r>
        <w:rPr>
          <w:rFonts w:ascii="Arial" w:cs="Arial" w:eastAsia="Arial" w:hAnsi="Arial"/>
          <w:sz w:val="18"/>
          <w:szCs w:val="18"/>
          <w:color w:val="auto"/>
        </w:rPr>
        <w:t>S-8</w:t>
      </w:r>
      <w:r>
        <w:rPr>
          <w:sz w:val="20"/>
          <w:szCs w:val="20"/>
          <w:color w:val="auto"/>
        </w:rPr>
        <w:tab/>
      </w:r>
      <w:r>
        <w:rPr>
          <w:rFonts w:ascii="Arial" w:cs="Arial" w:eastAsia="Arial" w:hAnsi="Arial"/>
          <w:sz w:val="18"/>
          <w:szCs w:val="18"/>
          <w:color w:val="auto"/>
        </w:rPr>
        <w:t>07/27/2012</w:t>
      </w:r>
      <w:r>
        <w:rPr>
          <w:sz w:val="20"/>
          <w:szCs w:val="20"/>
          <w:color w:val="auto"/>
        </w:rPr>
        <w:tab/>
      </w:r>
      <w:r>
        <w:rPr>
          <w:rFonts w:ascii="Arial" w:cs="Arial" w:eastAsia="Arial" w:hAnsi="Arial"/>
          <w:sz w:val="16"/>
          <w:szCs w:val="16"/>
          <w:color w:val="auto"/>
        </w:rPr>
        <w:t>4.10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ectPr>
          <w:pgSz w:w="11900" w:h="16838" w:orient="portrait"/>
          <w:cols w:equalWidth="0" w:num="2">
            <w:col w:w="5500" w:space="120"/>
            <w:col w:w="5800"/>
          </w:cols>
          <w:pgMar w:left="240" w:top="125"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500" w:type="dxa"/>
            <w:vAlign w:val="bottom"/>
            <w:gridSpan w:val="2"/>
            <w:vMerge w:val="continue"/>
          </w:tcPr>
          <w:p>
            <w:pPr>
              <w:spacing w:after="0"/>
              <w:rPr>
                <w:sz w:val="12"/>
                <w:szCs w:val="12"/>
                <w:color w:val="auto"/>
              </w:rPr>
            </w:pP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10.45</w:t>
            </w:r>
          </w:p>
        </w:tc>
        <w:tc>
          <w:tcPr>
            <w:tcW w:w="120" w:type="dxa"/>
            <w:vAlign w:val="bottom"/>
          </w:tcPr>
          <w:p>
            <w:pPr>
              <w:spacing w:after="0"/>
              <w:rPr>
                <w:sz w:val="19"/>
                <w:szCs w:val="19"/>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4"/>
              </w:rPr>
              <w:t>Fourth Amendment to Credit and Security Agreement,</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05/09/2013</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3"/>
              </w:rPr>
              <w:t>dated as of February 27, 2013, among Kratos Defense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6"/>
              </w:rPr>
              <w:t>&amp; Security Solutions, the lenders named therein, and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KeyBank National Association.</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10.46#</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6"/>
              </w:rPr>
              <w:t>Employment Agreement, effective January 17, 2014,</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01/22/2014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5"/>
              </w:rPr>
              <w:t>by and between Kratos Defense &amp; Security Solutions,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Inc. and Phil Carrai.</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3"/>
                <w:szCs w:val="23"/>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List of Subsidiaries.</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3"/>
              </w:rPr>
              <w:t>Consent of Independent Registered Public Accounting</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Firm.</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3"/>
              </w:rPr>
              <w:t>Consent of Independent Registered Public Accounting</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Firm.</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Certification of Chief Executive Officer pursuant to</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Certification of Chief Financial Officer pursuant to</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8"/>
              </w:rPr>
              <w:t>Certification pursuant to 18 U.S.C. Section 1350, as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adopted pursuant to Section 906 of the Sarbanes-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Oxley Act of 2002 for Eric M. DeMarco.</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8"/>
              </w:rPr>
              <w:t>Certification pursuant to 18 U.S.C. Section 1350, as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adopted pursuant to Section 906 of the Sarbanes-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Oxley Act of 2002 for Deanna Lund.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Financial statements from the Annual Report on</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Form 10K of Kratos Defense &amp; Security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3"/>
              </w:rPr>
              <w:t>Solutions, Inc. for the year ended December 29, 2013,</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formatted in XBRL: (i) the Consolidated Balance</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8"/>
          <w:szCs w:val="18"/>
          <w:color w:val="auto"/>
        </w:rPr>
        <w:t>Sheets, (ii) the Consolidated Statements of Operations</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and Comprehensive Loss, (iii) the Consolidated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Statements of Cash Flows, (iv) the Notes to the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2504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right="520" w:firstLine="8"/>
        <w:spacing w:after="0" w:line="308" w:lineRule="auto"/>
        <w:tabs>
          <w:tab w:leader="none" w:pos="282" w:val="left"/>
        </w:tabs>
        <w:numPr>
          <w:ilvl w:val="0"/>
          <w:numId w:val="21"/>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14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15(a)(3) above.</w:t>
      </w:r>
    </w:p>
    <w:p>
      <w:pPr>
        <w:spacing w:after="0" w:line="397" w:lineRule="exact"/>
        <w:rPr>
          <w:sz w:val="20"/>
          <w:szCs w:val="20"/>
          <w:color w:val="auto"/>
        </w:rPr>
      </w:pPr>
    </w:p>
    <w:p>
      <w:pPr>
        <w:ind w:left="660" w:right="8760" w:hanging="652"/>
        <w:spacing w:after="0" w:line="631" w:lineRule="auto"/>
        <w:tabs>
          <w:tab w:leader="none" w:pos="257"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 Schedules </w:t>
      </w:r>
      <w:r>
        <w:rPr>
          <w:rFonts w:ascii="Arial" w:cs="Arial" w:eastAsia="Arial" w:hAnsi="Arial"/>
          <w:sz w:val="15"/>
          <w:szCs w:val="15"/>
          <w:color w:val="auto"/>
        </w:rPr>
        <w:t>See Item 15(a)(2) above.</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2014</w:t>
      </w:r>
    </w:p>
    <w:p>
      <w:pPr>
        <w:spacing w:after="0" w:line="38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Kratos Defense &amp; Security Solutions, Inc.</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Eric M. DeMarco</w:t>
      </w:r>
    </w:p>
    <w:p>
      <w:pPr>
        <w:spacing w:after="0" w:line="23" w:lineRule="exact"/>
        <w:rPr>
          <w:sz w:val="20"/>
          <w:szCs w:val="20"/>
          <w:color w:val="auto"/>
        </w:rPr>
      </w:pPr>
    </w:p>
    <w:p>
      <w:pPr>
        <w:jc w:val="center"/>
        <w:ind w:right="1280"/>
        <w:spacing w:after="0"/>
        <w:rPr>
          <w:sz w:val="20"/>
          <w:szCs w:val="20"/>
          <w:color w:val="auto"/>
        </w:rPr>
      </w:pPr>
      <w:r>
        <w:rPr>
          <w:rFonts w:ascii="Arial" w:cs="Arial" w:eastAsia="Arial" w:hAnsi="Arial"/>
          <w:sz w:val="16"/>
          <w:szCs w:val="16"/>
          <w:i w:val="1"/>
          <w:iCs w:val="1"/>
          <w:color w:val="auto"/>
        </w:rPr>
        <w:t>President and Chief Executive Officer (Principal</w:t>
      </w:r>
    </w:p>
    <w:p>
      <w:pPr>
        <w:spacing w:after="0" w:line="46" w:lineRule="exact"/>
        <w:rPr>
          <w:sz w:val="20"/>
          <w:szCs w:val="20"/>
          <w:color w:val="auto"/>
        </w:rPr>
      </w:pPr>
    </w:p>
    <w:p>
      <w:pPr>
        <w:jc w:val="center"/>
        <w:ind w:right="1280"/>
        <w:spacing w:after="0"/>
        <w:rPr>
          <w:sz w:val="20"/>
          <w:szCs w:val="20"/>
          <w:color w:val="auto"/>
        </w:rPr>
      </w:pPr>
      <w:r>
        <w:rPr>
          <w:rFonts w:ascii="Arial" w:cs="Arial" w:eastAsia="Arial" w:hAnsi="Arial"/>
          <w:sz w:val="18"/>
          <w:szCs w:val="18"/>
          <w:i w:val="1"/>
          <w:iCs w:val="1"/>
          <w:color w:val="auto"/>
        </w:rPr>
        <w:t>Executive Officer)</w:t>
      </w:r>
    </w:p>
    <w:p>
      <w:pPr>
        <w:spacing w:after="0" w:line="201" w:lineRule="exact"/>
        <w:rPr>
          <w:sz w:val="20"/>
          <w:szCs w:val="20"/>
          <w:color w:val="auto"/>
        </w:rPr>
      </w:pPr>
    </w:p>
    <w:p>
      <w:pPr>
        <w:sectPr>
          <w:pgSz w:w="11900" w:h="16838" w:orient="portrait"/>
          <w:cols w:equalWidth="0" w:num="2">
            <w:col w:w="5840" w:space="720"/>
            <w:col w:w="4800"/>
          </w:cols>
          <w:pgMar w:left="240" w:top="125" w:right="299" w:bottom="1440" w:gutter="0" w:footer="0" w:header="0"/>
          <w:type w:val="continuous"/>
        </w:sectPr>
      </w:pPr>
    </w:p>
    <w:p>
      <w:pPr>
        <w:spacing w:after="0" w:line="6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125" w:right="29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ind w:left="880"/>
        <w:spacing w:after="0"/>
        <w:rPr>
          <w:sz w:val="20"/>
          <w:szCs w:val="20"/>
          <w:color w:val="auto"/>
        </w:rPr>
      </w:pPr>
      <w:r>
        <w:rPr>
          <w:rFonts w:ascii="Arial" w:cs="Arial" w:eastAsia="Arial" w:hAnsi="Arial"/>
          <w:sz w:val="14"/>
          <w:szCs w:val="14"/>
          <w:b w:val="1"/>
          <w:bCs w:val="1"/>
          <w:color w:val="auto"/>
        </w:rPr>
        <w:t>Signature</w:t>
      </w:r>
    </w:p>
    <w:p>
      <w:pPr>
        <w:spacing w:after="0" w:line="200" w:lineRule="exact"/>
        <w:rPr>
          <w:sz w:val="20"/>
          <w:szCs w:val="20"/>
          <w:color w:val="auto"/>
        </w:rPr>
      </w:pPr>
    </w:p>
    <w:p>
      <w:pPr>
        <w:spacing w:after="0" w:line="350"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Eric M. DeMarco</w:t>
      </w:r>
    </w:p>
    <w:p>
      <w:pPr>
        <w:spacing w:after="0" w:line="200" w:lineRule="exact"/>
        <w:rPr>
          <w:sz w:val="20"/>
          <w:szCs w:val="20"/>
          <w:color w:val="auto"/>
        </w:rPr>
      </w:pPr>
    </w:p>
    <w:p>
      <w:pPr>
        <w:spacing w:after="0" w:line="376"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Deanna H. Lund</w:t>
      </w:r>
    </w:p>
    <w:p>
      <w:pPr>
        <w:spacing w:after="0" w:line="200" w:lineRule="exact"/>
        <w:rPr>
          <w:sz w:val="20"/>
          <w:szCs w:val="20"/>
          <w:color w:val="auto"/>
        </w:rPr>
      </w:pPr>
    </w:p>
    <w:p>
      <w:pPr>
        <w:spacing w:after="0" w:line="376"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/s/ Deborah S. Butera</w:t>
      </w:r>
    </w:p>
    <w:p>
      <w:pPr>
        <w:spacing w:after="0" w:line="4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Deborah S. Butera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940"/>
        <w:spacing w:after="0"/>
        <w:rPr>
          <w:sz w:val="20"/>
          <w:szCs w:val="20"/>
          <w:color w:val="auto"/>
        </w:rPr>
      </w:pPr>
      <w:r>
        <w:rPr>
          <w:rFonts w:ascii="Arial" w:cs="Arial" w:eastAsia="Arial" w:hAnsi="Arial"/>
          <w:sz w:val="17"/>
          <w:szCs w:val="17"/>
          <w:color w:val="auto"/>
        </w:rPr>
        <w:t>/s/ Richard Duckworth</w:t>
      </w:r>
    </w:p>
    <w:p>
      <w:pPr>
        <w:spacing w:after="0" w:line="35"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Richard Duckworth</w:t>
      </w:r>
    </w:p>
    <w:p>
      <w:pPr>
        <w:spacing w:after="0" w:line="200" w:lineRule="exact"/>
        <w:rPr>
          <w:sz w:val="20"/>
          <w:szCs w:val="20"/>
          <w:color w:val="auto"/>
        </w:rPr>
      </w:pPr>
    </w:p>
    <w:p>
      <w:pPr>
        <w:spacing w:after="0" w:line="348"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 Scott Anderson</w:t>
      </w:r>
    </w:p>
    <w:p>
      <w:pPr>
        <w:spacing w:after="0" w:line="23"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Scott Anderson</w:t>
      </w:r>
    </w:p>
    <w:p>
      <w:pPr>
        <w:spacing w:after="0" w:line="200" w:lineRule="exact"/>
        <w:rPr>
          <w:sz w:val="20"/>
          <w:szCs w:val="20"/>
          <w:color w:val="auto"/>
        </w:rPr>
      </w:pPr>
    </w:p>
    <w:p>
      <w:pPr>
        <w:spacing w:after="0" w:line="376"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 Bandel Carano</w:t>
      </w:r>
    </w:p>
    <w:p>
      <w:pPr>
        <w:spacing w:after="0" w:line="23"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Bandel Carano</w:t>
      </w:r>
    </w:p>
    <w:p>
      <w:pPr>
        <w:spacing w:after="0" w:line="200" w:lineRule="exact"/>
        <w:rPr>
          <w:sz w:val="20"/>
          <w:szCs w:val="20"/>
          <w:color w:val="auto"/>
        </w:rPr>
      </w:pPr>
    </w:p>
    <w:p>
      <w:pPr>
        <w:spacing w:after="0" w:line="376"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 William Hoglund</w:t>
      </w:r>
    </w:p>
    <w:p>
      <w:pPr>
        <w:spacing w:after="0" w:line="23"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William Hoglund</w:t>
      </w:r>
    </w:p>
    <w:p>
      <w:pPr>
        <w:spacing w:after="0" w:line="200" w:lineRule="exact"/>
        <w:rPr>
          <w:sz w:val="20"/>
          <w:szCs w:val="20"/>
          <w:color w:val="auto"/>
        </w:rPr>
      </w:pPr>
    </w:p>
    <w:p>
      <w:pPr>
        <w:spacing w:after="0" w:line="376"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 Scot Jarvis</w:t>
      </w:r>
    </w:p>
    <w:p>
      <w:pPr>
        <w:spacing w:after="0" w:line="23"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Scot Jarvis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 Jane E. Judd</w:t>
      </w:r>
    </w:p>
    <w:p>
      <w:pPr>
        <w:spacing w:after="0" w:line="23"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Jane E. Judd</w:t>
      </w:r>
    </w:p>
    <w:p>
      <w:pPr>
        <w:spacing w:after="0" w:line="200" w:lineRule="exact"/>
        <w:rPr>
          <w:sz w:val="20"/>
          <w:szCs w:val="20"/>
          <w:color w:val="auto"/>
        </w:rPr>
      </w:pPr>
    </w:p>
    <w:p>
      <w:pPr>
        <w:spacing w:after="0" w:line="376"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 Sam Liberatore</w:t>
      </w:r>
    </w:p>
    <w:p>
      <w:pPr>
        <w:spacing w:after="0" w:line="23"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Sam Liberatore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Title</w:t>
      </w:r>
    </w:p>
    <w:p>
      <w:pPr>
        <w:spacing w:after="0" w:line="200" w:lineRule="exact"/>
        <w:rPr>
          <w:sz w:val="20"/>
          <w:szCs w:val="20"/>
          <w:color w:val="auto"/>
        </w:rPr>
      </w:pPr>
    </w:p>
    <w:p>
      <w:pPr>
        <w:spacing w:after="0" w:line="3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200" w:lineRule="exact"/>
        <w:rPr>
          <w:sz w:val="20"/>
          <w:szCs w:val="20"/>
          <w:color w:val="auto"/>
        </w:rPr>
      </w:pPr>
    </w:p>
    <w:p>
      <w:pPr>
        <w:spacing w:after="0" w:line="3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Executive Vice President, Chief Financial Officer (Principal Financial Officer)</w:t>
      </w:r>
    </w:p>
    <w:p>
      <w:pPr>
        <w:spacing w:after="0" w:line="200" w:lineRule="exact"/>
        <w:rPr>
          <w:sz w:val="20"/>
          <w:szCs w:val="20"/>
          <w:color w:val="auto"/>
        </w:rPr>
      </w:pPr>
    </w:p>
    <w:p>
      <w:pPr>
        <w:spacing w:after="0" w:line="32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Senior Vice President, General Counsel, Chief Compliance Officer and Secretary / Registered In-House Counsel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Corporate Controller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March 11,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March 11,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March 11,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March 11,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March 11,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March 11,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March 11,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March 11,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March 11,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March 11, 2014</w:t>
      </w:r>
    </w:p>
    <w:p>
      <w:pPr>
        <w:sectPr>
          <w:pgSz w:w="11900" w:h="16838" w:orient="portrait"/>
          <w:cols w:equalWidth="0" w:num="3">
            <w:col w:w="4020" w:space="720"/>
            <w:col w:w="4340" w:space="660"/>
            <w:col w:w="1120"/>
          </w:cols>
          <w:pgMar w:left="240" w:top="125" w:right="79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08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6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9560" w:type="dxa"/>
            <w:vAlign w:val="bottom"/>
          </w:tcPr>
          <w:p>
            <w:pPr>
              <w:jc w:val="center"/>
              <w:ind w:right="590"/>
              <w:spacing w:after="0"/>
              <w:rPr>
                <w:sz w:val="20"/>
                <w:szCs w:val="20"/>
                <w:color w:val="auto"/>
              </w:rPr>
            </w:pPr>
            <w:r>
              <w:rPr>
                <w:rFonts w:ascii="Arial" w:cs="Arial" w:eastAsia="Arial" w:hAnsi="Arial"/>
                <w:sz w:val="18"/>
                <w:szCs w:val="18"/>
                <w:b w:val="1"/>
                <w:bCs w:val="1"/>
                <w:color w:val="auto"/>
              </w:rPr>
              <w:t>INDEX TO CONSOLIDATED FINANCIAL STATEMENTS</w:t>
            </w:r>
          </w:p>
        </w:tc>
        <w:tc>
          <w:tcPr>
            <w:tcW w:w="56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9560" w:type="dxa"/>
            <w:vAlign w:val="bottom"/>
          </w:tcPr>
          <w:p>
            <w:pPr>
              <w:jc w:val="center"/>
              <w:ind w:right="610"/>
              <w:spacing w:after="0"/>
              <w:rPr>
                <w:sz w:val="20"/>
                <w:szCs w:val="20"/>
                <w:color w:val="auto"/>
              </w:rPr>
            </w:pPr>
            <w:r>
              <w:rPr>
                <w:rFonts w:ascii="Arial" w:cs="Arial" w:eastAsia="Arial" w:hAnsi="Arial"/>
                <w:sz w:val="18"/>
                <w:szCs w:val="18"/>
                <w:b w:val="1"/>
                <w:bCs w:val="1"/>
                <w:color w:val="auto"/>
                <w:w w:val="99"/>
              </w:rPr>
              <w:t>KRATOS DEFENSE &amp; SECURITY SOLUTIONS, INC.</w:t>
            </w:r>
          </w:p>
        </w:tc>
        <w:tc>
          <w:tcPr>
            <w:tcW w:w="560" w:type="dxa"/>
            <w:vAlign w:val="bottom"/>
          </w:tcPr>
          <w:p>
            <w:pPr>
              <w:spacing w:after="0"/>
              <w:rPr>
                <w:sz w:val="20"/>
                <w:szCs w:val="20"/>
                <w:color w:val="auto"/>
              </w:rPr>
            </w:pPr>
          </w:p>
        </w:tc>
      </w:tr>
      <w:tr>
        <w:trPr>
          <w:trHeight w:val="594"/>
        </w:trPr>
        <w:tc>
          <w:tcPr>
            <w:tcW w:w="10840" w:type="dxa"/>
            <w:vAlign w:val="bottom"/>
            <w:gridSpan w:val="2"/>
          </w:tcPr>
          <w:p>
            <w:pPr>
              <w:ind w:left="40"/>
              <w:spacing w:after="0"/>
              <w:rPr>
                <w:sz w:val="20"/>
                <w:szCs w:val="20"/>
                <w:color w:val="auto"/>
              </w:rPr>
            </w:pPr>
            <w:r>
              <w:rPr>
                <w:rFonts w:ascii="Arial" w:cs="Arial" w:eastAsia="Arial" w:hAnsi="Arial"/>
                <w:sz w:val="18"/>
                <w:szCs w:val="18"/>
                <w:color w:val="auto"/>
              </w:rPr>
              <w:t>Reports of Independent Registered Public Accounting Firms</w:t>
            </w:r>
          </w:p>
        </w:tc>
        <w:tc>
          <w:tcPr>
            <w:tcW w:w="560" w:type="dxa"/>
            <w:vAlign w:val="bottom"/>
          </w:tcPr>
          <w:p>
            <w:pPr>
              <w:ind w:left="300"/>
              <w:spacing w:after="0"/>
              <w:rPr>
                <w:sz w:val="20"/>
                <w:szCs w:val="20"/>
                <w:color w:val="auto"/>
              </w:rPr>
            </w:pPr>
            <w:r>
              <w:rPr>
                <w:rFonts w:ascii="Arial" w:cs="Arial" w:eastAsia="Arial" w:hAnsi="Arial"/>
                <w:sz w:val="18"/>
                <w:szCs w:val="18"/>
                <w:color w:val="auto"/>
                <w:w w:val="88"/>
              </w:rPr>
              <w:t>F-2</w:t>
            </w:r>
          </w:p>
        </w:tc>
      </w:tr>
      <w:tr>
        <w:trPr>
          <w:trHeight w:val="270"/>
        </w:trPr>
        <w:tc>
          <w:tcPr>
            <w:tcW w:w="10840" w:type="dxa"/>
            <w:vAlign w:val="bottom"/>
            <w:gridSpan w:val="2"/>
          </w:tcPr>
          <w:p>
            <w:pPr>
              <w:ind w:left="40"/>
              <w:spacing w:after="0"/>
              <w:rPr>
                <w:sz w:val="20"/>
                <w:szCs w:val="20"/>
                <w:color w:val="auto"/>
              </w:rPr>
            </w:pPr>
            <w:r>
              <w:rPr>
                <w:rFonts w:ascii="Arial" w:cs="Arial" w:eastAsia="Arial" w:hAnsi="Arial"/>
                <w:sz w:val="18"/>
                <w:szCs w:val="18"/>
                <w:color w:val="auto"/>
              </w:rPr>
              <w:t>Consolidated Balance Sheets as of December 30, 2012 and December 29, 2013</w:t>
            </w:r>
          </w:p>
        </w:tc>
        <w:tc>
          <w:tcPr>
            <w:tcW w:w="560" w:type="dxa"/>
            <w:vAlign w:val="bottom"/>
          </w:tcPr>
          <w:p>
            <w:pPr>
              <w:ind w:left="300"/>
              <w:spacing w:after="0"/>
              <w:rPr>
                <w:sz w:val="20"/>
                <w:szCs w:val="20"/>
                <w:color w:val="auto"/>
              </w:rPr>
            </w:pPr>
            <w:r>
              <w:rPr>
                <w:rFonts w:ascii="Arial" w:cs="Arial" w:eastAsia="Arial" w:hAnsi="Arial"/>
                <w:sz w:val="18"/>
                <w:szCs w:val="18"/>
                <w:color w:val="auto"/>
                <w:w w:val="88"/>
              </w:rPr>
              <w:t>F-4</w:t>
            </w:r>
          </w:p>
        </w:tc>
      </w:tr>
      <w:tr>
        <w:trPr>
          <w:trHeight w:val="256"/>
        </w:trPr>
        <w:tc>
          <w:tcPr>
            <w:tcW w:w="10840" w:type="dxa"/>
            <w:vAlign w:val="bottom"/>
            <w:gridSpan w:val="2"/>
          </w:tcPr>
          <w:p>
            <w:pPr>
              <w:ind w:left="40"/>
              <w:spacing w:after="0"/>
              <w:rPr>
                <w:sz w:val="20"/>
                <w:szCs w:val="20"/>
                <w:color w:val="auto"/>
              </w:rPr>
            </w:pPr>
            <w:r>
              <w:rPr>
                <w:rFonts w:ascii="Arial" w:cs="Arial" w:eastAsia="Arial" w:hAnsi="Arial"/>
                <w:sz w:val="18"/>
                <w:szCs w:val="18"/>
                <w:color w:val="auto"/>
                <w:w w:val="91"/>
              </w:rPr>
              <w:t>Consolidated Statements of Operations and Comprehensive Loss for the Years Ended December 25, 2011, December 30, 2012, and December 29,</w:t>
            </w:r>
          </w:p>
        </w:tc>
        <w:tc>
          <w:tcPr>
            <w:tcW w:w="560" w:type="dxa"/>
            <w:vAlign w:val="bottom"/>
          </w:tcPr>
          <w:p>
            <w:pPr>
              <w:spacing w:after="0"/>
              <w:rPr>
                <w:sz w:val="22"/>
                <w:szCs w:val="22"/>
                <w:color w:val="auto"/>
              </w:rPr>
            </w:pPr>
          </w:p>
        </w:tc>
      </w:tr>
      <w:tr>
        <w:trPr>
          <w:trHeight w:val="230"/>
        </w:trPr>
        <w:tc>
          <w:tcPr>
            <w:tcW w:w="1280" w:type="dxa"/>
            <w:vAlign w:val="bottom"/>
          </w:tcPr>
          <w:p>
            <w:pPr>
              <w:ind w:left="40"/>
              <w:spacing w:after="0"/>
              <w:rPr>
                <w:sz w:val="20"/>
                <w:szCs w:val="20"/>
                <w:color w:val="auto"/>
              </w:rPr>
            </w:pPr>
            <w:r>
              <w:rPr>
                <w:rFonts w:ascii="Arial" w:cs="Arial" w:eastAsia="Arial" w:hAnsi="Arial"/>
                <w:sz w:val="18"/>
                <w:szCs w:val="18"/>
                <w:color w:val="auto"/>
              </w:rPr>
              <w:t>2013</w:t>
            </w:r>
          </w:p>
        </w:tc>
        <w:tc>
          <w:tcPr>
            <w:tcW w:w="956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88"/>
              </w:rPr>
              <w:t>F-5</w:t>
            </w:r>
          </w:p>
        </w:tc>
      </w:tr>
      <w:tr>
        <w:trPr>
          <w:trHeight w:val="270"/>
        </w:trPr>
        <w:tc>
          <w:tcPr>
            <w:tcW w:w="10840" w:type="dxa"/>
            <w:vAlign w:val="bottom"/>
            <w:gridSpan w:val="2"/>
          </w:tcPr>
          <w:p>
            <w:pPr>
              <w:ind w:left="40"/>
              <w:spacing w:after="0"/>
              <w:rPr>
                <w:sz w:val="20"/>
                <w:szCs w:val="20"/>
                <w:color w:val="auto"/>
              </w:rPr>
            </w:pPr>
            <w:r>
              <w:rPr>
                <w:rFonts w:ascii="Arial" w:cs="Arial" w:eastAsia="Arial" w:hAnsi="Arial"/>
                <w:sz w:val="18"/>
                <w:szCs w:val="18"/>
                <w:color w:val="auto"/>
                <w:w w:val="99"/>
              </w:rPr>
              <w:t>Consolidated Statements of Stockholders' Equity for the Years Ended December 25, 2011, December 30, 2012, and December 29, 2013</w:t>
            </w:r>
          </w:p>
        </w:tc>
        <w:tc>
          <w:tcPr>
            <w:tcW w:w="560" w:type="dxa"/>
            <w:vAlign w:val="bottom"/>
          </w:tcPr>
          <w:p>
            <w:pPr>
              <w:ind w:left="300"/>
              <w:spacing w:after="0"/>
              <w:rPr>
                <w:sz w:val="20"/>
                <w:szCs w:val="20"/>
                <w:color w:val="auto"/>
              </w:rPr>
            </w:pPr>
            <w:r>
              <w:rPr>
                <w:rFonts w:ascii="Arial" w:cs="Arial" w:eastAsia="Arial" w:hAnsi="Arial"/>
                <w:sz w:val="18"/>
                <w:szCs w:val="18"/>
                <w:color w:val="auto"/>
                <w:w w:val="88"/>
              </w:rPr>
              <w:t>F-6</w:t>
            </w:r>
          </w:p>
        </w:tc>
      </w:tr>
      <w:tr>
        <w:trPr>
          <w:trHeight w:val="270"/>
        </w:trPr>
        <w:tc>
          <w:tcPr>
            <w:tcW w:w="10840" w:type="dxa"/>
            <w:vAlign w:val="bottom"/>
            <w:gridSpan w:val="2"/>
          </w:tcPr>
          <w:p>
            <w:pPr>
              <w:ind w:left="40"/>
              <w:spacing w:after="0"/>
              <w:rPr>
                <w:sz w:val="20"/>
                <w:szCs w:val="20"/>
                <w:color w:val="auto"/>
              </w:rPr>
            </w:pPr>
            <w:r>
              <w:rPr>
                <w:rFonts w:ascii="Arial" w:cs="Arial" w:eastAsia="Arial" w:hAnsi="Arial"/>
                <w:sz w:val="18"/>
                <w:szCs w:val="18"/>
                <w:color w:val="auto"/>
              </w:rPr>
              <w:t>Consolidated Statements of Cash Flows for the Years Ended December 25, 2011, December 30, 2012, and December 29, 2013</w:t>
            </w:r>
          </w:p>
        </w:tc>
        <w:tc>
          <w:tcPr>
            <w:tcW w:w="560" w:type="dxa"/>
            <w:vAlign w:val="bottom"/>
          </w:tcPr>
          <w:p>
            <w:pPr>
              <w:ind w:left="300"/>
              <w:spacing w:after="0"/>
              <w:rPr>
                <w:sz w:val="20"/>
                <w:szCs w:val="20"/>
                <w:color w:val="auto"/>
              </w:rPr>
            </w:pPr>
            <w:r>
              <w:rPr>
                <w:rFonts w:ascii="Arial" w:cs="Arial" w:eastAsia="Arial" w:hAnsi="Arial"/>
                <w:sz w:val="18"/>
                <w:szCs w:val="18"/>
                <w:color w:val="auto"/>
                <w:w w:val="88"/>
              </w:rPr>
              <w:t>F-7</w:t>
            </w:r>
          </w:p>
        </w:tc>
      </w:tr>
      <w:tr>
        <w:trPr>
          <w:trHeight w:val="270"/>
        </w:trPr>
        <w:tc>
          <w:tcPr>
            <w:tcW w:w="10840" w:type="dxa"/>
            <w:vAlign w:val="bottom"/>
            <w:gridSpan w:val="2"/>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tcPr>
          <w:p>
            <w:pPr>
              <w:ind w:left="300"/>
              <w:spacing w:after="0"/>
              <w:rPr>
                <w:sz w:val="20"/>
                <w:szCs w:val="20"/>
                <w:color w:val="auto"/>
              </w:rPr>
            </w:pPr>
            <w:r>
              <w:rPr>
                <w:rFonts w:ascii="Arial" w:cs="Arial" w:eastAsia="Arial" w:hAnsi="Arial"/>
                <w:sz w:val="18"/>
                <w:szCs w:val="18"/>
                <w:color w:val="auto"/>
                <w:w w:val="88"/>
              </w:rPr>
              <w:t>F-8</w:t>
            </w:r>
          </w:p>
        </w:tc>
      </w:tr>
      <w:tr>
        <w:trPr>
          <w:trHeight w:val="702"/>
        </w:trPr>
        <w:tc>
          <w:tcPr>
            <w:tcW w:w="1280" w:type="dxa"/>
            <w:vAlign w:val="bottom"/>
          </w:tcPr>
          <w:p>
            <w:pPr>
              <w:spacing w:after="0"/>
              <w:rPr>
                <w:sz w:val="24"/>
                <w:szCs w:val="24"/>
                <w:color w:val="auto"/>
              </w:rPr>
            </w:pPr>
          </w:p>
        </w:tc>
        <w:tc>
          <w:tcPr>
            <w:tcW w:w="9560" w:type="dxa"/>
            <w:vAlign w:val="bottom"/>
          </w:tcPr>
          <w:p>
            <w:pPr>
              <w:jc w:val="center"/>
              <w:ind w:right="610"/>
              <w:spacing w:after="0"/>
              <w:rPr>
                <w:sz w:val="20"/>
                <w:szCs w:val="20"/>
                <w:color w:val="auto"/>
              </w:rPr>
            </w:pPr>
            <w:r>
              <w:rPr>
                <w:rFonts w:ascii="Arial" w:cs="Arial" w:eastAsia="Arial" w:hAnsi="Arial"/>
                <w:sz w:val="18"/>
                <w:szCs w:val="18"/>
                <w:color w:val="auto"/>
                <w:w w:val="96"/>
              </w:rPr>
              <w:t>F-1</w:t>
            </w:r>
          </w:p>
        </w:tc>
        <w:tc>
          <w:tcPr>
            <w:tcW w:w="56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1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We have audited the accompanying consolidated balance sheet of Kratos Defense &amp; Security Solutions, Inc. and subsidiaries (the "Company") as of December 29, 2013, and the related consolidated statements of operations and comprehensive loss, stockholders' equity, and cash flows for the year ended December 29, 2013. We also have audited the Company's internal control over financial reporting as of December 29, 2013, based on criteria established in </w:t>
      </w:r>
      <w:r>
        <w:rPr>
          <w:rFonts w:ascii="Arial" w:cs="Arial" w:eastAsia="Arial" w:hAnsi="Arial"/>
          <w:sz w:val="18"/>
          <w:szCs w:val="18"/>
          <w:i w:val="1"/>
          <w:iCs w:val="1"/>
          <w:color w:val="auto"/>
        </w:rPr>
        <w:t xml:space="preserve">Internal Control - Integrated Framework (1992) </w:t>
      </w:r>
      <w:r>
        <w:rPr>
          <w:rFonts w:ascii="Arial" w:cs="Arial" w:eastAsia="Arial" w:hAnsi="Arial"/>
          <w:sz w:val="18"/>
          <w:szCs w:val="18"/>
          <w:color w:val="auto"/>
        </w:rPr>
        <w:t>issued by the Committee of Sponsoring Organizations of the Treadway Commission.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29, 2013, and the results of their operations and their cash flows for the year ended December 29, 2013, in conformity with accounting principles generally accepted in the United States of America. Also, in our opinion, the Company maintained, in all material respects, effective internal control over financial reporting as of December 29, 2013, based on the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w:t>
      </w:r>
      <w:r>
        <w:rPr>
          <w:rFonts w:ascii="Arial" w:cs="Arial" w:eastAsia="Arial" w:hAnsi="Arial"/>
          <w:sz w:val="18"/>
          <w:szCs w:val="18"/>
          <w:i w:val="1"/>
          <w:iCs w:val="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2014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125" w:right="2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Board of Directors and Stockholders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Kratos Defense &amp; Security Solutions, Inc.</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have audited the accompanying consolidated balance sheet of Kratos Defense &amp; Security Solutions, Inc. (the “Company”) as of December 30, 2012, and the related consolidated statements of operations and comprehensive income (loss), stockholders’ equity, and cash flows for each of the two years in the period ended December 30, 2012. These financial statements are the responsibility of the Company’s management. Our responsibility is to express an opinion on these financial statements based on our audits.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Kratos Defense &amp; Security Solutions, Inc. as of December 30, 2012, and the results of its operations and its cash flows for each of the two years in the period ended December 30, 2012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San Diego,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12,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jc w:val="center"/>
        <w:ind w:right="-19"/>
        <w:spacing w:after="0"/>
        <w:rPr>
          <w:sz w:val="20"/>
          <w:szCs w:val="20"/>
          <w:color w:val="auto"/>
        </w:rPr>
      </w:pPr>
      <w:r>
        <w:rPr>
          <w:rFonts w:ascii="Arial" w:cs="Arial" w:eastAsia="Arial" w:hAnsi="Arial"/>
          <w:sz w:val="16"/>
          <w:szCs w:val="16"/>
          <w:b w:val="1"/>
          <w:bCs w:val="1"/>
          <w:color w:val="auto"/>
        </w:rPr>
        <w:t>December 30, 2012 and December 29, 2013</w:t>
      </w:r>
    </w:p>
    <w:p>
      <w:pPr>
        <w:jc w:val="center"/>
        <w:ind w:right="-59"/>
        <w:spacing w:after="0"/>
        <w:rPr>
          <w:sz w:val="20"/>
          <w:szCs w:val="20"/>
          <w:color w:val="auto"/>
        </w:rPr>
      </w:pPr>
      <w:r>
        <w:rPr>
          <w:rFonts w:ascii="Arial" w:cs="Arial" w:eastAsia="Arial" w:hAnsi="Arial"/>
          <w:sz w:val="14"/>
          <w:szCs w:val="14"/>
          <w:b w:val="1"/>
          <w:bCs w:val="1"/>
          <w:color w:val="auto"/>
        </w:rPr>
        <w:t>(in millions, except par value and number of shares)</w:t>
      </w:r>
    </w:p>
    <w:p>
      <w:pPr>
        <w:sectPr>
          <w:pgSz w:w="11900" w:h="16838" w:orient="portrait"/>
          <w:cols w:equalWidth="0" w:num="1">
            <w:col w:w="11420"/>
          </w:cols>
          <w:pgMar w:left="240" w:top="125" w:right="239" w:bottom="597" w:gutter="0" w:footer="0" w:header="0"/>
        </w:sect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676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Inventoried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taxes receivable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676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180"/>
        <w:spacing w:after="0"/>
        <w:tabs>
          <w:tab w:leader="none" w:pos="676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expenses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interest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Deferred income tax liability</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portion of long-term debt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portion of 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liabilities of discontinued operations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 principal, net of current portion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Capital lease obligations, net of current portion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long-term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liabilities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86" w:lineRule="exact"/>
        <w:rPr>
          <w:sz w:val="20"/>
          <w:szCs w:val="20"/>
          <w:color w:val="auto"/>
        </w:rPr>
      </w:pPr>
    </w:p>
    <w:p>
      <w:pPr>
        <w:ind w:left="180" w:right="360"/>
        <w:spacing w:after="0" w:line="293" w:lineRule="auto"/>
        <w:rPr>
          <w:sz w:val="20"/>
          <w:szCs w:val="20"/>
          <w:color w:val="auto"/>
        </w:rPr>
      </w:pPr>
      <w:r>
        <w:rPr>
          <w:rFonts w:ascii="Arial" w:cs="Arial" w:eastAsia="Arial" w:hAnsi="Arial"/>
          <w:sz w:val="16"/>
          <w:szCs w:val="16"/>
          <w:color w:val="auto"/>
        </w:rPr>
        <w:t>Preferred stock, $0.001 par value, 5,000,000 authorized, 0 shares outstanding at December 30, 2012 and December 29,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80" w:right="340"/>
        <w:spacing w:after="0" w:line="319" w:lineRule="auto"/>
        <w:rPr>
          <w:sz w:val="20"/>
          <w:szCs w:val="20"/>
          <w:color w:val="auto"/>
        </w:rPr>
      </w:pPr>
      <w:r>
        <w:rPr>
          <w:rFonts w:ascii="Arial" w:cs="Arial" w:eastAsia="Arial" w:hAnsi="Arial"/>
          <w:sz w:val="15"/>
          <w:szCs w:val="15"/>
          <w:color w:val="auto"/>
        </w:rPr>
        <w:t>Common stock, $0.001 par value, 195,000,000 shares authorized; 56,613,024 and 57,056,892 shares issued and outstanding at December 30, 2012 and December 29, 2013, respectively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49.0</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5.5</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271.9</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94.3</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3.7</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17.4</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7.0</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6.6</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455.4</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85.6</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596.4</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106.1</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39.6</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0.8</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1,283.9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52070</wp:posOffset>
            </wp:positionV>
            <wp:extent cx="14579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83.6</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46.4</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47.8</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6.3</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43.7</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28.9</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15.7</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1.0</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0.5</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34925</wp:posOffset>
            </wp:positionV>
            <wp:extent cx="14579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6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278.8</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629.7</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18.7</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0.4</w:t>
      </w:r>
    </w:p>
    <w:p>
      <w:pPr>
        <w:spacing w:after="0" w:line="6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w:t>
      </w:r>
    </w:p>
    <w:p>
      <w:pPr>
        <w:spacing w:after="0" w:line="8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31.9</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0.3</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959.8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34925</wp:posOffset>
            </wp:positionV>
            <wp:extent cx="14579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275"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847.1</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(0.8)</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(522.2)</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40" w:type="dxa"/>
            <w:vAlign w:val="bottom"/>
          </w:tcPr>
          <w:p>
            <w:pPr>
              <w:spacing w:after="0"/>
              <w:rPr>
                <w:sz w:val="18"/>
                <w:szCs w:val="18"/>
                <w:color w:val="auto"/>
              </w:rPr>
            </w:pPr>
          </w:p>
        </w:tc>
        <w:tc>
          <w:tcPr>
            <w:tcW w:w="1720" w:type="dxa"/>
            <w:vAlign w:val="bottom"/>
          </w:tcPr>
          <w:p>
            <w:pPr>
              <w:jc w:val="right"/>
              <w:ind w:right="899"/>
              <w:spacing w:after="0"/>
              <w:rPr>
                <w:sz w:val="20"/>
                <w:szCs w:val="20"/>
                <w:color w:val="auto"/>
              </w:rPr>
            </w:pPr>
            <w:r>
              <w:rPr>
                <w:rFonts w:ascii="Arial" w:cs="Arial" w:eastAsia="Arial" w:hAnsi="Arial"/>
                <w:sz w:val="16"/>
                <w:szCs w:val="16"/>
                <w:b w:val="1"/>
                <w:bCs w:val="1"/>
                <w:color w:val="auto"/>
              </w:rPr>
              <w:t>2013</w:t>
            </w:r>
          </w:p>
        </w:tc>
      </w:tr>
      <w:tr>
        <w:trPr>
          <w:trHeight w:val="33"/>
        </w:trPr>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757"/>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55.7</w:t>
            </w:r>
          </w:p>
        </w:tc>
      </w:tr>
      <w:tr>
        <w:trPr>
          <w:trHeight w:val="270"/>
        </w:trPr>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270"/>
        </w:trPr>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265.8</w:t>
            </w:r>
          </w:p>
        </w:tc>
      </w:tr>
      <w:tr>
        <w:trPr>
          <w:trHeight w:val="270"/>
        </w:trPr>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74.6</w:t>
            </w:r>
          </w:p>
        </w:tc>
      </w:tr>
      <w:tr>
        <w:trPr>
          <w:trHeight w:val="270"/>
        </w:trPr>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70"/>
        </w:trPr>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270"/>
        </w:trPr>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16.7</w:t>
            </w:r>
          </w:p>
        </w:tc>
      </w:tr>
      <w:tr>
        <w:trPr>
          <w:trHeight w:val="270"/>
        </w:trPr>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430.3</w:t>
            </w:r>
          </w:p>
        </w:tc>
      </w:tr>
      <w:tr>
        <w:trPr>
          <w:trHeight w:val="270"/>
        </w:trPr>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84.8</w:t>
            </w:r>
          </w:p>
        </w:tc>
      </w:tr>
      <w:tr>
        <w:trPr>
          <w:trHeight w:val="270"/>
        </w:trPr>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596.4</w:t>
            </w:r>
          </w:p>
        </w:tc>
      </w:tr>
      <w:tr>
        <w:trPr>
          <w:trHeight w:val="270"/>
        </w:trPr>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69.9</w:t>
            </w:r>
          </w:p>
        </w:tc>
      </w:tr>
      <w:tr>
        <w:trPr>
          <w:trHeight w:val="270"/>
        </w:trPr>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35.2</w:t>
            </w:r>
          </w:p>
        </w:tc>
      </w:tr>
      <w:tr>
        <w:trPr>
          <w:trHeight w:val="270"/>
        </w:trPr>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1,216.6</w:t>
            </w:r>
          </w:p>
        </w:tc>
      </w:tr>
      <w:tr>
        <w:trPr>
          <w:trHeight w:val="33"/>
        </w:trPr>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744"/>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61.9</w:t>
            </w:r>
          </w:p>
        </w:tc>
      </w:tr>
      <w:tr>
        <w:trPr>
          <w:trHeight w:val="270"/>
        </w:trPr>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46.2</w:t>
            </w:r>
          </w:p>
        </w:tc>
      </w:tr>
      <w:tr>
        <w:trPr>
          <w:trHeight w:val="270"/>
        </w:trPr>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44.9</w:t>
            </w:r>
          </w:p>
        </w:tc>
      </w:tr>
    </w:tbl>
    <w:p>
      <w:pPr>
        <w:spacing w:after="0" w:line="64"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5.2</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52.5</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28.4</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8.1</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1.0</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0.3</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14408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251.0</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628.8</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14.5</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0.1</w:t>
      </w:r>
    </w:p>
    <w:p>
      <w:pPr>
        <w:spacing w:after="0" w:line="68"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0.7</w:t>
      </w:r>
    </w:p>
    <w:p>
      <w:pPr>
        <w:spacing w:after="0" w:line="81"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25.5</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0.2</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920.8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14408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w:t>
      </w:r>
    </w:p>
    <w:p>
      <w:pPr>
        <w:spacing w:after="0" w:line="27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856.0</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(0.8)</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(559.4)</w:t>
      </w:r>
    </w:p>
    <w:p>
      <w:pPr>
        <w:spacing w:after="0" w:line="35" w:lineRule="exact"/>
        <w:rPr>
          <w:sz w:val="20"/>
          <w:szCs w:val="20"/>
          <w:color w:val="auto"/>
        </w:rPr>
      </w:pPr>
    </w:p>
    <w:p>
      <w:pPr>
        <w:sectPr>
          <w:pgSz w:w="11900" w:h="16838" w:orient="portrait"/>
          <w:cols w:equalWidth="0" w:num="3">
            <w:col w:w="7020" w:space="720"/>
            <w:col w:w="1240" w:space="180"/>
            <w:col w:w="2260"/>
          </w:cols>
          <w:pgMar w:left="240" w:top="125" w:right="239" w:bottom="597"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7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920" w:type="dxa"/>
            <w:vAlign w:val="bottom"/>
            <w:tcBorders>
              <w:top w:val="single" w:sz="8" w:color="auto"/>
              <w:bottom w:val="single" w:sz="8" w:color="CCEEFF"/>
            </w:tcBorders>
            <w:shd w:val="clear" w:color="auto" w:fill="CCEEFF"/>
          </w:tcPr>
          <w:p>
            <w:pPr>
              <w:spacing w:after="0"/>
              <w:rPr>
                <w:sz w:val="23"/>
                <w:szCs w:val="23"/>
                <w:color w:val="auto"/>
              </w:rPr>
            </w:pPr>
          </w:p>
        </w:tc>
        <w:tc>
          <w:tcPr>
            <w:tcW w:w="13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CCEEFF"/>
            </w:tcBorders>
            <w:shd w:val="clear" w:color="auto" w:fill="CCEEFF"/>
          </w:tcPr>
          <w:p>
            <w:pPr>
              <w:spacing w:after="0"/>
              <w:rPr>
                <w:sz w:val="23"/>
                <w:szCs w:val="23"/>
                <w:color w:val="auto"/>
              </w:rPr>
            </w:pPr>
          </w:p>
        </w:tc>
        <w:tc>
          <w:tcPr>
            <w:tcW w:w="13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295.8</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1,283.9</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1,216.6</w:t>
            </w:r>
          </w:p>
        </w:tc>
      </w:tr>
      <w:tr>
        <w:trPr>
          <w:trHeight w:val="33"/>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597"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125" w:right="239" w:bottom="597"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4"/>
          <w:szCs w:val="14"/>
          <w:b w:val="1"/>
          <w:bCs w:val="1"/>
          <w:color w:val="auto"/>
        </w:rPr>
        <w:t>Years ended December 25, 2011, December 30, 2012, and December 29, 2013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per share amounts)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4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4"/>
                <w:szCs w:val="14"/>
                <w:b w:val="1"/>
                <w:bCs w:val="1"/>
                <w:color w:val="auto"/>
              </w:rPr>
              <w:t>2012</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4"/>
                <w:szCs w:val="14"/>
                <w:b w:val="1"/>
                <w:bCs w:val="1"/>
                <w:color w:val="auto"/>
              </w:rPr>
              <w:t>2013</w:t>
            </w: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color w:val="auto"/>
              </w:rPr>
              <w:t>Service revenues</w:t>
            </w:r>
          </w:p>
        </w:tc>
        <w:tc>
          <w:tcPr>
            <w:tcW w:w="1400" w:type="dxa"/>
            <w:vAlign w:val="bottom"/>
          </w:tcPr>
          <w:p>
            <w:pPr>
              <w:jc w:val="right"/>
              <w:ind w:right="12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351.0</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443.6</w:t>
            </w:r>
          </w:p>
        </w:tc>
      </w:tr>
      <w:tr>
        <w:trPr>
          <w:trHeight w:val="33"/>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sales</w:t>
            </w:r>
          </w:p>
        </w:tc>
        <w:tc>
          <w:tcPr>
            <w:tcW w:w="1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507.0</w:t>
            </w:r>
          </w:p>
        </w:tc>
      </w:tr>
      <w:tr>
        <w:trPr>
          <w:trHeight w:val="217"/>
        </w:trPr>
        <w:tc>
          <w:tcPr>
            <w:tcW w:w="50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713.9</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969.2</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950.6</w:t>
            </w:r>
          </w:p>
        </w:tc>
      </w:tr>
      <w:tr>
        <w:trPr>
          <w:trHeight w:val="33"/>
        </w:trPr>
        <w:tc>
          <w:tcPr>
            <w:tcW w:w="50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service revenues</w:t>
            </w:r>
          </w:p>
        </w:tc>
        <w:tc>
          <w:tcPr>
            <w:tcW w:w="1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335.2</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Cost of product sales</w:t>
            </w:r>
          </w:p>
        </w:tc>
        <w:tc>
          <w:tcPr>
            <w:tcW w:w="140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262.0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361.2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375.4</w:t>
            </w:r>
          </w:p>
        </w:tc>
      </w:tr>
      <w:tr>
        <w:trPr>
          <w:trHeight w:val="33"/>
        </w:trPr>
        <w:tc>
          <w:tcPr>
            <w:tcW w:w="50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costs</w:t>
            </w:r>
          </w:p>
        </w:tc>
        <w:tc>
          <w:tcPr>
            <w:tcW w:w="1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710.6</w:t>
            </w:r>
          </w:p>
        </w:tc>
      </w:tr>
      <w:tr>
        <w:trPr>
          <w:trHeight w:val="217"/>
        </w:trPr>
        <w:tc>
          <w:tcPr>
            <w:tcW w:w="5040" w:type="dxa"/>
            <w:vAlign w:val="bottom"/>
          </w:tcPr>
          <w:p>
            <w:pPr>
              <w:ind w:left="380"/>
              <w:spacing w:after="0"/>
              <w:rPr>
                <w:sz w:val="20"/>
                <w:szCs w:val="20"/>
                <w:color w:val="auto"/>
              </w:rPr>
            </w:pPr>
            <w:r>
              <w:rPr>
                <w:rFonts w:ascii="Arial" w:cs="Arial" w:eastAsia="Arial" w:hAnsi="Arial"/>
                <w:sz w:val="16"/>
                <w:szCs w:val="16"/>
                <w:color w:val="auto"/>
              </w:rPr>
              <w:t>Gross profit</w:t>
            </w:r>
          </w:p>
        </w:tc>
        <w:tc>
          <w:tcPr>
            <w:tcW w:w="1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191.2</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257.2</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240.0</w:t>
            </w:r>
          </w:p>
        </w:tc>
      </w:tr>
      <w:tr>
        <w:trPr>
          <w:trHeight w:val="33"/>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193.0</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Merger and acquisition related items</w:t>
            </w:r>
          </w:p>
        </w:tc>
        <w:tc>
          <w:tcPr>
            <w:tcW w:w="140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Impairment of goodwill and intangible assets</w:t>
            </w:r>
          </w:p>
        </w:tc>
        <w:tc>
          <w:tcPr>
            <w:tcW w:w="14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96.6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Unused office space and other</w:t>
            </w:r>
          </w:p>
        </w:tc>
        <w:tc>
          <w:tcPr>
            <w:tcW w:w="1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5040" w:type="dxa"/>
            <w:vAlign w:val="bottom"/>
          </w:tcPr>
          <w:p>
            <w:pPr>
              <w:ind w:left="380"/>
              <w:spacing w:after="0"/>
              <w:rPr>
                <w:sz w:val="20"/>
                <w:szCs w:val="20"/>
                <w:color w:val="auto"/>
              </w:rPr>
            </w:pPr>
            <w:r>
              <w:rPr>
                <w:rFonts w:ascii="Arial" w:cs="Arial" w:eastAsia="Arial" w:hAnsi="Arial"/>
                <w:sz w:val="16"/>
                <w:szCs w:val="16"/>
                <w:color w:val="auto"/>
              </w:rPr>
              <w:t>Operating income (loss) from continuing operations</w:t>
            </w:r>
          </w:p>
        </w:tc>
        <w:tc>
          <w:tcPr>
            <w:tcW w:w="1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31.8</w:t>
            </w:r>
          </w:p>
        </w:tc>
      </w:tr>
      <w:tr>
        <w:trPr>
          <w:trHeight w:val="33"/>
        </w:trPr>
        <w:tc>
          <w:tcPr>
            <w:tcW w:w="50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60"/>
        </w:trPr>
        <w:tc>
          <w:tcPr>
            <w:tcW w:w="504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1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(63.7)</w:t>
            </w:r>
          </w:p>
        </w:tc>
      </w:tr>
      <w:tr>
        <w:trPr>
          <w:trHeight w:val="33"/>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net</w:t>
            </w:r>
          </w:p>
        </w:tc>
        <w:tc>
          <w:tcPr>
            <w:tcW w:w="1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5040" w:type="dxa"/>
            <w:vAlign w:val="bottom"/>
          </w:tcPr>
          <w:p>
            <w:pPr>
              <w:ind w:left="380"/>
              <w:spacing w:after="0"/>
              <w:rPr>
                <w:sz w:val="20"/>
                <w:szCs w:val="20"/>
                <w:color w:val="auto"/>
              </w:rPr>
            </w:pPr>
            <w:r>
              <w:rPr>
                <w:rFonts w:ascii="Arial" w:cs="Arial" w:eastAsia="Arial" w:hAnsi="Arial"/>
                <w:sz w:val="16"/>
                <w:szCs w:val="16"/>
                <w:color w:val="auto"/>
              </w:rPr>
              <w:t>Total other expense, net</w:t>
            </w:r>
          </w:p>
        </w:tc>
        <w:tc>
          <w:tcPr>
            <w:tcW w:w="1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(63.7)</w:t>
            </w:r>
          </w:p>
        </w:tc>
      </w:tr>
      <w:tr>
        <w:trPr>
          <w:trHeight w:val="33"/>
        </w:trPr>
        <w:tc>
          <w:tcPr>
            <w:tcW w:w="50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1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Provision (benefit) for income taxes from continuing operations</w:t>
            </w:r>
          </w:p>
        </w:tc>
        <w:tc>
          <w:tcPr>
            <w:tcW w:w="140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w:t>
            </w:r>
          </w:p>
        </w:tc>
        <w:tc>
          <w:tcPr>
            <w:tcW w:w="1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Loss from discontinued operations</w:t>
            </w:r>
          </w:p>
        </w:tc>
        <w:tc>
          <w:tcPr>
            <w:tcW w:w="1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50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loss</w:t>
            </w:r>
          </w:p>
        </w:tc>
        <w:tc>
          <w:tcPr>
            <w:tcW w:w="1400" w:type="dxa"/>
            <w:vAlign w:val="bottom"/>
            <w:tcBorders>
              <w:bottom w:val="single" w:sz="8" w:color="CCEEFF"/>
            </w:tcBorders>
            <w:shd w:val="clear" w:color="auto" w:fill="CCEEFF"/>
          </w:tcPr>
          <w:p>
            <w:pPr>
              <w:jc w:val="right"/>
              <w:ind w:right="1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and diluted loss per common share:</w:t>
            </w:r>
          </w:p>
        </w:tc>
        <w:tc>
          <w:tcPr>
            <w:tcW w:w="1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Net loss from continuing operations</w:t>
            </w:r>
          </w:p>
        </w:tc>
        <w:tc>
          <w:tcPr>
            <w:tcW w:w="1400" w:type="dxa"/>
            <w:vAlign w:val="bottom"/>
          </w:tcPr>
          <w:p>
            <w:pPr>
              <w:jc w:val="right"/>
              <w:ind w:right="1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(0.86)</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(0.56)</w:t>
            </w:r>
          </w:p>
        </w:tc>
      </w:tr>
      <w:tr>
        <w:trPr>
          <w:trHeight w:val="33"/>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from discontinued operations</w:t>
            </w:r>
          </w:p>
        </w:tc>
        <w:tc>
          <w:tcPr>
            <w:tcW w:w="1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r>
      <w:tr>
        <w:trPr>
          <w:trHeight w:val="217"/>
        </w:trPr>
        <w:tc>
          <w:tcPr>
            <w:tcW w:w="5040" w:type="dxa"/>
            <w:vAlign w:val="bottom"/>
          </w:tcPr>
          <w:p>
            <w:pPr>
              <w:ind w:left="380"/>
              <w:spacing w:after="0"/>
              <w:rPr>
                <w:sz w:val="20"/>
                <w:szCs w:val="20"/>
                <w:color w:val="auto"/>
              </w:rPr>
            </w:pPr>
            <w:r>
              <w:rPr>
                <w:rFonts w:ascii="Arial" w:cs="Arial" w:eastAsia="Arial" w:hAnsi="Arial"/>
                <w:sz w:val="16"/>
                <w:szCs w:val="16"/>
                <w:color w:val="auto"/>
              </w:rPr>
              <w:t>Net loss per common share</w:t>
            </w:r>
          </w:p>
        </w:tc>
        <w:tc>
          <w:tcPr>
            <w:tcW w:w="1400" w:type="dxa"/>
            <w:vAlign w:val="bottom"/>
            <w:tcBorders>
              <w:top w:val="single" w:sz="8" w:color="auto"/>
            </w:tcBorders>
          </w:tcPr>
          <w:p>
            <w:pPr>
              <w:jc w:val="right"/>
              <w:ind w:right="120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(0.88)</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(0.65)</w:t>
            </w:r>
          </w:p>
        </w:tc>
      </w:tr>
      <w:tr>
        <w:trPr>
          <w:trHeight w:val="73"/>
        </w:trPr>
        <w:tc>
          <w:tcPr>
            <w:tcW w:w="5040" w:type="dxa"/>
            <w:vAlign w:val="bottom"/>
            <w:tcBorders>
              <w:bottom w:val="single" w:sz="8" w:color="CCEEFF"/>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177"/>
        </w:trPr>
        <w:tc>
          <w:tcPr>
            <w:tcW w:w="50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common shares outstanding:</w:t>
            </w:r>
          </w:p>
        </w:tc>
        <w:tc>
          <w:tcPr>
            <w:tcW w:w="1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74"/>
        </w:trPr>
        <w:tc>
          <w:tcPr>
            <w:tcW w:w="504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224"/>
        </w:trPr>
        <w:tc>
          <w:tcPr>
            <w:tcW w:w="5040" w:type="dxa"/>
            <w:vAlign w:val="bottom"/>
          </w:tcPr>
          <w:p>
            <w:pPr>
              <w:ind w:left="180"/>
              <w:spacing w:after="0"/>
              <w:rPr>
                <w:sz w:val="20"/>
                <w:szCs w:val="20"/>
                <w:color w:val="auto"/>
              </w:rPr>
            </w:pPr>
            <w:r>
              <w:rPr>
                <w:rFonts w:ascii="Arial" w:cs="Arial" w:eastAsia="Arial" w:hAnsi="Arial"/>
                <w:sz w:val="16"/>
                <w:szCs w:val="16"/>
                <w:color w:val="auto"/>
              </w:rPr>
              <w:t>Basic and diluted</w:t>
            </w:r>
          </w:p>
        </w:tc>
        <w:tc>
          <w:tcPr>
            <w:tcW w:w="1400" w:type="dxa"/>
            <w:vAlign w:val="bottom"/>
          </w:tcPr>
          <w:p>
            <w:pPr>
              <w:spacing w:after="0"/>
              <w:rPr>
                <w:sz w:val="19"/>
                <w:szCs w:val="19"/>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56.8</w:t>
            </w:r>
          </w:p>
        </w:tc>
      </w:tr>
      <w:tr>
        <w:trPr>
          <w:trHeight w:val="73"/>
        </w:trPr>
        <w:tc>
          <w:tcPr>
            <w:tcW w:w="5040" w:type="dxa"/>
            <w:vAlign w:val="bottom"/>
            <w:tcBorders>
              <w:bottom w:val="single" w:sz="8" w:color="CCEEFF"/>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177"/>
        </w:trPr>
        <w:tc>
          <w:tcPr>
            <w:tcW w:w="50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Comprehensive Loss</w:t>
            </w:r>
          </w:p>
        </w:tc>
        <w:tc>
          <w:tcPr>
            <w:tcW w:w="1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74"/>
        </w:trPr>
        <w:tc>
          <w:tcPr>
            <w:tcW w:w="504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Net loss from above</w:t>
            </w:r>
          </w:p>
        </w:tc>
        <w:tc>
          <w:tcPr>
            <w:tcW w:w="1400" w:type="dxa"/>
            <w:vAlign w:val="bottom"/>
          </w:tcPr>
          <w:p>
            <w:pPr>
              <w:jc w:val="right"/>
              <w:ind w:right="1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(37.2)</w:t>
            </w:r>
          </w:p>
        </w:tc>
      </w:tr>
      <w:tr>
        <w:trPr>
          <w:trHeight w:val="33"/>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Change in cumulative translation adjustment</w:t>
            </w:r>
          </w:p>
        </w:tc>
        <w:tc>
          <w:tcPr>
            <w:tcW w:w="140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Post retirement benefit reserve adjustment net of tax expense</w:t>
            </w:r>
          </w:p>
        </w:tc>
        <w:tc>
          <w:tcPr>
            <w:tcW w:w="1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1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1400" w:type="dxa"/>
            <w:vAlign w:val="bottom"/>
            <w:tcBorders>
              <w:bottom w:val="single" w:sz="8" w:color="CCEEFF"/>
            </w:tcBorders>
            <w:shd w:val="clear" w:color="auto" w:fill="CCEEFF"/>
          </w:tcPr>
          <w:p>
            <w:pPr>
              <w:jc w:val="right"/>
              <w:ind w:right="1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999"/>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17" w:lineRule="exact"/>
        <w:rPr>
          <w:sz w:val="20"/>
          <w:szCs w:val="20"/>
          <w:color w:val="auto"/>
        </w:rPr>
      </w:pPr>
    </w:p>
    <w:p>
      <w:pPr>
        <w:jc w:val="center"/>
        <w:ind w:right="-999"/>
        <w:spacing w:after="0"/>
        <w:rPr>
          <w:sz w:val="20"/>
          <w:szCs w:val="20"/>
          <w:color w:val="auto"/>
        </w:rPr>
      </w:pPr>
      <w:r>
        <w:rPr>
          <w:rFonts w:ascii="Arial" w:cs="Arial" w:eastAsia="Arial" w:hAnsi="Arial"/>
          <w:sz w:val="16"/>
          <w:szCs w:val="16"/>
          <w:b w:val="1"/>
          <w:bCs w:val="1"/>
          <w:color w:val="auto"/>
        </w:rPr>
        <w:t>CONSOLIDATED STATEMENTS OF STOCKHOLDER'S EQUITY</w:t>
      </w:r>
    </w:p>
    <w:p>
      <w:pPr>
        <w:jc w:val="center"/>
        <w:ind w:right="-999"/>
        <w:spacing w:after="0"/>
        <w:rPr>
          <w:sz w:val="20"/>
          <w:szCs w:val="20"/>
          <w:color w:val="auto"/>
        </w:rPr>
      </w:pPr>
      <w:r>
        <w:rPr>
          <w:rFonts w:ascii="Arial" w:cs="Arial" w:eastAsia="Arial" w:hAnsi="Arial"/>
          <w:sz w:val="14"/>
          <w:szCs w:val="14"/>
          <w:b w:val="1"/>
          <w:bCs w:val="1"/>
          <w:color w:val="auto"/>
        </w:rPr>
        <w:t>Years ended December 25, 2011, December 30, 2012, and December 29, 2013</w:t>
      </w:r>
    </w:p>
    <w:p>
      <w:pPr>
        <w:spacing w:after="0" w:line="1" w:lineRule="exact"/>
        <w:rPr>
          <w:sz w:val="20"/>
          <w:szCs w:val="20"/>
          <w:color w:val="auto"/>
        </w:rPr>
      </w:pPr>
    </w:p>
    <w:p>
      <w:pPr>
        <w:jc w:val="center"/>
        <w:ind w:right="-999"/>
        <w:spacing w:after="0"/>
        <w:rPr>
          <w:sz w:val="20"/>
          <w:szCs w:val="20"/>
          <w:color w:val="auto"/>
        </w:rPr>
      </w:pPr>
      <w:r>
        <w:rPr>
          <w:rFonts w:ascii="Arial" w:cs="Arial" w:eastAsia="Arial" w:hAnsi="Arial"/>
          <w:sz w:val="14"/>
          <w:szCs w:val="14"/>
          <w:b w:val="1"/>
          <w:bCs w:val="1"/>
          <w:color w:val="auto"/>
        </w:rPr>
        <w:t>(in millions)</w:t>
      </w:r>
    </w:p>
    <w:p>
      <w:pPr>
        <w:spacing w:after="0" w:line="54"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38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840" w:type="dxa"/>
            <w:vAlign w:val="bottom"/>
          </w:tcPr>
          <w:p>
            <w:pPr>
              <w:spacing w:after="0"/>
              <w:rPr>
                <w:sz w:val="13"/>
                <w:szCs w:val="13"/>
                <w:color w:val="auto"/>
              </w:rPr>
            </w:pPr>
          </w:p>
        </w:tc>
        <w:tc>
          <w:tcPr>
            <w:tcW w:w="13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Amounts</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Paid-In</w:t>
            </w:r>
          </w:p>
        </w:tc>
        <w:tc>
          <w:tcPr>
            <w:tcW w:w="114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4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Accumulated</w:t>
            </w:r>
          </w:p>
        </w:tc>
        <w:tc>
          <w:tcPr>
            <w:tcW w:w="104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Balance, December 26, 2010</w:t>
            </w: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6"/>
              <w:spacing w:after="0"/>
              <w:rPr>
                <w:sz w:val="20"/>
                <w:szCs w:val="20"/>
                <w:color w:val="auto"/>
              </w:rPr>
            </w:pPr>
            <w:r>
              <w:rPr>
                <w:rFonts w:ascii="Arial" w:cs="Arial" w:eastAsia="Arial" w:hAnsi="Arial"/>
                <w:sz w:val="14"/>
                <w:szCs w:val="14"/>
                <w:color w:val="auto"/>
              </w:rPr>
              <w:t>553.5</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(383.6)</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Issuance of common stock for employee stock purchase plan,</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options and warrants</w:t>
            </w: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40" w:type="dxa"/>
            <w:vAlign w:val="bottom"/>
          </w:tcPr>
          <w:p>
            <w:pPr>
              <w:ind w:left="160"/>
              <w:spacing w:after="0"/>
              <w:rPr>
                <w:sz w:val="20"/>
                <w:szCs w:val="20"/>
                <w:color w:val="auto"/>
              </w:rPr>
            </w:pPr>
            <w:r>
              <w:rPr>
                <w:rFonts w:ascii="Arial" w:cs="Arial" w:eastAsia="Arial" w:hAnsi="Arial"/>
                <w:sz w:val="14"/>
                <w:szCs w:val="14"/>
                <w:color w:val="auto"/>
              </w:rPr>
              <w:t>Issuance of common stock for cash</w:t>
            </w: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40" w:type="dxa"/>
            <w:vAlign w:val="bottom"/>
          </w:tcPr>
          <w:p>
            <w:pPr>
              <w:jc w:val="right"/>
              <w:ind w:right="6"/>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common stock for acquisitions</w:t>
            </w: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109.7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40" w:type="dxa"/>
            <w:vAlign w:val="bottom"/>
          </w:tcPr>
          <w:p>
            <w:pPr>
              <w:ind w:left="160"/>
              <w:spacing w:after="0"/>
              <w:rPr>
                <w:sz w:val="20"/>
                <w:szCs w:val="20"/>
                <w:color w:val="auto"/>
              </w:rPr>
            </w:pPr>
            <w:r>
              <w:rPr>
                <w:rFonts w:ascii="Arial" w:cs="Arial" w:eastAsia="Arial" w:hAnsi="Arial"/>
                <w:sz w:val="14"/>
                <w:szCs w:val="14"/>
                <w:color w:val="auto"/>
              </w:rPr>
              <w:t>Fair value of options assumed for acquisitions</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40" w:type="dxa"/>
            <w:vAlign w:val="bottom"/>
          </w:tcPr>
          <w:p>
            <w:pPr>
              <w:jc w:val="right"/>
              <w:ind w:right="6"/>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 compensation</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40" w:type="dxa"/>
            <w:vAlign w:val="bottom"/>
          </w:tcPr>
          <w:p>
            <w:pPr>
              <w:ind w:left="160"/>
              <w:spacing w:after="0"/>
              <w:rPr>
                <w:sz w:val="20"/>
                <w:szCs w:val="20"/>
                <w:color w:val="auto"/>
              </w:rPr>
            </w:pPr>
            <w:r>
              <w:rPr>
                <w:rFonts w:ascii="Arial" w:cs="Arial" w:eastAsia="Arial" w:hAnsi="Arial"/>
                <w:sz w:val="14"/>
                <w:szCs w:val="14"/>
                <w:color w:val="auto"/>
              </w:rPr>
              <w:t>Conversion of convertible notes</w:t>
            </w: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Common stock repurchased</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40" w:type="dxa"/>
            <w:vAlign w:val="bottom"/>
          </w:tcPr>
          <w:p>
            <w:pPr>
              <w:ind w:left="160"/>
              <w:spacing w:after="0"/>
              <w:rPr>
                <w:sz w:val="20"/>
                <w:szCs w:val="20"/>
                <w:color w:val="auto"/>
              </w:rPr>
            </w:pPr>
            <w:r>
              <w:rPr>
                <w:rFonts w:ascii="Arial" w:cs="Arial" w:eastAsia="Arial" w:hAnsi="Arial"/>
                <w:sz w:val="14"/>
                <w:szCs w:val="14"/>
                <w:color w:val="auto"/>
              </w:rPr>
              <w:t>Net loss</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comprehensive loss, net of tax</w:t>
            </w:r>
          </w:p>
        </w:tc>
        <w:tc>
          <w:tcPr>
            <w:tcW w:w="6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Balance, December 25, 2011</w:t>
            </w: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40" w:type="dxa"/>
            <w:vAlign w:val="bottom"/>
          </w:tcPr>
          <w:p>
            <w:pPr>
              <w:jc w:val="right"/>
              <w:ind w:right="6"/>
              <w:spacing w:after="0"/>
              <w:rPr>
                <w:sz w:val="20"/>
                <w:szCs w:val="20"/>
                <w:color w:val="auto"/>
              </w:rPr>
            </w:pPr>
            <w:r>
              <w:rPr>
                <w:rFonts w:ascii="Arial" w:cs="Arial" w:eastAsia="Arial" w:hAnsi="Arial"/>
                <w:sz w:val="14"/>
                <w:szCs w:val="14"/>
                <w:color w:val="auto"/>
              </w:rPr>
              <w:t>720.6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common stock for cash</w:t>
            </w: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97.0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40" w:type="dxa"/>
            <w:vAlign w:val="bottom"/>
          </w:tcPr>
          <w:p>
            <w:pPr>
              <w:ind w:left="160"/>
              <w:spacing w:after="0"/>
              <w:rPr>
                <w:sz w:val="20"/>
                <w:szCs w:val="20"/>
                <w:color w:val="auto"/>
              </w:rPr>
            </w:pPr>
            <w:r>
              <w:rPr>
                <w:rFonts w:ascii="Arial" w:cs="Arial" w:eastAsia="Arial" w:hAnsi="Arial"/>
                <w:sz w:val="14"/>
                <w:szCs w:val="14"/>
                <w:color w:val="auto"/>
              </w:rPr>
              <w:t>Issuance of common stock for acquisitions</w:t>
            </w: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40" w:type="dxa"/>
            <w:vAlign w:val="bottom"/>
          </w:tcPr>
          <w:p>
            <w:pPr>
              <w:jc w:val="right"/>
              <w:ind w:right="6"/>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 compensation</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840" w:type="dxa"/>
            <w:vAlign w:val="bottom"/>
          </w:tcPr>
          <w:p>
            <w:pPr>
              <w:ind w:left="160"/>
              <w:spacing w:after="0" w:line="157" w:lineRule="exact"/>
              <w:rPr>
                <w:sz w:val="20"/>
                <w:szCs w:val="20"/>
                <w:color w:val="auto"/>
              </w:rPr>
            </w:pPr>
            <w:r>
              <w:rPr>
                <w:rFonts w:ascii="Arial" w:cs="Arial" w:eastAsia="Arial" w:hAnsi="Arial"/>
                <w:sz w:val="14"/>
                <w:szCs w:val="14"/>
                <w:color w:val="auto"/>
                <w:w w:val="95"/>
              </w:rPr>
              <w:t>Issuance of common stock for employee stock purchase plan,</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40" w:type="dxa"/>
            <w:vAlign w:val="bottom"/>
          </w:tcPr>
          <w:p>
            <w:pPr>
              <w:ind w:left="320"/>
              <w:spacing w:after="0"/>
              <w:rPr>
                <w:sz w:val="20"/>
                <w:szCs w:val="20"/>
                <w:color w:val="auto"/>
              </w:rPr>
            </w:pPr>
            <w:r>
              <w:rPr>
                <w:rFonts w:ascii="Arial" w:cs="Arial" w:eastAsia="Arial" w:hAnsi="Arial"/>
                <w:sz w:val="14"/>
                <w:szCs w:val="14"/>
                <w:color w:val="auto"/>
              </w:rPr>
              <w:t>options and warrants</w:t>
            </w: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Common stock repurchased for employee stock purchase</w:t>
            </w: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plan</w:t>
            </w:r>
          </w:p>
        </w:tc>
        <w:tc>
          <w:tcPr>
            <w:tcW w:w="7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40" w:type="dxa"/>
            <w:vAlign w:val="bottom"/>
          </w:tcPr>
          <w:p>
            <w:pPr>
              <w:ind w:left="160"/>
              <w:spacing w:after="0"/>
              <w:rPr>
                <w:sz w:val="20"/>
                <w:szCs w:val="20"/>
                <w:color w:val="auto"/>
              </w:rPr>
            </w:pPr>
            <w:r>
              <w:rPr>
                <w:rFonts w:ascii="Arial" w:cs="Arial" w:eastAsia="Arial" w:hAnsi="Arial"/>
                <w:sz w:val="14"/>
                <w:szCs w:val="14"/>
                <w:color w:val="auto"/>
              </w:rPr>
              <w:t>Restricted stock units traded for taxes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comprehensive loss, net of tax</w:t>
            </w: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25, 2012</w:t>
            </w: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56.6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847.1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324.1</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840" w:type="dxa"/>
            <w:vAlign w:val="bottom"/>
          </w:tcPr>
          <w:p>
            <w:pPr>
              <w:ind w:left="160"/>
              <w:spacing w:after="0"/>
              <w:rPr>
                <w:sz w:val="20"/>
                <w:szCs w:val="20"/>
                <w:color w:val="auto"/>
              </w:rPr>
            </w:pPr>
            <w:r>
              <w:rPr>
                <w:rFonts w:ascii="Arial" w:cs="Arial" w:eastAsia="Arial" w:hAnsi="Arial"/>
                <w:sz w:val="14"/>
                <w:szCs w:val="14"/>
                <w:color w:val="auto"/>
              </w:rPr>
              <w:t>Stock-based compensation</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40" w:type="dxa"/>
            <w:vAlign w:val="bottom"/>
          </w:tcPr>
          <w:p>
            <w:pPr>
              <w:jc w:val="right"/>
              <w:ind w:right="6"/>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Issuance of common stock for employee stock purchase plan,</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options and warrants</w:t>
            </w: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40" w:type="dxa"/>
            <w:vAlign w:val="bottom"/>
          </w:tcPr>
          <w:p>
            <w:pPr>
              <w:ind w:left="160"/>
              <w:spacing w:after="0"/>
              <w:rPr>
                <w:sz w:val="20"/>
                <w:szCs w:val="20"/>
                <w:color w:val="auto"/>
              </w:rPr>
            </w:pPr>
            <w:r>
              <w:rPr>
                <w:rFonts w:ascii="Arial" w:cs="Arial" w:eastAsia="Arial" w:hAnsi="Arial"/>
                <w:sz w:val="14"/>
                <w:szCs w:val="14"/>
                <w:color w:val="auto"/>
              </w:rPr>
              <w:t>Restricted stock units traded for taxes</w:t>
            </w: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comprehensive loss, net of tax</w:t>
            </w:r>
          </w:p>
        </w:tc>
        <w:tc>
          <w:tcPr>
            <w:tcW w:w="64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29, 2013</w:t>
            </w: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856.0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0420"/>
          </w:cols>
          <w:pgMar w:left="240" w:top="125" w:right="1239" w:bottom="1440" w:gutter="0" w:footer="0" w:header="0"/>
        </w:sectPr>
      </w:pPr>
    </w:p>
    <w:bookmarkStart w:id="79" w:name="page80"/>
    <w:bookmarkEnd w:id="79"/>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1720" w:right="1300"/>
        <w:spacing w:after="0" w:line="263" w:lineRule="auto"/>
        <w:rPr>
          <w:sz w:val="20"/>
          <w:szCs w:val="20"/>
          <w:color w:val="auto"/>
        </w:rPr>
      </w:pPr>
      <w:r>
        <w:rPr>
          <w:rFonts w:ascii="Arial" w:cs="Arial" w:eastAsia="Arial" w:hAnsi="Arial"/>
          <w:sz w:val="18"/>
          <w:szCs w:val="18"/>
          <w:b w:val="1"/>
          <w:bCs w:val="1"/>
          <w:color w:val="auto"/>
        </w:rPr>
        <w:t>KRATOS DEFENSE &amp; SECURITY SOLUTIONS, INC. CONSOLIDATED STATEMENTS OF CASH FLOWS Years ended December 25, 2011, December 30, 2012, and December 29, 2013 (in millions)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2011</w:t>
            </w: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204"/>
        </w:trPr>
        <w:tc>
          <w:tcPr>
            <w:tcW w:w="5160" w:type="dxa"/>
            <w:vAlign w:val="bottom"/>
          </w:tcPr>
          <w:p>
            <w:pPr>
              <w:ind w:left="40"/>
              <w:spacing w:after="0"/>
              <w:rPr>
                <w:sz w:val="20"/>
                <w:szCs w:val="20"/>
                <w:color w:val="auto"/>
              </w:rPr>
            </w:pPr>
            <w:r>
              <w:rPr>
                <w:rFonts w:ascii="Arial" w:cs="Arial" w:eastAsia="Arial" w:hAnsi="Arial"/>
                <w:sz w:val="16"/>
                <w:szCs w:val="16"/>
                <w:color w:val="auto"/>
              </w:rPr>
              <w:t>Operating activities: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Loss from discontinued operations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from continuing operations</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20"/>
        </w:trPr>
        <w:tc>
          <w:tcPr>
            <w:tcW w:w="5160" w:type="dxa"/>
            <w:vAlign w:val="bottom"/>
          </w:tcPr>
          <w:p>
            <w:pPr>
              <w:ind w:left="180"/>
              <w:spacing w:after="0"/>
              <w:rPr>
                <w:sz w:val="20"/>
                <w:szCs w:val="20"/>
                <w:color w:val="auto"/>
              </w:rPr>
            </w:pPr>
            <w:r>
              <w:rPr>
                <w:rFonts w:ascii="Arial" w:cs="Arial" w:eastAsia="Arial" w:hAnsi="Arial"/>
                <w:sz w:val="16"/>
                <w:szCs w:val="16"/>
                <w:color w:val="auto"/>
                <w:w w:val="97"/>
              </w:rPr>
              <w:t>Adjustments to reconcile net loss from continuing operations to net cash</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5160" w:type="dxa"/>
            <w:vAlign w:val="bottom"/>
          </w:tcPr>
          <w:p>
            <w:pPr>
              <w:ind w:left="180"/>
              <w:spacing w:after="0"/>
              <w:rPr>
                <w:sz w:val="20"/>
                <w:szCs w:val="20"/>
                <w:color w:val="auto"/>
              </w:rPr>
            </w:pPr>
            <w:r>
              <w:rPr>
                <w:rFonts w:ascii="Arial" w:cs="Arial" w:eastAsia="Arial" w:hAnsi="Arial"/>
                <w:sz w:val="16"/>
                <w:szCs w:val="16"/>
                <w:color w:val="auto"/>
              </w:rPr>
              <w:t>provided by operating activities from continuing operations:</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Mark to market on swaps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and intangible assets impairment charge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98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premium on Senior Secured Notes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Provision for doubtful accounts</w:t>
            </w:r>
          </w:p>
        </w:tc>
        <w:tc>
          <w:tcPr>
            <w:tcW w:w="98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 in accrual for excess facilities</w:t>
            </w:r>
          </w:p>
        </w:tc>
        <w:tc>
          <w:tcPr>
            <w:tcW w:w="9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5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631190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11900" cy="171450"/>
                    </a:xfrm>
                    <a:prstGeom prst="rect">
                      <a:avLst/>
                    </a:prstGeom>
                    <a:noFill/>
                  </pic:spPr>
                </pic:pic>
              </a:graphicData>
            </a:graphic>
          </wp:anchor>
        </w:drawing>
      </w:r>
    </w:p>
    <w:p>
      <w:pPr>
        <w:sectPr>
          <w:pgSz w:w="11900" w:h="16900" w:orient="portrait"/>
          <w:cols w:equalWidth="0" w:num="1">
            <w:col w:w="10219"/>
          </w:cols>
          <w:pgMar w:left="240" w:top="125" w:right="1440" w:bottom="0" w:gutter="0" w:footer="0" w:header="0"/>
        </w:sectPr>
      </w:pPr>
    </w:p>
    <w:p>
      <w:pPr>
        <w:spacing w:after="0" w:line="31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assets and liabilities, net of acquisitions: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31190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1190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Inventoried costs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31190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1190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31190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1190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Accrued expenses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31190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1190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Accrued interest</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Billings in excess of costs and earnings on uncompleted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631190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11900" cy="171450"/>
                    </a:xfrm>
                    <a:prstGeom prst="rect">
                      <a:avLst/>
                    </a:prstGeom>
                    <a:noFill/>
                  </pic:spPr>
                </pic:pic>
              </a:graphicData>
            </a:graphic>
          </wp:anchor>
        </w:drawing>
      </w:r>
    </w:p>
    <w:p>
      <w:pPr>
        <w:spacing w:after="0" w:line="8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Income tax receivable and payable</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311900" cy="291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11900" cy="291465"/>
                    </a:xfrm>
                    <a:prstGeom prst="rect">
                      <a:avLst/>
                    </a:prstGeom>
                    <a:noFill/>
                  </pic:spPr>
                </pic:pic>
              </a:graphicData>
            </a:graphic>
          </wp:anchor>
        </w:drawing>
      </w:r>
    </w:p>
    <w:p>
      <w:pPr>
        <w:spacing w:after="0" w:line="66" w:lineRule="exact"/>
        <w:rPr>
          <w:sz w:val="20"/>
          <w:szCs w:val="20"/>
          <w:color w:val="auto"/>
        </w:rPr>
      </w:pPr>
    </w:p>
    <w:p>
      <w:pPr>
        <w:ind w:left="720" w:right="400"/>
        <w:spacing w:after="0" w:line="293" w:lineRule="auto"/>
        <w:rPr>
          <w:sz w:val="20"/>
          <w:szCs w:val="20"/>
          <w:color w:val="auto"/>
        </w:rPr>
      </w:pPr>
      <w:r>
        <w:rPr>
          <w:rFonts w:ascii="Arial" w:cs="Arial" w:eastAsia="Arial" w:hAnsi="Arial"/>
          <w:sz w:val="16"/>
          <w:szCs w:val="16"/>
          <w:color w:val="auto"/>
        </w:rPr>
        <w:t>Net cash provided by operating activities from continuing operations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631190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11900" cy="17145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paid for acquisitions, net of cash acquired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the disposition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31190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1190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transferred from restricted cash</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31190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1190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cash used in investing activities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631190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1190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50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70"/>
        </w:trPr>
        <w:tc>
          <w:tcPr>
            <w:tcW w:w="150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70"/>
        </w:trPr>
        <w:tc>
          <w:tcPr>
            <w:tcW w:w="150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0"/>
        </w:trPr>
        <w:tc>
          <w:tcPr>
            <w:tcW w:w="15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70"/>
        </w:trPr>
        <w:tc>
          <w:tcPr>
            <w:tcW w:w="15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15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33"/>
        </w:trPr>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33"/>
        </w:trPr>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501"/>
        </w:trPr>
        <w:tc>
          <w:tcPr>
            <w:tcW w:w="1500" w:type="dxa"/>
            <w:vAlign w:val="bottom"/>
          </w:tcPr>
          <w:p>
            <w:pPr>
              <w:jc w:val="right"/>
              <w:spacing w:after="0"/>
              <w:rPr>
                <w:sz w:val="20"/>
                <w:szCs w:val="20"/>
                <w:color w:val="auto"/>
              </w:rPr>
            </w:pPr>
            <w:r>
              <w:rPr>
                <w:rFonts w:ascii="Arial" w:cs="Arial" w:eastAsia="Arial" w:hAnsi="Arial"/>
                <w:sz w:val="16"/>
                <w:szCs w:val="16"/>
                <w:color w:val="auto"/>
              </w:rPr>
              <w:t>(391.1)</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(149.4)</w:t>
            </w:r>
          </w:p>
        </w:tc>
        <w:tc>
          <w:tcPr>
            <w:tcW w:w="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0"/>
        </w:trPr>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150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33"/>
        </w:trPr>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(395.6)</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(165.1)</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33"/>
        </w:trPr>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82" w:lineRule="exact"/>
        <w:rPr>
          <w:sz w:val="20"/>
          <w:szCs w:val="20"/>
          <w:color w:val="auto"/>
        </w:rPr>
      </w:pPr>
    </w:p>
    <w:p>
      <w:pPr>
        <w:sectPr>
          <w:pgSz w:w="11900" w:h="16900" w:orient="portrait"/>
          <w:cols w:equalWidth="0" w:num="2">
            <w:col w:w="4860" w:space="300"/>
            <w:col w:w="5059"/>
          </w:cols>
          <w:pgMar w:left="240" w:top="125" w:right="1440" w:bottom="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the issuance of long-term debt, net of issuance costs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the issuance of common stock,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31190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1190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Borrowing under credit facility</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Repayments under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31190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11900"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Purchase of treasury stock</w:t>
      </w:r>
    </w:p>
    <w:p>
      <w:pPr>
        <w:spacing w:after="0" w:line="86" w:lineRule="exact"/>
        <w:rPr>
          <w:sz w:val="20"/>
          <w:szCs w:val="20"/>
          <w:color w:val="auto"/>
        </w:rPr>
      </w:pPr>
    </w:p>
    <w:p>
      <w:pPr>
        <w:ind w:left="180" w:right="2060" w:hanging="13"/>
        <w:spacing w:after="0" w:line="343" w:lineRule="auto"/>
        <w:rPr>
          <w:sz w:val="20"/>
          <w:szCs w:val="20"/>
          <w:color w:val="auto"/>
        </w:rPr>
      </w:pPr>
      <w:r>
        <w:rPr>
          <w:rFonts w:ascii="Arial" w:cs="Arial" w:eastAsia="Arial" w:hAnsi="Arial"/>
          <w:sz w:val="16"/>
          <w:szCs w:val="16"/>
          <w:color w:val="auto"/>
        </w:rPr>
        <w:t>Cash paid for contingent acquisition consideration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631190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11900" cy="171450"/>
                    </a:xfrm>
                    <a:prstGeom prst="rect">
                      <a:avLst/>
                    </a:prstGeom>
                    <a:noFill/>
                  </pic:spPr>
                </pic:pic>
              </a:graphicData>
            </a:graphic>
          </wp:anchor>
        </w:drawing>
      </w:r>
    </w:p>
    <w:p>
      <w:pPr>
        <w:ind w:left="180" w:right="580"/>
        <w:spacing w:after="0" w:line="293" w:lineRule="auto"/>
        <w:rPr>
          <w:sz w:val="20"/>
          <w:szCs w:val="20"/>
          <w:color w:val="auto"/>
        </w:rPr>
      </w:pPr>
      <w:r>
        <w:rPr>
          <w:rFonts w:ascii="Arial" w:cs="Arial" w:eastAsia="Arial" w:hAnsi="Arial"/>
          <w:sz w:val="16"/>
          <w:szCs w:val="16"/>
          <w:color w:val="auto"/>
        </w:rPr>
        <w:t>Proceeds from exercise of restricted stock units, employee stock options, and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31190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1190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720" w:right="400"/>
        <w:spacing w:after="0" w:line="293" w:lineRule="auto"/>
        <w:rPr>
          <w:sz w:val="20"/>
          <w:szCs w:val="20"/>
          <w:color w:val="auto"/>
        </w:rPr>
      </w:pPr>
      <w:r>
        <w:rPr>
          <w:rFonts w:ascii="Arial" w:cs="Arial" w:eastAsia="Arial" w:hAnsi="Arial"/>
          <w:sz w:val="16"/>
          <w:szCs w:val="16"/>
          <w:color w:val="auto"/>
        </w:rPr>
        <w:t>Net cash provided by (used in) financing activities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31190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11900"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Net cash flows of continuing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operating cash flows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31190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1190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631190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11900" cy="17145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beginning of year</w:t>
      </w:r>
    </w:p>
    <w:p>
      <w:pPr>
        <w:spacing w:after="0" w:line="86" w:lineRule="exact"/>
        <w:rPr>
          <w:sz w:val="20"/>
          <w:szCs w:val="20"/>
          <w:color w:val="auto"/>
        </w:rPr>
      </w:pPr>
    </w:p>
    <w:p>
      <w:pPr>
        <w:ind w:left="40"/>
        <w:spacing w:after="0"/>
        <w:tabs>
          <w:tab w:leader="none" w:pos="5180" w:val="left"/>
        </w:tabs>
        <w:rPr>
          <w:sz w:val="20"/>
          <w:szCs w:val="20"/>
          <w:color w:val="auto"/>
        </w:rPr>
      </w:pPr>
      <w:r>
        <w:rPr>
          <w:rFonts w:ascii="Arial" w:cs="Arial" w:eastAsia="Arial" w:hAnsi="Arial"/>
          <w:sz w:val="16"/>
          <w:szCs w:val="16"/>
          <w:color w:val="auto"/>
        </w:rPr>
        <w:t>Cash and cash equivalents at end of year</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6311900" cy="10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11900" cy="10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59"/>
              <w:spacing w:after="0"/>
              <w:rPr>
                <w:sz w:val="20"/>
                <w:szCs w:val="20"/>
                <w:color w:val="auto"/>
              </w:rPr>
            </w:pPr>
            <w:r>
              <w:rPr>
                <w:rFonts w:ascii="Arial" w:cs="Arial" w:eastAsia="Arial" w:hAnsi="Arial"/>
                <w:sz w:val="16"/>
                <w:szCs w:val="16"/>
                <w:color w:val="auto"/>
                <w:w w:val="84"/>
              </w:rPr>
              <w:t>425.7</w:t>
            </w:r>
          </w:p>
        </w:tc>
        <w:tc>
          <w:tcPr>
            <w:tcW w:w="640" w:type="dxa"/>
            <w:vAlign w:val="bottom"/>
          </w:tcPr>
          <w:p>
            <w:pPr>
              <w:spacing w:after="0"/>
              <w:rPr>
                <w:sz w:val="20"/>
                <w:szCs w:val="20"/>
                <w:color w:val="auto"/>
              </w:rPr>
            </w:pP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500" w:type="dxa"/>
            <w:vAlign w:val="bottom"/>
          </w:tcPr>
          <w:p>
            <w:pPr>
              <w:jc w:val="right"/>
              <w:ind w:right="59"/>
              <w:spacing w:after="0"/>
              <w:rPr>
                <w:sz w:val="20"/>
                <w:szCs w:val="20"/>
                <w:color w:val="auto"/>
              </w:rPr>
            </w:pPr>
            <w:r>
              <w:rPr>
                <w:rFonts w:ascii="Arial" w:cs="Arial" w:eastAsia="Arial" w:hAnsi="Arial"/>
                <w:sz w:val="16"/>
                <w:szCs w:val="16"/>
                <w:color w:val="auto"/>
              </w:rPr>
              <w:t>61.1</w:t>
            </w:r>
          </w:p>
        </w:tc>
        <w:tc>
          <w:tcPr>
            <w:tcW w:w="640" w:type="dxa"/>
            <w:vAlign w:val="bottom"/>
          </w:tcPr>
          <w:p>
            <w:pPr>
              <w:spacing w:after="0"/>
              <w:rPr>
                <w:sz w:val="22"/>
                <w:szCs w:val="22"/>
                <w:color w:val="auto"/>
              </w:rPr>
            </w:pPr>
          </w:p>
        </w:tc>
        <w:tc>
          <w:tcPr>
            <w:tcW w:w="1020" w:type="dxa"/>
            <w:vAlign w:val="bottom"/>
          </w:tcPr>
          <w:p>
            <w:pPr>
              <w:jc w:val="right"/>
              <w:ind w:right="117"/>
              <w:spacing w:after="0"/>
              <w:rPr>
                <w:sz w:val="20"/>
                <w:szCs w:val="20"/>
                <w:color w:val="auto"/>
              </w:rPr>
            </w:pPr>
            <w:r>
              <w:rPr>
                <w:rFonts w:ascii="Arial" w:cs="Arial" w:eastAsia="Arial" w:hAnsi="Arial"/>
                <w:sz w:val="16"/>
                <w:szCs w:val="16"/>
                <w:color w:val="auto"/>
              </w:rPr>
              <w:t>97.0</w:t>
            </w:r>
          </w:p>
        </w:tc>
        <w:tc>
          <w:tcPr>
            <w:tcW w:w="6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1020" w:type="dxa"/>
            <w:vAlign w:val="bottom"/>
          </w:tcPr>
          <w:p>
            <w:pPr>
              <w:jc w:val="right"/>
              <w:ind w:right="117"/>
              <w:spacing w:after="0"/>
              <w:rPr>
                <w:sz w:val="20"/>
                <w:szCs w:val="20"/>
                <w:color w:val="auto"/>
              </w:rPr>
            </w:pPr>
            <w:r>
              <w:rPr>
                <w:rFonts w:ascii="Arial" w:cs="Arial" w:eastAsia="Arial" w:hAnsi="Arial"/>
                <w:sz w:val="16"/>
                <w:szCs w:val="16"/>
                <w:color w:val="auto"/>
              </w:rPr>
              <w:t>50.0</w:t>
            </w:r>
          </w:p>
        </w:tc>
        <w:tc>
          <w:tcPr>
            <w:tcW w:w="6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00" w:type="dxa"/>
            <w:vAlign w:val="bottom"/>
          </w:tcPr>
          <w:p>
            <w:pPr>
              <w:jc w:val="right"/>
              <w:spacing w:after="0"/>
              <w:rPr>
                <w:sz w:val="20"/>
                <w:szCs w:val="20"/>
                <w:color w:val="auto"/>
              </w:rPr>
            </w:pPr>
            <w:r>
              <w:rPr>
                <w:rFonts w:ascii="Arial" w:cs="Arial" w:eastAsia="Arial" w:hAnsi="Arial"/>
                <w:sz w:val="16"/>
                <w:szCs w:val="16"/>
                <w:color w:val="auto"/>
              </w:rPr>
              <w:t>(2.7)</w:t>
            </w:r>
          </w:p>
        </w:tc>
        <w:tc>
          <w:tcPr>
            <w:tcW w:w="640" w:type="dxa"/>
            <w:vAlign w:val="bottom"/>
          </w:tcPr>
          <w:p>
            <w:pPr>
              <w:spacing w:after="0"/>
              <w:rPr>
                <w:sz w:val="23"/>
                <w:szCs w:val="23"/>
                <w:color w:val="auto"/>
              </w:rPr>
            </w:pPr>
          </w:p>
        </w:tc>
        <w:tc>
          <w:tcPr>
            <w:tcW w:w="1020" w:type="dxa"/>
            <w:vAlign w:val="bottom"/>
          </w:tcPr>
          <w:p>
            <w:pPr>
              <w:jc w:val="right"/>
              <w:ind w:right="77"/>
              <w:spacing w:after="0"/>
              <w:rPr>
                <w:sz w:val="20"/>
                <w:szCs w:val="20"/>
                <w:color w:val="auto"/>
              </w:rPr>
            </w:pPr>
            <w:r>
              <w:rPr>
                <w:rFonts w:ascii="Arial" w:cs="Arial" w:eastAsia="Arial" w:hAnsi="Arial"/>
                <w:sz w:val="16"/>
                <w:szCs w:val="16"/>
                <w:color w:val="auto"/>
              </w:rPr>
              <w:t>(51.0)</w:t>
            </w:r>
          </w:p>
        </w:tc>
        <w:tc>
          <w:tcPr>
            <w:tcW w:w="6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500" w:type="dxa"/>
            <w:vAlign w:val="bottom"/>
          </w:tcPr>
          <w:p>
            <w:pPr>
              <w:jc w:val="right"/>
              <w:spacing w:after="0"/>
              <w:rPr>
                <w:sz w:val="20"/>
                <w:szCs w:val="20"/>
                <w:color w:val="auto"/>
              </w:rPr>
            </w:pPr>
            <w:r>
              <w:rPr>
                <w:rFonts w:ascii="Arial" w:cs="Arial" w:eastAsia="Arial" w:hAnsi="Arial"/>
                <w:sz w:val="16"/>
                <w:szCs w:val="16"/>
                <w:color w:val="auto"/>
                <w:w w:val="95"/>
              </w:rPr>
              <w:t>(10.9)</w:t>
            </w:r>
          </w:p>
        </w:tc>
        <w:tc>
          <w:tcPr>
            <w:tcW w:w="640" w:type="dxa"/>
            <w:vAlign w:val="bottom"/>
          </w:tcPr>
          <w:p>
            <w:pPr>
              <w:spacing w:after="0"/>
              <w:rPr>
                <w:sz w:val="23"/>
                <w:szCs w:val="23"/>
                <w:color w:val="auto"/>
              </w:rPr>
            </w:pPr>
          </w:p>
        </w:tc>
        <w:tc>
          <w:tcPr>
            <w:tcW w:w="1020" w:type="dxa"/>
            <w:vAlign w:val="bottom"/>
          </w:tcPr>
          <w:p>
            <w:pPr>
              <w:jc w:val="right"/>
              <w:ind w:right="117"/>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1020" w:type="dxa"/>
            <w:vAlign w:val="bottom"/>
          </w:tcPr>
          <w:p>
            <w:pPr>
              <w:jc w:val="right"/>
              <w:ind w:right="77"/>
              <w:spacing w:after="0"/>
              <w:rPr>
                <w:sz w:val="20"/>
                <w:szCs w:val="20"/>
                <w:color w:val="auto"/>
              </w:rPr>
            </w:pPr>
            <w:r>
              <w:rPr>
                <w:rFonts w:ascii="Arial" w:cs="Arial" w:eastAsia="Arial" w:hAnsi="Arial"/>
                <w:sz w:val="16"/>
                <w:szCs w:val="16"/>
                <w:color w:val="auto"/>
              </w:rPr>
              <w:t>(2.5)</w:t>
            </w:r>
          </w:p>
        </w:tc>
        <w:tc>
          <w:tcPr>
            <w:tcW w:w="6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6"/>
        </w:trPr>
        <w:tc>
          <w:tcPr>
            <w:tcW w:w="500" w:type="dxa"/>
            <w:vAlign w:val="bottom"/>
          </w:tcPr>
          <w:p>
            <w:pPr>
              <w:jc w:val="right"/>
              <w:spacing w:after="0"/>
              <w:rPr>
                <w:sz w:val="20"/>
                <w:szCs w:val="20"/>
                <w:color w:val="auto"/>
              </w:rPr>
            </w:pPr>
            <w:r>
              <w:rPr>
                <w:rFonts w:ascii="Arial" w:cs="Arial" w:eastAsia="Arial" w:hAnsi="Arial"/>
                <w:sz w:val="16"/>
                <w:szCs w:val="16"/>
                <w:color w:val="auto"/>
                <w:w w:val="95"/>
              </w:rPr>
              <w:t>(22.1)</w:t>
            </w:r>
          </w:p>
        </w:tc>
        <w:tc>
          <w:tcPr>
            <w:tcW w:w="640" w:type="dxa"/>
            <w:vAlign w:val="bottom"/>
          </w:tcPr>
          <w:p>
            <w:pPr>
              <w:spacing w:after="0"/>
              <w:rPr>
                <w:sz w:val="24"/>
                <w:szCs w:val="24"/>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53"/>
        </w:trPr>
        <w:tc>
          <w:tcPr>
            <w:tcW w:w="50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640" w:type="dxa"/>
            <w:vAlign w:val="bottom"/>
          </w:tcPr>
          <w:p>
            <w:pPr>
              <w:spacing w:after="0"/>
              <w:rPr>
                <w:sz w:val="24"/>
                <w:szCs w:val="24"/>
                <w:color w:val="auto"/>
              </w:rPr>
            </w:pPr>
          </w:p>
        </w:tc>
        <w:tc>
          <w:tcPr>
            <w:tcW w:w="1020" w:type="dxa"/>
            <w:vAlign w:val="bottom"/>
          </w:tcPr>
          <w:p>
            <w:pPr>
              <w:jc w:val="right"/>
              <w:ind w:right="117"/>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6"/>
        </w:trPr>
        <w:tc>
          <w:tcPr>
            <w:tcW w:w="500" w:type="dxa"/>
            <w:vAlign w:val="bottom"/>
          </w:tcPr>
          <w:p>
            <w:pPr>
              <w:jc w:val="right"/>
              <w:spacing w:after="0"/>
              <w:rPr>
                <w:sz w:val="20"/>
                <w:szCs w:val="20"/>
                <w:color w:val="auto"/>
              </w:rPr>
            </w:pPr>
            <w:r>
              <w:rPr>
                <w:rFonts w:ascii="Arial" w:cs="Arial" w:eastAsia="Arial" w:hAnsi="Arial"/>
                <w:sz w:val="16"/>
                <w:szCs w:val="16"/>
                <w:color w:val="auto"/>
              </w:rPr>
              <w:t>(0.7)</w:t>
            </w:r>
          </w:p>
        </w:tc>
        <w:tc>
          <w:tcPr>
            <w:tcW w:w="640" w:type="dxa"/>
            <w:vAlign w:val="bottom"/>
          </w:tcPr>
          <w:p>
            <w:pPr>
              <w:spacing w:after="0"/>
              <w:rPr>
                <w:sz w:val="24"/>
                <w:szCs w:val="24"/>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7"/>
        </w:trPr>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406"/>
        </w:trPr>
        <w:tc>
          <w:tcPr>
            <w:tcW w:w="500" w:type="dxa"/>
            <w:vAlign w:val="bottom"/>
          </w:tcPr>
          <w:p>
            <w:pPr>
              <w:jc w:val="right"/>
              <w:ind w:right="59"/>
              <w:spacing w:after="0"/>
              <w:rPr>
                <w:sz w:val="20"/>
                <w:szCs w:val="20"/>
                <w:color w:val="auto"/>
              </w:rPr>
            </w:pPr>
            <w:r>
              <w:rPr>
                <w:rFonts w:ascii="Arial" w:cs="Arial" w:eastAsia="Arial" w:hAnsi="Arial"/>
                <w:sz w:val="16"/>
                <w:szCs w:val="16"/>
                <w:color w:val="auto"/>
                <w:w w:val="84"/>
              </w:rPr>
              <w:t>452.4</w:t>
            </w:r>
          </w:p>
        </w:tc>
        <w:tc>
          <w:tcPr>
            <w:tcW w:w="640" w:type="dxa"/>
            <w:vAlign w:val="bottom"/>
          </w:tcPr>
          <w:p>
            <w:pPr>
              <w:spacing w:after="0"/>
              <w:rPr>
                <w:sz w:val="24"/>
                <w:szCs w:val="24"/>
                <w:color w:val="auto"/>
              </w:rPr>
            </w:pPr>
          </w:p>
        </w:tc>
        <w:tc>
          <w:tcPr>
            <w:tcW w:w="1020" w:type="dxa"/>
            <w:vAlign w:val="bottom"/>
          </w:tcPr>
          <w:p>
            <w:pPr>
              <w:jc w:val="right"/>
              <w:ind w:right="117"/>
              <w:spacing w:after="0"/>
              <w:rPr>
                <w:sz w:val="20"/>
                <w:szCs w:val="20"/>
                <w:color w:val="auto"/>
              </w:rPr>
            </w:pPr>
            <w:r>
              <w:rPr>
                <w:rFonts w:ascii="Arial" w:cs="Arial" w:eastAsia="Arial" w:hAnsi="Arial"/>
                <w:sz w:val="16"/>
                <w:szCs w:val="16"/>
                <w:color w:val="auto"/>
              </w:rPr>
              <w:t>90.9</w:t>
            </w: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500" w:type="dxa"/>
            <w:vAlign w:val="bottom"/>
          </w:tcPr>
          <w:p>
            <w:pPr>
              <w:jc w:val="right"/>
              <w:ind w:right="59"/>
              <w:spacing w:after="0"/>
              <w:rPr>
                <w:sz w:val="20"/>
                <w:szCs w:val="20"/>
                <w:color w:val="auto"/>
              </w:rPr>
            </w:pPr>
            <w:r>
              <w:rPr>
                <w:rFonts w:ascii="Arial" w:cs="Arial" w:eastAsia="Arial" w:hAnsi="Arial"/>
                <w:sz w:val="16"/>
                <w:szCs w:val="16"/>
                <w:color w:val="auto"/>
              </w:rPr>
              <w:t>62.0</w:t>
            </w:r>
          </w:p>
        </w:tc>
        <w:tc>
          <w:tcPr>
            <w:tcW w:w="640" w:type="dxa"/>
            <w:vAlign w:val="bottom"/>
          </w:tcPr>
          <w:p>
            <w:pPr>
              <w:spacing w:after="0"/>
              <w:rPr>
                <w:sz w:val="20"/>
                <w:szCs w:val="20"/>
                <w:color w:val="auto"/>
              </w:rPr>
            </w:pPr>
          </w:p>
        </w:tc>
        <w:tc>
          <w:tcPr>
            <w:tcW w:w="1020" w:type="dxa"/>
            <w:vAlign w:val="bottom"/>
          </w:tcPr>
          <w:p>
            <w:pPr>
              <w:jc w:val="right"/>
              <w:ind w:right="77"/>
              <w:spacing w:after="0"/>
              <w:rPr>
                <w:sz w:val="20"/>
                <w:szCs w:val="20"/>
                <w:color w:val="auto"/>
              </w:rPr>
            </w:pPr>
            <w:r>
              <w:rPr>
                <w:rFonts w:ascii="Arial" w:cs="Arial" w:eastAsia="Arial" w:hAnsi="Arial"/>
                <w:sz w:val="16"/>
                <w:szCs w:val="16"/>
                <w:color w:val="auto"/>
              </w:rPr>
              <w:t>(21.9)</w:t>
            </w:r>
          </w:p>
        </w:tc>
        <w:tc>
          <w:tcPr>
            <w:tcW w:w="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70"/>
        </w:trPr>
        <w:tc>
          <w:tcPr>
            <w:tcW w:w="500" w:type="dxa"/>
            <w:vAlign w:val="bottom"/>
          </w:tcPr>
          <w:p>
            <w:pPr>
              <w:jc w:val="right"/>
              <w:spacing w:after="0"/>
              <w:rPr>
                <w:sz w:val="20"/>
                <w:szCs w:val="20"/>
                <w:color w:val="auto"/>
              </w:rPr>
            </w:pPr>
            <w:r>
              <w:rPr>
                <w:rFonts w:ascii="Arial" w:cs="Arial" w:eastAsia="Arial" w:hAnsi="Arial"/>
                <w:sz w:val="16"/>
                <w:szCs w:val="16"/>
                <w:color w:val="auto"/>
              </w:rPr>
              <w:t>(2.7)</w:t>
            </w:r>
          </w:p>
        </w:tc>
        <w:tc>
          <w:tcPr>
            <w:tcW w:w="640" w:type="dxa"/>
            <w:vAlign w:val="bottom"/>
          </w:tcPr>
          <w:p>
            <w:pPr>
              <w:spacing w:after="0"/>
              <w:rPr>
                <w:sz w:val="23"/>
                <w:szCs w:val="23"/>
                <w:color w:val="auto"/>
              </w:rPr>
            </w:pPr>
          </w:p>
        </w:tc>
        <w:tc>
          <w:tcPr>
            <w:tcW w:w="1020" w:type="dxa"/>
            <w:vAlign w:val="bottom"/>
          </w:tcPr>
          <w:p>
            <w:pPr>
              <w:jc w:val="right"/>
              <w:ind w:right="117"/>
              <w:spacing w:after="0"/>
              <w:rPr>
                <w:sz w:val="20"/>
                <w:szCs w:val="20"/>
                <w:color w:val="auto"/>
              </w:rPr>
            </w:pPr>
            <w:r>
              <w:rPr>
                <w:rFonts w:ascii="Arial" w:cs="Arial" w:eastAsia="Arial" w:hAnsi="Arial"/>
                <w:sz w:val="16"/>
                <w:szCs w:val="16"/>
                <w:color w:val="auto"/>
              </w:rPr>
              <w:t>1.3</w:t>
            </w:r>
          </w:p>
        </w:tc>
        <w:tc>
          <w:tcPr>
            <w:tcW w:w="6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500" w:type="dxa"/>
            <w:vAlign w:val="bottom"/>
          </w:tcPr>
          <w:p>
            <w:pPr>
              <w:jc w:val="right"/>
              <w:spacing w:after="0"/>
              <w:rPr>
                <w:sz w:val="20"/>
                <w:szCs w:val="20"/>
                <w:color w:val="auto"/>
              </w:rPr>
            </w:pPr>
            <w:r>
              <w:rPr>
                <w:rFonts w:ascii="Arial" w:cs="Arial" w:eastAsia="Arial" w:hAnsi="Arial"/>
                <w:sz w:val="16"/>
                <w:szCs w:val="16"/>
                <w:color w:val="auto"/>
              </w:rPr>
              <w:t>(0.5)</w:t>
            </w:r>
          </w:p>
        </w:tc>
        <w:tc>
          <w:tcPr>
            <w:tcW w:w="640" w:type="dxa"/>
            <w:vAlign w:val="bottom"/>
          </w:tcPr>
          <w:p>
            <w:pPr>
              <w:spacing w:after="0"/>
              <w:rPr>
                <w:sz w:val="23"/>
                <w:szCs w:val="23"/>
                <w:color w:val="auto"/>
              </w:rPr>
            </w:pPr>
          </w:p>
        </w:tc>
        <w:tc>
          <w:tcPr>
            <w:tcW w:w="1020" w:type="dxa"/>
            <w:vAlign w:val="bottom"/>
          </w:tcPr>
          <w:p>
            <w:pPr>
              <w:jc w:val="right"/>
              <w:ind w:right="117"/>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500" w:type="dxa"/>
            <w:vAlign w:val="bottom"/>
          </w:tcPr>
          <w:p>
            <w:pPr>
              <w:jc w:val="right"/>
              <w:ind w:right="59"/>
              <w:spacing w:after="0"/>
              <w:rPr>
                <w:sz w:val="20"/>
                <w:szCs w:val="20"/>
                <w:color w:val="auto"/>
              </w:rPr>
            </w:pPr>
            <w:r>
              <w:rPr>
                <w:rFonts w:ascii="Arial" w:cs="Arial" w:eastAsia="Arial" w:hAnsi="Arial"/>
                <w:sz w:val="16"/>
                <w:szCs w:val="16"/>
                <w:color w:val="auto"/>
              </w:rPr>
              <w:t>58.8</w:t>
            </w:r>
          </w:p>
        </w:tc>
        <w:tc>
          <w:tcPr>
            <w:tcW w:w="640" w:type="dxa"/>
            <w:vAlign w:val="bottom"/>
          </w:tcPr>
          <w:p>
            <w:pPr>
              <w:spacing w:after="0"/>
              <w:rPr>
                <w:sz w:val="20"/>
                <w:szCs w:val="20"/>
                <w:color w:val="auto"/>
              </w:rPr>
            </w:pPr>
          </w:p>
        </w:tc>
        <w:tc>
          <w:tcPr>
            <w:tcW w:w="1020" w:type="dxa"/>
            <w:vAlign w:val="bottom"/>
          </w:tcPr>
          <w:p>
            <w:pPr>
              <w:jc w:val="right"/>
              <w:ind w:right="77"/>
              <w:spacing w:after="0"/>
              <w:rPr>
                <w:sz w:val="20"/>
                <w:szCs w:val="20"/>
                <w:color w:val="auto"/>
              </w:rPr>
            </w:pPr>
            <w:r>
              <w:rPr>
                <w:rFonts w:ascii="Arial" w:cs="Arial" w:eastAsia="Arial" w:hAnsi="Arial"/>
                <w:sz w:val="16"/>
                <w:szCs w:val="16"/>
                <w:color w:val="auto"/>
              </w:rPr>
              <w:t>(20.6)</w:t>
            </w:r>
          </w:p>
        </w:tc>
        <w:tc>
          <w:tcPr>
            <w:tcW w:w="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70"/>
        </w:trPr>
        <w:tc>
          <w:tcPr>
            <w:tcW w:w="500" w:type="dxa"/>
            <w:vAlign w:val="bottom"/>
          </w:tcPr>
          <w:p>
            <w:pPr>
              <w:jc w:val="right"/>
              <w:ind w:right="59"/>
              <w:spacing w:after="0"/>
              <w:rPr>
                <w:sz w:val="20"/>
                <w:szCs w:val="20"/>
                <w:color w:val="auto"/>
              </w:rPr>
            </w:pPr>
            <w:r>
              <w:rPr>
                <w:rFonts w:ascii="Arial" w:cs="Arial" w:eastAsia="Arial" w:hAnsi="Arial"/>
                <w:sz w:val="16"/>
                <w:szCs w:val="16"/>
                <w:color w:val="auto"/>
              </w:rPr>
              <w:t>10.8</w:t>
            </w:r>
          </w:p>
        </w:tc>
        <w:tc>
          <w:tcPr>
            <w:tcW w:w="640" w:type="dxa"/>
            <w:vAlign w:val="bottom"/>
          </w:tcPr>
          <w:p>
            <w:pPr>
              <w:spacing w:after="0"/>
              <w:rPr>
                <w:sz w:val="23"/>
                <w:szCs w:val="23"/>
                <w:color w:val="auto"/>
              </w:rPr>
            </w:pPr>
          </w:p>
        </w:tc>
        <w:tc>
          <w:tcPr>
            <w:tcW w:w="1020" w:type="dxa"/>
            <w:vAlign w:val="bottom"/>
          </w:tcPr>
          <w:p>
            <w:pPr>
              <w:jc w:val="right"/>
              <w:ind w:right="117"/>
              <w:spacing w:after="0"/>
              <w:rPr>
                <w:sz w:val="20"/>
                <w:szCs w:val="20"/>
                <w:color w:val="auto"/>
              </w:rPr>
            </w:pPr>
            <w:r>
              <w:rPr>
                <w:rFonts w:ascii="Arial" w:cs="Arial" w:eastAsia="Arial" w:hAnsi="Arial"/>
                <w:sz w:val="16"/>
                <w:szCs w:val="16"/>
                <w:color w:val="auto"/>
              </w:rPr>
              <w:t>69.6</w:t>
            </w:r>
          </w:p>
        </w:tc>
        <w:tc>
          <w:tcPr>
            <w:tcW w:w="6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49.0</w:t>
            </w:r>
          </w:p>
        </w:tc>
      </w:tr>
      <w:tr>
        <w:trPr>
          <w:trHeight w:val="33"/>
        </w:trPr>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500" w:type="dxa"/>
            <w:vAlign w:val="bottom"/>
          </w:tcPr>
          <w:p>
            <w:pPr>
              <w:jc w:val="right"/>
              <w:ind w:right="59"/>
              <w:spacing w:after="0"/>
              <w:rPr>
                <w:sz w:val="20"/>
                <w:szCs w:val="20"/>
                <w:color w:val="auto"/>
              </w:rPr>
            </w:pPr>
            <w:r>
              <w:rPr>
                <w:rFonts w:ascii="Arial" w:cs="Arial" w:eastAsia="Arial" w:hAnsi="Arial"/>
                <w:sz w:val="16"/>
                <w:szCs w:val="16"/>
                <w:color w:val="auto"/>
              </w:rPr>
              <w:t>69.6</w:t>
            </w:r>
          </w:p>
        </w:tc>
        <w:tc>
          <w:tcPr>
            <w:tcW w:w="6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7"/>
              <w:spacing w:after="0"/>
              <w:rPr>
                <w:sz w:val="20"/>
                <w:szCs w:val="20"/>
                <w:color w:val="auto"/>
              </w:rPr>
            </w:pPr>
            <w:r>
              <w:rPr>
                <w:rFonts w:ascii="Arial" w:cs="Arial" w:eastAsia="Arial" w:hAnsi="Arial"/>
                <w:sz w:val="16"/>
                <w:szCs w:val="16"/>
                <w:color w:val="auto"/>
              </w:rPr>
              <w:t>49.0</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55.7</w:t>
            </w:r>
          </w:p>
        </w:tc>
      </w:tr>
      <w:tr>
        <w:trPr>
          <w:trHeight w:val="33"/>
        </w:trPr>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-18415</wp:posOffset>
            </wp:positionV>
            <wp:extent cx="19551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-655320</wp:posOffset>
            </wp:positionH>
            <wp:positionV relativeFrom="paragraph">
              <wp:posOffset>-198120</wp:posOffset>
            </wp:positionV>
            <wp:extent cx="19551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-655320</wp:posOffset>
            </wp:positionH>
            <wp:positionV relativeFrom="paragraph">
              <wp:posOffset>-549910</wp:posOffset>
            </wp:positionV>
            <wp:extent cx="19551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-655320</wp:posOffset>
            </wp:positionH>
            <wp:positionV relativeFrom="paragraph">
              <wp:posOffset>-1364615</wp:posOffset>
            </wp:positionV>
            <wp:extent cx="19551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900" w:orient="portrait"/>
          <w:cols w:equalWidth="0" w:num="2">
            <w:col w:w="5480" w:space="720"/>
            <w:col w:w="4019"/>
          </w:cols>
          <w:pgMar w:left="240" w:top="125" w:right="1440" w:bottom="0" w:gutter="0" w:footer="0" w:header="0"/>
          <w:type w:val="continuous"/>
        </w:sectPr>
      </w:pPr>
    </w:p>
    <w:bookmarkStart w:id="80" w:name="page81"/>
    <w:bookmarkEnd w:id="80"/>
    <w:p>
      <w:pPr>
        <w:ind w:left="40"/>
        <w:spacing w:after="0"/>
        <w:rPr>
          <w:sz w:val="20"/>
          <w:szCs w:val="20"/>
          <w:color w:val="auto"/>
        </w:rPr>
      </w:pPr>
      <w:r>
        <w:rPr>
          <w:rFonts w:ascii="Arial" w:cs="Arial" w:eastAsia="Arial" w:hAnsi="Arial"/>
          <w:sz w:val="16"/>
          <w:szCs w:val="16"/>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631190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11900" cy="17145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60" w:type="dxa"/>
            <w:vAlign w:val="bottom"/>
          </w:tcPr>
          <w:p>
            <w:pPr>
              <w:ind w:left="200"/>
              <w:spacing w:after="0"/>
              <w:rPr>
                <w:sz w:val="20"/>
                <w:szCs w:val="20"/>
                <w:color w:val="auto"/>
              </w:rPr>
            </w:pPr>
            <w:r>
              <w:rPr>
                <w:rFonts w:ascii="Arial" w:cs="Arial" w:eastAsia="Arial" w:hAnsi="Arial"/>
                <w:sz w:val="16"/>
                <w:szCs w:val="16"/>
                <w:color w:val="auto"/>
              </w:rPr>
              <w:t>Cash paid during the year for interest</w:t>
            </w:r>
          </w:p>
        </w:tc>
        <w:tc>
          <w:tcPr>
            <w:tcW w:w="6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46.2</w:t>
            </w:r>
          </w:p>
        </w:tc>
        <w:tc>
          <w:tcPr>
            <w:tcW w:w="6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64.0</w:t>
            </w: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63.8</w:t>
            </w:r>
          </w:p>
        </w:tc>
      </w:tr>
      <w:tr>
        <w:trPr>
          <w:trHeight w:val="33"/>
        </w:trPr>
        <w:tc>
          <w:tcPr>
            <w:tcW w:w="5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cash paid during the year for income taxes</w:t>
            </w:r>
          </w:p>
        </w:tc>
        <w:tc>
          <w:tcPr>
            <w:tcW w:w="6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64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Common stock and stock options issued for acquisitions</w:t>
            </w:r>
          </w:p>
        </w:tc>
        <w:tc>
          <w:tcPr>
            <w:tcW w:w="6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111.6</w:t>
            </w:r>
          </w:p>
        </w:tc>
        <w:tc>
          <w:tcPr>
            <w:tcW w:w="64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c>
          <w:tcPr>
            <w:tcW w:w="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060" w:type="dxa"/>
            <w:vAlign w:val="bottom"/>
          </w:tcPr>
          <w:p>
            <w:pPr>
              <w:ind w:left="200"/>
              <w:spacing w:after="0"/>
              <w:rPr>
                <w:sz w:val="20"/>
                <w:szCs w:val="20"/>
                <w:color w:val="auto"/>
              </w:rPr>
            </w:pPr>
            <w:r>
              <w:rPr>
                <w:rFonts w:ascii="Arial" w:cs="Arial" w:eastAsia="Arial" w:hAnsi="Arial"/>
                <w:sz w:val="16"/>
                <w:szCs w:val="16"/>
                <w:color w:val="auto"/>
              </w:rPr>
              <w:t>Liability for contingent cash consideration</w:t>
            </w:r>
          </w:p>
        </w:tc>
        <w:tc>
          <w:tcPr>
            <w:tcW w:w="6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6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Supplemental disclosures of non-cash investing and financing transactions:</w:t>
            </w:r>
          </w:p>
        </w:tc>
        <w:tc>
          <w:tcPr>
            <w:tcW w:w="6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060" w:type="dxa"/>
            <w:vAlign w:val="bottom"/>
          </w:tcPr>
          <w:p>
            <w:pPr>
              <w:ind w:left="200"/>
              <w:spacing w:after="0"/>
              <w:rPr>
                <w:sz w:val="20"/>
                <w:szCs w:val="20"/>
                <w:color w:val="auto"/>
              </w:rPr>
            </w:pPr>
            <w:r>
              <w:rPr>
                <w:rFonts w:ascii="Arial" w:cs="Arial" w:eastAsia="Arial" w:hAnsi="Arial"/>
                <w:sz w:val="16"/>
                <w:szCs w:val="16"/>
                <w:color w:val="auto"/>
              </w:rPr>
              <w:t>Fair value of assets acquired in acquisitions</w:t>
            </w:r>
          </w:p>
        </w:tc>
        <w:tc>
          <w:tcPr>
            <w:tcW w:w="6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731.3</w:t>
            </w:r>
          </w:p>
        </w:tc>
        <w:tc>
          <w:tcPr>
            <w:tcW w:w="6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218.3</w:t>
            </w: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5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Liabilities assumed in acquisitions</w:t>
            </w:r>
          </w:p>
        </w:tc>
        <w:tc>
          <w:tcPr>
            <w:tcW w:w="6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197.2</w:t>
            </w:r>
          </w:p>
        </w:tc>
        <w:tc>
          <w:tcPr>
            <w:tcW w:w="6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w:t>
            </w:r>
          </w:p>
        </w:tc>
        <w:tc>
          <w:tcPr>
            <w:tcW w:w="7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jc w:val="center"/>
        <w:ind w:right="-1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0219"/>
          </w:cols>
          <w:pgMar w:left="240" w:top="130" w:right="1440"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22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00" w:lineRule="exact"/>
        <w:rPr>
          <w:sz w:val="20"/>
          <w:szCs w:val="20"/>
          <w:color w:val="auto"/>
        </w:rPr>
      </w:pPr>
    </w:p>
    <w:p>
      <w:pPr>
        <w:spacing w:after="0" w:line="34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Kratos Defense &amp; Security Solutions, Inc. (“Kratos” or the “Company”) is a specialized security technology business providing mission critical products, solutions and services for domestic and international customers, with its principal customers being agencies of the U.S. Government. Kratos' core capabilities are sophisticated engineering, manufacturing, technology development, and system integration, and test and evaluation offerings for national security platforms and programs. Its principal products and solutions are related to Command, Control, Communications, Computing, Combat</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Systems, Intelligence, Surveillance and Reconnaissance (“C5ISR”); design, engineer and manufacture specialized electronic components, subsystems and systems for electronic attack, electronic warfare, radar, and missile system platforms; integrated technology solutions for satellite communications; products and solutions for unmanned systems; products and services related to cybersecurity and cyberwarfare; products and solutions for ballistic missile defense; weapons systems trainers; advanced network engineering and information technology services; weapons systems lifecycle support and sustainment; military weapon range operations and technical services; and public safety, critical infrastructure security and surveillance systems.</w:t>
      </w:r>
    </w:p>
    <w:p>
      <w:pPr>
        <w:spacing w:after="0" w:line="163"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Company conducts most of its business with the U.S. Government (which includes foreign military sales) and performs work as the prime contractor, subcontractor, or preferred supplier. The Company also conducts business with local, state, and foreign governments and domestic and international commercial customers.</w:t>
      </w:r>
    </w:p>
    <w:p>
      <w:pPr>
        <w:spacing w:after="0" w:line="181" w:lineRule="exact"/>
        <w:rPr>
          <w:sz w:val="20"/>
          <w:szCs w:val="20"/>
          <w:color w:val="auto"/>
        </w:rPr>
      </w:pPr>
    </w:p>
    <w:p>
      <w:pPr>
        <w:ind w:firstLine="648"/>
        <w:spacing w:after="0" w:line="320" w:lineRule="auto"/>
        <w:rPr>
          <w:sz w:val="20"/>
          <w:szCs w:val="20"/>
          <w:color w:val="auto"/>
        </w:rPr>
      </w:pPr>
      <w:r>
        <w:rPr>
          <w:rFonts w:ascii="Arial" w:cs="Arial" w:eastAsia="Arial" w:hAnsi="Arial"/>
          <w:sz w:val="15"/>
          <w:szCs w:val="15"/>
          <w:color w:val="auto"/>
        </w:rPr>
        <w:t>The Company operates in two principal business segments: Kratos Government Solutions (“KGS”) and Public Safety &amp; Security (“PSS”). The Company organizes its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financial statements in this Annual Report on Form 10-K (this “Annual Report”) are presented in a manner consistent with the Company's operating structure. For additional information regarding the Company's operating segments, see Note 14 of the Notes to the Consolidated Financial Statements.</w:t>
      </w:r>
    </w:p>
    <w:p>
      <w:pPr>
        <w:spacing w:after="0" w:line="143"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 and Basis of Presentation</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Kratos and its wholly-owned subsidiaries, for which all intercompany transactions have been eliminated in consolidation.</w:t>
      </w:r>
    </w:p>
    <w:p>
      <w:pPr>
        <w:spacing w:after="0" w:line="170"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 xml:space="preserve">In June 2012, the Company committed to a plan to sell certain lines of business associated with antennas, satellite-cased products and fly-away terminals of the non-core businesses acquired in the Integral acquisition. In accordance with </w:t>
      </w:r>
      <w:r>
        <w:rPr>
          <w:rFonts w:ascii="Arial" w:cs="Arial" w:eastAsia="Arial" w:hAnsi="Arial"/>
          <w:sz w:val="17"/>
          <w:szCs w:val="17"/>
          <w:i w:val="1"/>
          <w:iCs w:val="1"/>
          <w:color w:val="auto"/>
        </w:rPr>
        <w:t>Financial Accounting Standards Board ("FASB")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Standards Codification ("ASC") Topic 205, Presentation of Financial Statements (“Topic 205”)</w:t>
      </w:r>
      <w:r>
        <w:rPr>
          <w:rFonts w:ascii="Arial" w:cs="Arial" w:eastAsia="Arial" w:hAnsi="Arial"/>
          <w:sz w:val="17"/>
          <w:szCs w:val="17"/>
          <w:color w:val="auto"/>
        </w:rPr>
        <w:t>, these businesses have been classified as held for sale and</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in discontinued operations in the accompanying Consolidated Financial Statements. See Note 9.</w:t>
      </w:r>
    </w:p>
    <w:p>
      <w:pPr>
        <w:spacing w:after="0" w:line="16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Fiscal Year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a 52/53 week fiscal year ending on the last Sunday of the calendar year, with interim fiscal periods ending on the last Sunday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each calendar quarter. There were 52 calendar weeks in the fiscal years ended on December 25, 2011 and December 29, 2013. There were 53 calendar weeks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fiscal year ended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30, 2012.</w:t>
      </w:r>
    </w:p>
    <w:p>
      <w:pPr>
        <w:spacing w:after="0" w:line="207"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20"/>
          </w:cols>
          <w:pgMar w:left="24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revenue recognition, allowance for doubtful accounts, warranties, inventory valuation, valuation of long-lived assets including identifiable intangibles and goodwill, accounting for income taxes including the related valuation allowance on the deferred tax asset and uncertain tax positions, contingencies and litigation, contingent acquisition consideration, stock-based compensation, losses on unused office space, and business combination purchase price allocations. In the future, the Company may realize actual results that differ from the current reported estimates and if the estimates that the Company has used change in the future, such changes could have a material impact on the Company's consolidated financial position, results of operations and cash flows.</w:t>
      </w:r>
    </w:p>
    <w:p>
      <w:pPr>
        <w:spacing w:after="0" w:line="15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Company generates its revenue from three different types of contractual arrangements: cost-plus-fee contracts, time-and-materials contracts, and fixed-price contracts. Revenue on cost-plus-fee contracts is recognized to the extent of allowable costs incurred plus an estimate of the applicable fees earned. The Company considers fees under cost-plus-fee contracts to be earned in proportion to the allowable costs incurred in performance of the contract and recognizes the relevant portion of the expected fee to be awarded by the customer at the time such fee can be reasonably estimated, based on factors such as its prior award experience and communications with the customer regarding performance, including any interim performance evaluations rendered by the customer. Revenue on time-and-materials contracts is recognized to the extent of billable rates times hours delivered for services provided, to the extent of material cost for products delivered to customers, and to the extent of expenses incurred on behalf of the customers.</w:t>
      </w:r>
    </w:p>
    <w:p>
      <w:pPr>
        <w:spacing w:after="0" w:line="16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 xml:space="preserve">The Company has three basic categories of fixed-price contracts: fixed unit price, fixed-price-level of effort, and fixed-price-completion. Revenue recognition methods on fixed-price contracts will vary depending on the nature of the work and the contract terms. Revenues on fixed-price service contracts are recorded as work is performed in accordance with </w:t>
      </w:r>
      <w:r>
        <w:rPr>
          <w:rFonts w:ascii="Arial" w:cs="Arial" w:eastAsia="Arial" w:hAnsi="Arial"/>
          <w:sz w:val="17"/>
          <w:szCs w:val="17"/>
          <w:i w:val="1"/>
          <w:iCs w:val="1"/>
          <w:color w:val="auto"/>
        </w:rPr>
        <w:t>ASC Topic 605, Revenue Recognition (“Topic 605”)</w:t>
      </w:r>
      <w:r>
        <w:rPr>
          <w:rFonts w:ascii="Arial" w:cs="Arial" w:eastAsia="Arial" w:hAnsi="Arial"/>
          <w:sz w:val="17"/>
          <w:szCs w:val="17"/>
          <w:color w:val="auto"/>
        </w:rPr>
        <w:t xml:space="preserve">, specifically </w:t>
      </w:r>
      <w:r>
        <w:rPr>
          <w:rFonts w:ascii="Arial" w:cs="Arial" w:eastAsia="Arial" w:hAnsi="Arial"/>
          <w:sz w:val="17"/>
          <w:szCs w:val="17"/>
          <w:i w:val="1"/>
          <w:iCs w:val="1"/>
          <w:color w:val="auto"/>
        </w:rPr>
        <w:t>Topic 605-10-S99</w:t>
      </w:r>
      <w:r>
        <w:rPr>
          <w:rFonts w:ascii="Arial" w:cs="Arial" w:eastAsia="Arial" w:hAnsi="Arial"/>
          <w:sz w:val="17"/>
          <w:szCs w:val="17"/>
          <w:color w:val="auto"/>
        </w:rPr>
        <w:t>, which generally requires revenue to be deferred until all of the following have occurred: (1) there is a contract in place; (2) delivery has occurred or services have been provided; (3) the price is fixed or determinable; and, (4) collectability is reasonably assured. Revenues on fixed-price contracts that require delivery of specific items may be recorded based on a price per unit as units are delivered. Revenue for fixed-price contracts in which the Company is paid a specific amount to provide services for a stated period of time is recognized ratably over the service period.</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On a portion of the fixed price-completion contracts, revenue is recognized in accordance with </w:t>
      </w:r>
      <w:r>
        <w:rPr>
          <w:rFonts w:ascii="Arial" w:cs="Arial" w:eastAsia="Arial" w:hAnsi="Arial"/>
          <w:sz w:val="18"/>
          <w:szCs w:val="18"/>
          <w:i w:val="1"/>
          <w:iCs w:val="1"/>
          <w:color w:val="auto"/>
        </w:rPr>
        <w:t>Topic 605</w:t>
      </w:r>
      <w:r>
        <w:rPr>
          <w:rFonts w:ascii="Arial" w:cs="Arial" w:eastAsia="Arial" w:hAnsi="Arial"/>
          <w:sz w:val="18"/>
          <w:szCs w:val="18"/>
          <w:color w:val="auto"/>
        </w:rPr>
        <w:t xml:space="preserve"> using the percentage-of-completion method based on the ratio of total costs incurred to date compared to estimated total costs to complete the contract. Estimates of costs to complete include material, direct labor, overhead, and allowable indirect expenses for government contracts. These cost estimates are reviewed and, if necessary, revised on a contract-by-contract basis. If, as a result of this review, management determines that a loss on a contract is evident, then the full amount of estimated loss is charged to operations in the period. As of December 30, 2012 and December 29, 2013, the provisions for losses on contracts were $4.2 million and $4.8 million, respectively.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certain instances, when the Company's customers have requested that it commence work prior to receipt of the contract award and funding and it has incurred costs related to that specific anticipated contract, and the Company believes recoverability of the costs is probable, it may defer those costs incurred until the associated contract has been awarded and funded by the customer.</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accounting for the Company's long-term contracts for production of products provided to the U.S. Government, the Company utilizes both cost-to-cost and units delivered measures under the percentage-of-completion method of accounting under the provisions of </w:t>
      </w:r>
      <w:r>
        <w:rPr>
          <w:rFonts w:ascii="Arial" w:cs="Arial" w:eastAsia="Arial" w:hAnsi="Arial"/>
          <w:sz w:val="18"/>
          <w:szCs w:val="18"/>
          <w:i w:val="1"/>
          <w:iCs w:val="1"/>
          <w:color w:val="auto"/>
        </w:rPr>
        <w:t>Topic 605</w:t>
      </w:r>
      <w:r>
        <w:rPr>
          <w:rFonts w:ascii="Arial" w:cs="Arial" w:eastAsia="Arial" w:hAnsi="Arial"/>
          <w:sz w:val="18"/>
          <w:szCs w:val="18"/>
          <w:color w:val="auto"/>
        </w:rPr>
        <w:t>. Under the units delivered measure of the percentage-of-completion method of accounting, sales are recognized as the units are accepted by the customer generally using sales values for units in accordance with the contract terms. The Company estimates profit as the difference between total estimated revenue and total estimated cost of a contract and recognizes that profit over the life of the contract based on units delivered or as computed on the basis of the estimated final average unit costs plus profit. The Company classifies contract revenues as product sales or service revenues depending upon the predominant attributes of the relevant underlying contracts.</w:t>
      </w:r>
    </w:p>
    <w:p>
      <w:pPr>
        <w:spacing w:after="0" w:line="18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Significant management judgments and estimates, including but not limited to the estimated costs to complete projects, must be made and used in connection with the revenue recognized in any accounting period. A cancellation, schedule delay, or modification of a fixed-price contract which is accounted for using the percentage-of-completion method may adversely affect the Company's gross margins for the period in which the contract is modified or canceled. Under certain circumstances, a cancellation or negative modification could result in the Company having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reverse revenue that was recognized in a prior period, thus significantly reducing the amount of revenues recognized for the period in which the adjustment is made. Correspondingly, a positive modification may positively affect gross margins. In addition, a schedule delay or modifications can result in an increase in estimated cost to complete the project, which would also result in an impact to gross margins. Material differences may result in the amount and timing of the Company's revenue for any period if management made different judgments or utilized different estimates.</w:t>
      </w:r>
    </w:p>
    <w:p>
      <w:pPr>
        <w:spacing w:after="0" w:line="17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It is the Company's policy to review any arrangement containing software or software deliverables and services against the criteria contained in </w:t>
      </w:r>
      <w:r>
        <w:rPr>
          <w:rFonts w:ascii="Arial" w:cs="Arial" w:eastAsia="Arial" w:hAnsi="Arial"/>
          <w:sz w:val="16"/>
          <w:szCs w:val="16"/>
          <w:i w:val="1"/>
          <w:iCs w:val="1"/>
          <w:color w:val="auto"/>
        </w:rPr>
        <w:t>ASC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985, Software (“Topic 985”). </w:t>
      </w:r>
      <w:r>
        <w:rPr>
          <w:rFonts w:ascii="Arial" w:cs="Arial" w:eastAsia="Arial" w:hAnsi="Arial"/>
          <w:sz w:val="16"/>
          <w:szCs w:val="16"/>
          <w:color w:val="auto"/>
        </w:rPr>
        <w:t>Under the provisions of</w:t>
      </w:r>
      <w:r>
        <w:rPr>
          <w:rFonts w:ascii="Arial" w:cs="Arial" w:eastAsia="Arial" w:hAnsi="Arial"/>
          <w:sz w:val="16"/>
          <w:szCs w:val="16"/>
          <w:i w:val="1"/>
          <w:iCs w:val="1"/>
          <w:color w:val="auto"/>
        </w:rPr>
        <w:t xml:space="preserve"> Topic 985</w:t>
      </w:r>
      <w:r>
        <w:rPr>
          <w:rFonts w:ascii="Arial" w:cs="Arial" w:eastAsia="Arial" w:hAnsi="Arial"/>
          <w:sz w:val="16"/>
          <w:szCs w:val="16"/>
          <w:color w:val="auto"/>
        </w:rPr>
        <w:t>, the Company reviews the contract value of software deliverables and services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determines allocations of the contract value based on vendor-specific objective evidence (“VSOE”) of fair value for each of the software elements. All software arrangements requiring significant production, modification, or customization of the software are accounted for in conformity with </w:t>
      </w:r>
      <w:r>
        <w:rPr>
          <w:rFonts w:ascii="Arial" w:cs="Arial" w:eastAsia="Arial" w:hAnsi="Arial"/>
          <w:sz w:val="16"/>
          <w:szCs w:val="16"/>
          <w:i w:val="1"/>
          <w:iCs w:val="1"/>
          <w:color w:val="auto"/>
        </w:rPr>
        <w:t>Topic 605</w:t>
      </w:r>
      <w:r>
        <w:rPr>
          <w:rFonts w:ascii="Arial" w:cs="Arial" w:eastAsia="Arial" w:hAnsi="Arial"/>
          <w:sz w:val="16"/>
          <w:szCs w:val="16"/>
          <w:color w:val="auto"/>
        </w:rPr>
        <w:t>.</w:t>
      </w:r>
    </w:p>
    <w:p>
      <w:pPr>
        <w:spacing w:after="0" w:line="154"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 xml:space="preserve">The Company's contracts may include the provision of more than one of its services (“multiple element arrangements”). In these situations, the Company applies the guidance of </w:t>
      </w:r>
      <w:r>
        <w:rPr>
          <w:rFonts w:ascii="Arial" w:cs="Arial" w:eastAsia="Arial" w:hAnsi="Arial"/>
          <w:sz w:val="18"/>
          <w:szCs w:val="18"/>
          <w:i w:val="1"/>
          <w:iCs w:val="1"/>
          <w:color w:val="auto"/>
        </w:rPr>
        <w:t>Topic 605</w:t>
      </w:r>
      <w:r>
        <w:rPr>
          <w:rFonts w:ascii="Arial" w:cs="Arial" w:eastAsia="Arial" w:hAnsi="Arial"/>
          <w:sz w:val="18"/>
          <w:szCs w:val="18"/>
          <w:color w:val="auto"/>
        </w:rPr>
        <w:t>. Accordingly, for applicable arrangements, revenue recognition includes the proper identification of separate units of accounting and the allocation of revenue across all elements based on relative fair values.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multiple element arrangements that include hardware products containing software essential to the hardware products' functionality, the Company allocates revenue to all deliverables based on their relative selling prices. In such circumstances, the Company uses a hierarchy to determine the selling price to be used for allocating revenue to deliverables: (i) VSOE, (ii) third-party evidence of selling price (“TPE”), and (iii) best estimate of the selling price (“ESP”).</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VSOE generally exists only when the Company sells the deliverable separately and is the price actually charged by the Company for that deliverable. TPE is determined based on competitor prices for similar deliverables when sold separately. Generally, the Company's offerings contain significant differentiation such that comparable pricing of products with similar functionality cannot be obtained. Furthermore, the Company is unable to reliably determine what similar competitor products' selling prices are on a stand-alone basis. Therefore, the Company typically is unable to obtain TPE of selling price. ESP reflects the Company's best estimates of what the selling prices of elements would be if they were sold regularly on a stand-alone basis. The Company determines ESP for a product or service by considering multiple factors including, but not limited to major product groupings, geographies, market conditions, competitive landscape, internal costs, gross margin objectives and pricing practices. The determination of ESP is made through consultation with management, taking into consideration the Company's marketing strategy.</w:t>
      </w:r>
    </w:p>
    <w:p>
      <w:pPr>
        <w:spacing w:after="0" w:line="17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The Company accounts for multiple element arrangements that consist only of software or software-related products, including the sale of upgrades to previously sold software, in accordance with industry specific software accounting guidance. For such transactions, revenue on arrangements that include multiple elements is allocated to each element based on the relative fair value of each element, and fair value is determined by VSOE. If the Company cannot objectively determine the fair value of any undelivered element included in such multiple element arrangements, the Company defers revenue until all elements are delivered and services have been performed, or until fair value can objectively be determined for any remaining undelivered elements. Under certain of the Company's contractual arrangements, the Company may also recognize revenue for out-of-pocket expenses in accordance with </w:t>
      </w:r>
      <w:r>
        <w:rPr>
          <w:rFonts w:ascii="Arial" w:cs="Arial" w:eastAsia="Arial" w:hAnsi="Arial"/>
          <w:sz w:val="17"/>
          <w:szCs w:val="17"/>
          <w:i w:val="1"/>
          <w:iCs w:val="1"/>
          <w:color w:val="auto"/>
        </w:rPr>
        <w:t>Topic 605.</w:t>
      </w:r>
      <w:r>
        <w:rPr>
          <w:rFonts w:ascii="Arial" w:cs="Arial" w:eastAsia="Arial" w:hAnsi="Arial"/>
          <w:sz w:val="17"/>
          <w:szCs w:val="17"/>
          <w:color w:val="auto"/>
        </w:rPr>
        <w:t xml:space="preserve"> Depending on the contractual arrangement, these expenses may be reimbursed with or without a fee.</w:t>
      </w:r>
    </w:p>
    <w:p>
      <w:pPr>
        <w:spacing w:after="0" w:line="17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Under certain of its contracts, the Company provides supplier procurement services and materials for its customers. The Company records revenue on these arrangements on a gross or net basis in accordance with </w:t>
      </w:r>
      <w:r>
        <w:rPr>
          <w:rFonts w:ascii="Arial" w:cs="Arial" w:eastAsia="Arial" w:hAnsi="Arial"/>
          <w:sz w:val="18"/>
          <w:szCs w:val="18"/>
          <w:i w:val="1"/>
          <w:iCs w:val="1"/>
          <w:color w:val="auto"/>
        </w:rPr>
        <w:t>Topic 605,</w:t>
      </w:r>
      <w:r>
        <w:rPr>
          <w:rFonts w:ascii="Arial" w:cs="Arial" w:eastAsia="Arial" w:hAnsi="Arial"/>
          <w:sz w:val="18"/>
          <w:szCs w:val="18"/>
          <w:color w:val="auto"/>
        </w:rPr>
        <w:t xml:space="preserve"> depending on the specific circumstances of the arrangement. The Company considers the following criteria, among others, for recording revenue on a gross or net basis:</w:t>
      </w:r>
    </w:p>
    <w:p>
      <w:pPr>
        <w:spacing w:after="0" w:line="181" w:lineRule="exact"/>
        <w:rPr>
          <w:sz w:val="20"/>
          <w:szCs w:val="20"/>
          <w:color w:val="auto"/>
        </w:rPr>
      </w:pPr>
    </w:p>
    <w:p>
      <w:pPr>
        <w:ind w:left="1100" w:hanging="471"/>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225" w:lineRule="exact"/>
        <w:rPr>
          <w:rFonts w:ascii="Arial" w:cs="Arial" w:eastAsia="Arial" w:hAnsi="Arial"/>
          <w:sz w:val="18"/>
          <w:szCs w:val="18"/>
          <w:color w:val="auto"/>
        </w:rPr>
      </w:pPr>
    </w:p>
    <w:p>
      <w:pPr>
        <w:ind w:left="1100" w:hanging="471"/>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225" w:lineRule="exact"/>
        <w:rPr>
          <w:rFonts w:ascii="Arial" w:cs="Arial" w:eastAsia="Arial" w:hAnsi="Arial"/>
          <w:sz w:val="18"/>
          <w:szCs w:val="18"/>
          <w:color w:val="auto"/>
        </w:rPr>
      </w:pPr>
    </w:p>
    <w:p>
      <w:pPr>
        <w:ind w:left="1100" w:hanging="471"/>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100" w:hanging="471"/>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225" w:lineRule="exact"/>
        <w:rPr>
          <w:rFonts w:ascii="Arial" w:cs="Arial" w:eastAsia="Arial" w:hAnsi="Arial"/>
          <w:sz w:val="18"/>
          <w:szCs w:val="18"/>
          <w:color w:val="auto"/>
        </w:rPr>
      </w:pPr>
    </w:p>
    <w:p>
      <w:pPr>
        <w:ind w:left="1100" w:hanging="471"/>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delivery.</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federal contracts, the Company follows U.S. Government procurement and accounting standards in assessing the allowability and the allocability of costs to contracts. Due to the significance of the judgments and estimation processes, it is likely that materially different amounts could be recorded if different assumptions were used or if the underlying circumstances were to change. The Company closely monitors the consistent application of its critical accounting policies and compliance with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the Company's personnel, and are subject to audit by the Defense Contract Audit Agency.</w:t>
      </w:r>
    </w:p>
    <w:p>
      <w:pPr>
        <w:spacing w:after="0" w:line="166"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From time to time, the Company may proceed with work based on customer direction prior to the completion and signing of formal contract documents. The Company has a formal review process for approving any such work. Revenue associated with such work is recognized only when it can be reliably estimated and realization is probable. The Company bases its estimates on previous experiences with the customer, communications with the customer regarding funding status, and its knowledge of available funding for the contract or program. As of December 30, 2012 and December 29, 2013, approximately $3.7 million and $3.7 million, respectively, of the Company's unbilled accounts receivable balance were under an authorization to proceed or work order from its customers where a formal purchase order had not yet been received.</w:t>
      </w:r>
    </w:p>
    <w:p>
      <w:pPr>
        <w:spacing w:after="0" w:line="17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Costs incurred for shipping and handling are included in cost of product sales at the time the related revenue is recognized. Amounts billed to a customer for shipping and handling are reported as revenue.</w:t>
      </w:r>
    </w:p>
    <w:p>
      <w:pPr>
        <w:spacing w:after="0" w:line="166"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Inventoried costs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Inventoried costs are stated at the lower of cost or market. Cost is determined using the average cost or first-in, first-out methods and the applicable method is applied consistently within an operating entity. Inventoried costs primarily relate to work under fixed-price contracts using the percentage-of-completion under the units of delivery method of revenue recognition. These costs represent accumulated contract costs less the portion of such costs allocated to delivered items. Accumulated contract costs include direct production costs, factory and engineering overhead and production tooling costs. Pursuant to contract provisions of U.S. Government contracts, such customers may have title to, or a security interest in inventories related to such contracts as a result of advances, performance-based payments, and progress payments. The Company reflects those advances and payments as an offset against the related inventory balances.</w:t>
      </w:r>
    </w:p>
    <w:p>
      <w:pPr>
        <w:spacing w:after="0" w:line="189"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000" w:firstLine="648"/>
        <w:spacing w:after="0" w:line="277" w:lineRule="auto"/>
        <w:rPr>
          <w:sz w:val="20"/>
          <w:szCs w:val="20"/>
          <w:color w:val="auto"/>
        </w:rPr>
      </w:pPr>
      <w:r>
        <w:rPr>
          <w:rFonts w:ascii="Arial" w:cs="Arial" w:eastAsia="Arial" w:hAnsi="Arial"/>
          <w:sz w:val="18"/>
          <w:szCs w:val="18"/>
          <w:color w:val="auto"/>
        </w:rPr>
        <w:t xml:space="preserve">Costs incurred in research and development activities are expensed as incurred in accordance with FASB </w:t>
      </w:r>
      <w:r>
        <w:rPr>
          <w:rFonts w:ascii="Arial" w:cs="Arial" w:eastAsia="Arial" w:hAnsi="Arial"/>
          <w:sz w:val="18"/>
          <w:szCs w:val="18"/>
          <w:i w:val="1"/>
          <w:iCs w:val="1"/>
          <w:color w:val="auto"/>
        </w:rPr>
        <w:t>ASC Topic 730, 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w:t>
      </w:r>
    </w:p>
    <w:p>
      <w:pPr>
        <w:spacing w:after="0" w:line="166"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54"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Company maintains a valuation allowance on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In accordance with the recognition standards established by </w:t>
      </w:r>
      <w:r>
        <w:rPr>
          <w:rFonts w:ascii="Arial" w:cs="Arial" w:eastAsia="Arial" w:hAnsi="Arial"/>
          <w:sz w:val="17"/>
          <w:szCs w:val="17"/>
          <w:i w:val="1"/>
          <w:iCs w:val="1"/>
          <w:color w:val="auto"/>
        </w:rPr>
        <w:t>ASC Topic 740, Income Taxes (“Topic 740”)</w:t>
      </w:r>
      <w:r>
        <w:rPr>
          <w:rFonts w:ascii="Arial" w:cs="Arial" w:eastAsia="Arial" w:hAnsi="Arial"/>
          <w:sz w:val="17"/>
          <w:szCs w:val="17"/>
          <w:color w:val="auto"/>
        </w:rPr>
        <w:t>, the Company makes a comprehensive review of its portfolio of uncertain tax positions regularly. In this regard, an uncertain tax position represents the Company's expected treatment of a tax position taken in a filed tax return, or planned to be taken in a future tax return or claim, which has not been reflected in measuring income tax expense for financial reporting purposes. Until these positions are sustained by the taxing authorities, the Company has not recognized the tax benefits resulting from such positions and reports the tax effects as a liability for uncertain tax positions in its Consolidated Balance Sheets.</w:t>
      </w:r>
    </w:p>
    <w:p>
      <w:pPr>
        <w:spacing w:after="0" w:line="169"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The Company accounts for stock-based compensation in accordance with </w:t>
      </w:r>
      <w:r>
        <w:rPr>
          <w:rFonts w:ascii="Arial" w:cs="Arial" w:eastAsia="Arial" w:hAnsi="Arial"/>
          <w:sz w:val="17"/>
          <w:szCs w:val="17"/>
          <w:i w:val="1"/>
          <w:iCs w:val="1"/>
          <w:color w:val="auto"/>
        </w:rPr>
        <w:t>ASC Topic 718, Compensation-Stock Compensation (“Topic 718”)</w:t>
      </w:r>
      <w:r>
        <w:rPr>
          <w:rFonts w:ascii="Arial" w:cs="Arial" w:eastAsia="Arial" w:hAnsi="Arial"/>
          <w:sz w:val="17"/>
          <w:szCs w:val="17"/>
          <w:color w:val="auto"/>
        </w:rPr>
        <w:t xml:space="preserve">. All of the Company's stock-based compensation plans are considered equity plans under </w:t>
      </w:r>
      <w:r>
        <w:rPr>
          <w:rFonts w:ascii="Arial" w:cs="Arial" w:eastAsia="Arial" w:hAnsi="Arial"/>
          <w:sz w:val="17"/>
          <w:szCs w:val="17"/>
          <w:i w:val="1"/>
          <w:iCs w:val="1"/>
          <w:color w:val="auto"/>
        </w:rPr>
        <w:t>Topic 718</w:t>
      </w:r>
      <w:r>
        <w:rPr>
          <w:rFonts w:ascii="Arial" w:cs="Arial" w:eastAsia="Arial" w:hAnsi="Arial"/>
          <w:sz w:val="17"/>
          <w:szCs w:val="17"/>
          <w:color w:val="auto"/>
        </w:rPr>
        <w:t>, and compensation expense recognized is net of estimated forfeitures over the vesting period. The Company issues stock options and stock awards under its existing plans. The fair value of stock options is estimated on the date of grant using a Black-Scholes option-pricing model or a trinomial lattice options pricing model and is expensed on a straight-line basis over the remaining vesting period of the options, which is generally six or less years. The fair value of stock awards is determined based on the closing market price of the Company's common stock on the grant date and is adjusted at each reporting date based on the amount of shares ultimately expected to vest. Compensation expense for stock awards is expensed over the vesting period, usually five to ten years. Compensation expense for stock issued under the Company's employee stock purchase plan is estimated at the beginning date of the offering period using a Black-Scholes option-pricing model and is expensed on a straight-line basis over the period of the offering, which is generally six months.</w:t>
      </w:r>
    </w:p>
    <w:p>
      <w:pPr>
        <w:spacing w:after="0" w:line="182"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For the years ended December 25, 2011, December 30, 2012 and December 29, 2013, there was no incremental tax benefit from stock options exercised in the periods. The Company recorded cash received from the exercise of stock options and awards of $1.3 million in 2011, and $0.0 million in 2012 and in 2013. The following table shows the amounts recognized in the Consolidated Financial Statements for 2011, 2012 and 2013 for stock-based compensation expense related to stock options, stock awards and to stock offered under the Company's employee stock purchase plan (in millions).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125" w:right="2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70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2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57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6800" w:type="dxa"/>
            <w:vAlign w:val="bottom"/>
            <w:gridSpan w:val="2"/>
          </w:tcPr>
          <w:p>
            <w:pPr>
              <w:ind w:left="40"/>
              <w:spacing w:after="0"/>
              <w:rPr>
                <w:sz w:val="20"/>
                <w:szCs w:val="20"/>
                <w:color w:val="auto"/>
              </w:rPr>
            </w:pPr>
            <w:r>
              <w:rPr>
                <w:rFonts w:ascii="Arial" w:cs="Arial" w:eastAsia="Arial" w:hAnsi="Arial"/>
                <w:sz w:val="18"/>
                <w:szCs w:val="18"/>
                <w:color w:val="auto"/>
                <w:w w:val="93"/>
              </w:rPr>
              <w:t>Total cost of employee stock-based compensation included in operating income (loss) from</w:t>
            </w:r>
          </w:p>
        </w:tc>
        <w:tc>
          <w:tcPr>
            <w:tcW w:w="8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6800" w:type="dxa"/>
            <w:vAlign w:val="bottom"/>
            <w:gridSpan w:val="2"/>
          </w:tcPr>
          <w:p>
            <w:pPr>
              <w:ind w:left="40"/>
              <w:spacing w:after="0"/>
              <w:rPr>
                <w:sz w:val="20"/>
                <w:szCs w:val="20"/>
                <w:color w:val="auto"/>
              </w:rPr>
            </w:pPr>
            <w:r>
              <w:rPr>
                <w:rFonts w:ascii="Arial" w:cs="Arial" w:eastAsia="Arial" w:hAnsi="Arial"/>
                <w:sz w:val="18"/>
                <w:szCs w:val="18"/>
                <w:color w:val="auto"/>
              </w:rPr>
              <w:t>continuing operations, before income tax</w:t>
            </w:r>
          </w:p>
        </w:tc>
        <w:tc>
          <w:tcPr>
            <w:tcW w:w="84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6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charged against operations</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0" w:type="dxa"/>
            <w:vAlign w:val="bottom"/>
            <w:gridSpan w:val="2"/>
            <w:vMerge w:val="restart"/>
          </w:tcPr>
          <w:p>
            <w:pPr>
              <w:ind w:left="40"/>
              <w:spacing w:after="0"/>
              <w:rPr>
                <w:sz w:val="20"/>
                <w:szCs w:val="20"/>
                <w:color w:val="auto"/>
              </w:rPr>
            </w:pPr>
            <w:r>
              <w:rPr>
                <w:rFonts w:ascii="Arial" w:cs="Arial" w:eastAsia="Arial" w:hAnsi="Arial"/>
                <w:sz w:val="18"/>
                <w:szCs w:val="18"/>
                <w:color w:val="auto"/>
              </w:rPr>
              <w:t>Impact on net income (loss) per common share:</w:t>
            </w: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 w:type="dxa"/>
            <w:vAlign w:val="bottom"/>
          </w:tcPr>
          <w:p>
            <w:pPr>
              <w:spacing w:after="0"/>
              <w:rPr>
                <w:sz w:val="20"/>
                <w:szCs w:val="20"/>
                <w:color w:val="auto"/>
              </w:rPr>
            </w:pPr>
          </w:p>
        </w:tc>
        <w:tc>
          <w:tcPr>
            <w:tcW w:w="6800" w:type="dxa"/>
            <w:vAlign w:val="bottom"/>
            <w:gridSpan w:val="2"/>
            <w:vMerge w:val="continue"/>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6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Arial" w:cs="Arial" w:eastAsia="Arial" w:hAnsi="Arial"/>
                <w:sz w:val="18"/>
                <w:szCs w:val="18"/>
                <w:b w:val="1"/>
                <w:bCs w:val="1"/>
                <w:color w:val="auto"/>
              </w:rPr>
              <w:t>(j)</w:t>
            </w:r>
          </w:p>
        </w:tc>
        <w:tc>
          <w:tcPr>
            <w:tcW w:w="680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Allowance for Doubtful Accounts</w:t>
            </w: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20" w:type="dxa"/>
            <w:vAlign w:val="bottom"/>
            <w:vMerge w:val="continue"/>
          </w:tcPr>
          <w:p>
            <w:pPr>
              <w:spacing w:after="0"/>
              <w:rPr>
                <w:sz w:val="24"/>
                <w:szCs w:val="24"/>
                <w:color w:val="auto"/>
              </w:rPr>
            </w:pPr>
          </w:p>
        </w:tc>
        <w:tc>
          <w:tcPr>
            <w:tcW w:w="68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648"/>
        <w:spacing w:after="0" w:line="270" w:lineRule="auto"/>
        <w:rPr>
          <w:sz w:val="20"/>
          <w:szCs w:val="20"/>
          <w:color w:val="auto"/>
        </w:rPr>
      </w:pPr>
      <w:r>
        <w:rPr>
          <w:rFonts w:ascii="Arial" w:cs="Arial" w:eastAsia="Arial" w:hAnsi="Arial"/>
          <w:sz w:val="17"/>
          <w:szCs w:val="17"/>
          <w:color w:val="auto"/>
        </w:rPr>
        <w:t>The Company maintains an allowance for doubtful accounts for estimated losses resulting from the inability of its customers to make required payments, which results in bad debt expense. Management periodically determines the adequacy of this allowance by evaluating the comprehensive risk profiles of all individual customer receivable balances including, but not limited to, the customer's financial condition, credit agency reports, financial statements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collectability and records allowances for doubtful accounts when deemed appropriate, based on its assessment of the associated credit risks. Changes to estimates of contract value are recorded as adjustments to revenue and not as a component of the allowance for doubtful accounts. Individual accounts receivable are written off to the allowance for doubtful accounts when the Company becomes aware of a specific customer's inability to meet its financial obligation, and all collection efforts are exhausted.</w:t>
      </w:r>
    </w:p>
    <w:p>
      <w:pPr>
        <w:spacing w:after="0" w:line="18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outlines the balance of the Company's Allowance for Doubtful Accounts for 2011, 2012 and 2013. The table identifies the additional provisions each year as well as the write-offs that utilized the allowance (in millions).</w:t>
      </w:r>
    </w:p>
    <w:p>
      <w:pPr>
        <w:spacing w:after="0" w:line="3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Allowance for Doubtful Accounts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 at</w:t>
            </w: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Provisions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Write-</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Balance at End</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Beginning of Year</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offs/Recoveries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8"/>
                <w:szCs w:val="18"/>
                <w:color w:val="auto"/>
              </w:rPr>
              <w:t>Year ended December 25, 2011</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Year ended December 30, 2012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Year ended December 29, 2013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Company's cash equivalents consist of its highly liquid investments with an original maturity of three months or less when purchased by the Company.</w:t>
      </w:r>
    </w:p>
    <w:p>
      <w:pPr>
        <w:spacing w:after="0" w:line="170"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The Company has restricted cash accounts of approximately $5.5 million at December 30, 2012 and $5.0 million at December 29, 2013. As of December 30, 2012 and December 29, 2013, restricted cash consists primarily of a deposit securing foreign letters of credit related to payment and performance bonds on international contracts.</w:t>
      </w:r>
    </w:p>
    <w:p>
      <w:pPr>
        <w:spacing w:after="0" w:line="17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Property and equipment, net owned by the Company is depreciated over the estimated useful lives of individual assets. Equipment and facilities acquired under capital leases are amortized over the shorter of the lease term or the estimated useful life of the asset. Improvements, which significantly improve and extend the useful life of an asset, are capitalized and depreciated over the shorter of the lease period or the estimated useful life. Expenditures for maintenance and repairs are charged to operations as incurred.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are depreciated predominately using the straight-line method, with the following lives: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108"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2240" w:type="dxa"/>
        <w:tblCellMar>
          <w:top w:w="0" w:type="dxa"/>
          <w:left w:w="0" w:type="dxa"/>
          <w:bottom w:w="0" w:type="dxa"/>
          <w:right w:w="0" w:type="dxa"/>
        </w:tblCellMar>
      </w:tblPr>
      <w:tr>
        <w:trPr>
          <w:trHeight w:val="192"/>
        </w:trPr>
        <w:tc>
          <w:tcPr>
            <w:tcW w:w="4600" w:type="dxa"/>
            <w:vAlign w:val="bottom"/>
            <w:tcBorders>
              <w:bottom w:val="single" w:sz="8" w:color="CCEEFF"/>
            </w:tcBorders>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15 - 39</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3 - 10</w:t>
            </w:r>
          </w:p>
        </w:tc>
      </w:tr>
      <w:tr>
        <w:trPr>
          <w:trHeight w:val="27"/>
        </w:trPr>
        <w:tc>
          <w:tcPr>
            <w:tcW w:w="46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1 - 10</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Vehicles, furniture, and office equipment</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7"/>
        </w:trPr>
        <w:tc>
          <w:tcPr>
            <w:tcW w:w="46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29"/>
        </w:trPr>
        <w:tc>
          <w:tcPr>
            <w:tcW w:w="46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Shorter of useful life or length</w:t>
            </w:r>
          </w:p>
        </w:tc>
      </w:tr>
      <w:tr>
        <w:trPr>
          <w:trHeight w:val="230"/>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of lease</w:t>
            </w:r>
          </w:p>
        </w:tc>
      </w:tr>
      <w:tr>
        <w:trPr>
          <w:trHeight w:val="27"/>
        </w:trPr>
        <w:tc>
          <w:tcPr>
            <w:tcW w:w="460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Company uses its incremental borrowing rate in the assessment of lease classification as capital or operating and defines the initial lease term to include renewal options determined to be reasonably assured. The Company conducts operations primarily under operating leases.</w:t>
      </w:r>
    </w:p>
    <w:p>
      <w:pPr>
        <w:spacing w:after="0" w:line="14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Most lease agreements for real property contain incentives for tenant improvements, rent holidays, or rent escalation clauses. For incentives for tenant improvements, the Company capitalizes the leasehold improvements which are depreciated over the shorter of the lease term or their estimated useful life and records a deferred rent liability which is amortized over the term of the lease as a reduction to rent expense. For rent holidays and rent escalation clauses during the lease term, the Company records minimum rental expenses on a straight-line basis over the term of the lease. For purposes of recognizing lease incentives, the Company uses the date of initial possession as the commencement date, which is generally when the Company is given the right of access to the space and begins to make improvements in preparation for intended use.</w:t>
      </w:r>
    </w:p>
    <w:p>
      <w:pPr>
        <w:spacing w:after="0" w:line="174"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 xml:space="preserve">The Company accounts for business combinations using the acquisition method of accounting as prescribed by </w:t>
      </w:r>
      <w:r>
        <w:rPr>
          <w:rFonts w:ascii="Arial" w:cs="Arial" w:eastAsia="Arial" w:hAnsi="Arial"/>
          <w:sz w:val="16"/>
          <w:szCs w:val="16"/>
          <w:i w:val="1"/>
          <w:iCs w:val="1"/>
          <w:color w:val="auto"/>
        </w:rPr>
        <w:t>ASC Topic 805,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(“Topic 805”)</w:t>
      </w:r>
      <w:r>
        <w:rPr>
          <w:rFonts w:ascii="Arial" w:cs="Arial" w:eastAsia="Arial" w:hAnsi="Arial"/>
          <w:sz w:val="16"/>
          <w:szCs w:val="16"/>
          <w:color w:val="auto"/>
        </w:rPr>
        <w:t>. The Company allocates the purchase price of its acquisitions to the tangible and intangible assets, and liabilities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contingent liabilities acquired based upon their estimated fair values. The excess of purchase price over those fair values is recorded as goodwill. Acquisition-related expenses and restructuring costs are recognized separately from the business combination and are expensed as incurred.</w:t>
      </w:r>
    </w:p>
    <w:p>
      <w:pPr>
        <w:spacing w:after="0" w:line="150"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Net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accordance with the provisions of </w:t>
      </w:r>
      <w:r>
        <w:rPr>
          <w:rFonts w:ascii="Arial" w:cs="Arial" w:eastAsia="Arial" w:hAnsi="Arial"/>
          <w:sz w:val="18"/>
          <w:szCs w:val="18"/>
          <w:i w:val="1"/>
          <w:iCs w:val="1"/>
          <w:color w:val="auto"/>
        </w:rPr>
        <w:t>ASC Topic 350, Intangibles-Goodwill and Other (“Topic 350”)</w:t>
      </w:r>
      <w:r>
        <w:rPr>
          <w:rFonts w:ascii="Arial" w:cs="Arial" w:eastAsia="Arial" w:hAnsi="Arial"/>
          <w:sz w:val="18"/>
          <w:szCs w:val="18"/>
          <w:color w:val="auto"/>
        </w:rPr>
        <w:t>, the Company performs impairment tests for goodwill as of the last day of each fiscal year, or when evidence of potential impairment exists. When it is determined that impairment has occurred, a charge to operations is recorded. Goodwill and other purchased intangible asset balances are included in the identifiable assets of the operating segment to which they have been assigned. Any goodwill impairment, as well as the amortization of other purchased intangible assets, is charged against the respective segments' operating income.</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the Company classifies intangible assets into three categories: (1) intangible assets with finite lives subject to amortization, (2) intangible assets with indefinite lives not subject to amortization, and (3) goodwill. The Company tests intangible assets with finite lives for impairment if conditions exist that indicate the carrying value may not be recoverable. Such conditions may include an economic downturn in a geographic market or a change in the assessment of future operations. The Company records an impairment charge when the carrying value of the finite lived intangible asset is not recoverable by the cash flows generated from the use of the asset.</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which could impact the useful life of the asset, and other economic factors, including competition and specific market conditions. Intangible assets that are deemed to have finite lives are amortized, generally on a straight-line basis, over their useful lives, ranging from one to 15 years.</w:t>
      </w:r>
    </w:p>
    <w:p>
      <w:pPr>
        <w:spacing w:after="0" w:line="184" w:lineRule="exact"/>
        <w:rPr>
          <w:sz w:val="20"/>
          <w:szCs w:val="20"/>
          <w:color w:val="auto"/>
        </w:rPr>
      </w:pPr>
    </w:p>
    <w:p>
      <w:pPr>
        <w:ind w:left="5540" w:right="5120" w:hanging="5532"/>
        <w:spacing w:after="0" w:line="664" w:lineRule="auto"/>
        <w:tabs>
          <w:tab w:leader="none" w:pos="404"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Impairment of Long-Lived Assets and Long-Lived Assets to Be Disposed Of </w:t>
      </w:r>
      <w:r>
        <w:rPr>
          <w:rFonts w:ascii="Arial" w:cs="Arial" w:eastAsia="Arial" w:hAnsi="Arial"/>
          <w:sz w:val="16"/>
          <w:szCs w:val="16"/>
          <w:color w:val="auto"/>
        </w:rPr>
        <w:t>F-14</w:t>
      </w:r>
    </w:p>
    <w:p>
      <w:pPr>
        <w:sectPr>
          <w:pgSz w:w="11900" w:h="16838" w:orient="portrait"/>
          <w:cols w:equalWidth="0" w:num="1">
            <w:col w:w="11340"/>
          </w:cols>
          <w:pgMar w:left="240" w:top="125" w:right="31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Long-lived assets and certain identifiable intangibles are reviewed for impairment in accordance with </w:t>
      </w:r>
      <w:r>
        <w:rPr>
          <w:rFonts w:ascii="Arial" w:cs="Arial" w:eastAsia="Arial" w:hAnsi="Arial"/>
          <w:sz w:val="16"/>
          <w:szCs w:val="16"/>
          <w:i w:val="1"/>
          <w:iCs w:val="1"/>
          <w:color w:val="auto"/>
        </w:rPr>
        <w:t>ASC Topic 360, 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whenever events or changes in circumstances indicate that the carrying amount of an asset may not be recoverable. Recoverability of assets to be</w:t>
      </w:r>
      <w:r>
        <w:rPr>
          <w:rFonts w:ascii="Arial" w:cs="Arial" w:eastAsia="Arial" w:hAnsi="Arial"/>
          <w:sz w:val="16"/>
          <w:szCs w:val="16"/>
          <w:i w:val="1"/>
          <w:iCs w:val="1"/>
          <w:color w:val="auto"/>
        </w:rPr>
        <w:t xml:space="preserve"> </w:t>
      </w:r>
      <w:r>
        <w:rPr>
          <w:rFonts w:ascii="Arial" w:cs="Arial" w:eastAsia="Arial" w:hAnsi="Arial"/>
          <w:sz w:val="16"/>
          <w:szCs w:val="16"/>
          <w:color w:val="auto"/>
        </w:rPr>
        <w:t>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54"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ASC Topic 825, Financial Instruments, </w:t>
      </w:r>
      <w:r>
        <w:rPr>
          <w:rFonts w:ascii="Arial" w:cs="Arial" w:eastAsia="Arial" w:hAnsi="Arial"/>
          <w:sz w:val="18"/>
          <w:szCs w:val="18"/>
          <w:color w:val="auto"/>
        </w:rPr>
        <w:t>requires that fair values be disclosed for the Company's financial instruments. The carrying amounts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accounts receivable, accounts payable, accrued expenses, billings in excess of costs and earnings on uncompleted contracts, and income taxes payable, approximate fair value due to the short-term nature of these instruments. The fair value of the Company's long-term debt is based upon actual trading activity. The fair value of capital lease obligations is estimated based on quoted market prices for the same or similar obligations with the same remaining maturities.</w:t>
      </w:r>
    </w:p>
    <w:p>
      <w:pPr>
        <w:spacing w:after="0" w:line="184"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Uncertainties</w:t>
      </w:r>
    </w:p>
    <w:p>
      <w:pPr>
        <w:spacing w:after="0" w:line="22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U.S.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13 for a discussion of the Company's significant customers.</w:t>
      </w:r>
    </w:p>
    <w:p>
      <w:pPr>
        <w:spacing w:after="0" w:line="40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(s)</w:t>
      </w:r>
      <w:r>
        <w:rPr>
          <w:sz w:val="20"/>
          <w:szCs w:val="20"/>
          <w:color w:val="auto"/>
        </w:rPr>
        <w:tab/>
      </w:r>
      <w:r>
        <w:rPr>
          <w:rFonts w:ascii="Arial" w:cs="Arial" w:eastAsia="Arial" w:hAnsi="Arial"/>
          <w:sz w:val="15"/>
          <w:szCs w:val="15"/>
          <w:b w:val="1"/>
          <w:bCs w:val="1"/>
          <w:color w:val="auto"/>
        </w:rPr>
        <w:t>Debt Issuance Costs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Fees paid to obtain debt financing or amendments under such debt financing are treated as debt issuance costs and are capitalized and amortized over the expected term of the related debt. These payments are shown as a financing activity in the Consolidated Statements of Cash Flows and are included in other current assets and other assets in the Consolidated Balance Sheets.</w:t>
      </w:r>
    </w:p>
    <w:p>
      <w:pPr>
        <w:spacing w:after="0" w:line="177"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Interest Expense, Net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Interest expense, net in the Consolidated Statements of Operations and Comprehensive Loss is summarized in the following table (in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incurred primarily on the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Company's Senior Secured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720" w:type="dxa"/>
            <w:vAlign w:val="bottom"/>
          </w:tcPr>
          <w:p>
            <w:pPr>
              <w:ind w:left="40"/>
              <w:spacing w:after="0"/>
              <w:rPr>
                <w:sz w:val="20"/>
                <w:szCs w:val="20"/>
                <w:color w:val="auto"/>
              </w:rPr>
            </w:pPr>
            <w:r>
              <w:rPr>
                <w:rFonts w:ascii="Arial" w:cs="Arial" w:eastAsia="Arial" w:hAnsi="Arial"/>
                <w:sz w:val="18"/>
                <w:szCs w:val="18"/>
                <w:color w:val="auto"/>
              </w:rPr>
              <w:t>Miscellaneous interest income</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18"/>
                <w:szCs w:val="18"/>
                <w:b w:val="1"/>
                <w:bCs w:val="1"/>
                <w:color w:val="auto"/>
              </w:rPr>
              <w:t>(u)</w:t>
            </w:r>
          </w:p>
        </w:tc>
        <w:tc>
          <w:tcPr>
            <w:tcW w:w="700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Foreign Currency</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0" w:type="dxa"/>
            <w:vAlign w:val="bottom"/>
            <w:vMerge w:val="continue"/>
          </w:tcPr>
          <w:p>
            <w:pPr>
              <w:spacing w:after="0"/>
              <w:rPr>
                <w:sz w:val="24"/>
                <w:szCs w:val="24"/>
                <w:color w:val="auto"/>
              </w:rPr>
            </w:pPr>
          </w:p>
        </w:tc>
        <w:tc>
          <w:tcPr>
            <w:tcW w:w="70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For operations outside the U.S. that prepare financial statements in currencies other than the U.S. dollar, results of operations and cash flows are translated at average exchange rates during the period, and assets and liabilities are generally translated at end-of-period exchange rates. Translation adjustments are included as a separate component of accumulated other comprehensive loss in the Consolidated Statements Of Stockholders' Equity.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transacts with foreign customers in currencies other than the U.S. dollar. It experiences realized and unrealized foreign currency gains or losses on foreign denominated receivables. In addition, certain intercompany transactions give rise to realized and unrealized foreign currency gains or losses. Also, any other transactions between the Company or its subsidiaries and a third-party, denominated in a currency different from the functional currency, are foreign currency transactions.</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aggregate foreign currency transaction loss included in determining net loss for the years ended December 25, 2011, December 30, 2012, and December 29, 2013 was approximately $0.5 million, $0.6 million, and $0.0 million, respectively, which is included in other income (expense), net on the accompanying Consolidated Statements of Operations and Comprehensive Loss.</w:t>
      </w:r>
    </w:p>
    <w:p>
      <w:pPr>
        <w:spacing w:after="0" w:line="177"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Certain of the Company's products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8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5"/>
          <w:szCs w:val="15"/>
          <w:b w:val="1"/>
          <w:bCs w:val="1"/>
          <w:color w:val="auto"/>
        </w:rPr>
        <w:t>Recent Accounting Pronouncements</w:t>
      </w:r>
    </w:p>
    <w:p>
      <w:pPr>
        <w:spacing w:after="0" w:line="229"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In July 2013, the FASB issued Accounting Standards Update 2013-11 ("ASU 2013-11") "Presentation of an Unrecognized Tax Benefit When a Net Operating Loss Carryforward, a Similar Tax Loss, or a Tax Credit Carryforward Exists," which states that an unrecognized tax benefit, or a portion of an unrecognized tax benefit, should be presented in the financial statements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The amendments in this ASU are effective for fiscal years, and interim periods within those years, beginning after December 15, 2013. The Company does not believe that the adoption of this guidance will have a material impact on its consolidated financial statements.</w:t>
      </w:r>
    </w:p>
    <w:p>
      <w:pPr>
        <w:spacing w:after="0" w:line="16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February 2013, the FASB issued ASU 2013-02 "Comprehensive Income: Reporting of Amounts Reclassified Out of Accumulated Other Comprehensive Income," which requires entities to provide information about the amounts reclassified out of accumulated other comprehensive income by component. In addition, entities are required to present, either on the face of the statement where net income is presented or in the notes, significant amounts reclassified out of accumulated other comprehensive income by the respective line items of net income but only if the amount is required under GAAP to be reclassified to net income in its entirety in the same reporting period. For other amounts that are not required under GAAP to be reclassified in their entirety to net income, entities are required to cross-reference to other disclosures required under GAAP that provide additional detail on these amounts. This standard is effective prospectively for reporting periods beginning after December 15, 2012. The Company adopted this standard in the quarter ended March 31, 2013, which did not have a material impact on its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w:t>
      </w:r>
    </w:p>
    <w:p>
      <w:pPr>
        <w:spacing w:after="0" w:line="225"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The Company performs its annual impairment test for goodwill 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xml:space="preserve"> as of the last day of each fiscal year or when evidence of potential impairment exists.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125"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For its annual assessments in 2011 and 2012, the Company identified its reporting units to be its KGS and PSS operating segments.</w:t>
      </w:r>
    </w:p>
    <w:p>
      <w:pPr>
        <w:spacing w:after="0" w:line="158"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As a result of an internal organizational realignment in August 2013 the Company reorganized its KGS operating segment. As a result of this reorganization, the Company has six divisions comprised of Unmanned Combat Aerial Systems (UCAS) Division, Advanced Drones &amp; Target Systems (ADTS) Division, Modular Systems (MS) Division, Defense and Rocket Support Services (DRSS) Division, Technical and Training Solutions (TTS) Division, and Electronic Products (EP) Division. The Company has identified its reporting units to be the ADTS, DRSS, EP, MS, TTS and UCAS divisions within its KGS reportable segment, and the PSS operating segment to be tested for potential impairment in its fiscal year 2013 annual test.</w:t>
      </w:r>
    </w:p>
    <w:p>
      <w:pPr>
        <w:spacing w:after="0" w:line="11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In order to test for potential impairment, the Company estimates the fair value of each of its reporting units based on a comparison and weighting of the income approach, specifically the discounted cash flow method and the market approach, which estimates the fair value of the Company's reporting units based upon comparable market prices and recent transactions and also validates the reasonableness of the implied multiples from the income approach. The Company reconciles the fair value of its reporting units to its market capitalization by calculating its market capitalization based upon an average of its stock price prior to and subsequent to the date the Company performs its analysis and assuming a control premium. The Company uses these methodologies to determine the fair value of its reporting units for comparison to their corresponding book values because there are no observable inputs available, a Level 3 measurement (See note 10). If the book value exceeds the estimated fair value for a reporting unit a potential impairment is indicated, and </w:t>
      </w:r>
      <w:r>
        <w:rPr>
          <w:rFonts w:ascii="Arial" w:cs="Arial" w:eastAsia="Arial" w:hAnsi="Arial"/>
          <w:sz w:val="17"/>
          <w:szCs w:val="17"/>
          <w:i w:val="1"/>
          <w:iCs w:val="1"/>
          <w:color w:val="auto"/>
        </w:rPr>
        <w:t>Topic 350</w:t>
      </w:r>
      <w:r>
        <w:rPr>
          <w:rFonts w:ascii="Arial" w:cs="Arial" w:eastAsia="Arial" w:hAnsi="Arial"/>
          <w:sz w:val="17"/>
          <w:szCs w:val="17"/>
          <w:color w:val="auto"/>
        </w:rPr>
        <w:t xml:space="preserve"> prescribes the approach for determining the impairment amount, if any.</w:t>
      </w:r>
    </w:p>
    <w:p>
      <w:pPr>
        <w:spacing w:after="0" w:line="179"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As a result of the Company's decision in June 2012 to dispose of certain non-core businesses acquired in the Integral acquisition in July 2011, the Company allocated $1.5 million of goodwill to discontinued operations, which resulted in an impairment charge (see Note 9). The Company then tested the goodwill remaining in the KGS reporting unit. The fair value of the KGS reporting unit exceeded its carrying value by 7.4% at that time.</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During the fourth quarter of 2012, the KGS reporting unit was impacted by continued declining market valuations and the economic uncertainty in the U.S. defense industry. Congress was unable to agree on a budget that conformed with the Budget Control Act of 2011 requirements, which called for additional substantial defense spending reductions through sequestration. Congress and the President could not agree on budgetary, tax and spending issues, and as a result a FY 2013 budget was not passed and a six-month continuing resolution that funded the U.S. Government through March 27, 2013 was passed. These events significantly increased the likelihood of the sequester occurring which had negative consequences for the defense industry. In addition, as Congress and the Administration could not come to an agreement on terms of a possible national fiscal approach, they also failed to address other fiscal matters such as the debt ceiling. These events negatively impacted the Company's 2012 annual estimate of the fair value of the KGS reporting unit resulting in the book value of KGS exceeding its fair value in step one of the impairment test.</w:t>
      </w:r>
    </w:p>
    <w:p>
      <w:pPr>
        <w:spacing w:after="0" w:line="1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performed the second step of the goodwill impairment test to measure the amount of the impairment loss, if any, of the KGS reporting unit. The second step of the test requires the allocation of the reporting unit's fair value to its assets and liabilities, including any unrecognized intangible assets, in a hypothetical analysis that calculates the implied fair value of goodwill as if the reporting unit was being acquired in a business combination. If the implied fair value of goodwill is less than the carrying value, the difference is recorded as an impairment loss. Based on the results of the step two analysis, the Company recorded an $82.0 million goodwill impairment in 2012.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29, 2013, the goodwill of the PSS and KGS reportable segments were $35.6 million and $560.8 million, respectively.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changes in the carrying amount of goodwill for the years ended December 30, 2012 and December 29, 2013 are as follows (in millions):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Public</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Kratos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Safety &amp;</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Government</w:t>
            </w:r>
          </w:p>
        </w:tc>
        <w:tc>
          <w:tcPr>
            <w:tcW w:w="280" w:type="dxa"/>
            <w:vAlign w:val="bottom"/>
          </w:tcPr>
          <w:p>
            <w:pPr>
              <w:spacing w:after="0"/>
              <w:rPr>
                <w:sz w:val="12"/>
                <w:szCs w:val="12"/>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Security</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Solutions</w:t>
            </w: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25, 2011</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Additions due to business combinations</w:t>
            </w:r>
          </w:p>
        </w:tc>
        <w:tc>
          <w:tcPr>
            <w:tcW w:w="22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37"/>
        </w:trPr>
        <w:tc>
          <w:tcPr>
            <w:tcW w:w="6840" w:type="dxa"/>
            <w:vAlign w:val="bottom"/>
          </w:tcPr>
          <w:p>
            <w:pPr>
              <w:ind w:left="40"/>
              <w:spacing w:after="0"/>
              <w:rPr>
                <w:sz w:val="20"/>
                <w:szCs w:val="20"/>
                <w:color w:val="auto"/>
              </w:rPr>
            </w:pPr>
            <w:r>
              <w:rPr>
                <w:rFonts w:ascii="Arial" w:cs="Arial" w:eastAsia="Arial" w:hAnsi="Arial"/>
                <w:sz w:val="18"/>
                <w:szCs w:val="18"/>
                <w:color w:val="auto"/>
              </w:rPr>
              <w:t>Balance as of December 30, 2012</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Retrospective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6840" w:type="dxa"/>
            <w:vAlign w:val="bottom"/>
          </w:tcPr>
          <w:p>
            <w:pPr>
              <w:ind w:left="40"/>
              <w:spacing w:after="0"/>
              <w:rPr>
                <w:sz w:val="20"/>
                <w:szCs w:val="20"/>
                <w:color w:val="auto"/>
              </w:rPr>
            </w:pPr>
            <w:r>
              <w:rPr>
                <w:rFonts w:ascii="Arial" w:cs="Arial" w:eastAsia="Arial" w:hAnsi="Arial"/>
                <w:sz w:val="18"/>
                <w:szCs w:val="18"/>
                <w:color w:val="auto"/>
              </w:rPr>
              <w:t>Balance as of December 30, 2012 after retrospective adjustments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2013 transactions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840" w:type="dxa"/>
            <w:vAlign w:val="bottom"/>
          </w:tcPr>
          <w:p>
            <w:pPr>
              <w:ind w:left="40"/>
              <w:spacing w:after="0"/>
              <w:rPr>
                <w:sz w:val="20"/>
                <w:szCs w:val="20"/>
                <w:color w:val="auto"/>
              </w:rPr>
            </w:pPr>
            <w:r>
              <w:rPr>
                <w:rFonts w:ascii="Arial" w:cs="Arial" w:eastAsia="Arial" w:hAnsi="Arial"/>
                <w:sz w:val="18"/>
                <w:szCs w:val="18"/>
                <w:color w:val="auto"/>
              </w:rPr>
              <w:t>Balance as of December 29, 2013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accumulated impairment losses as of December 29, 2013 were $247.4 million, of which $229.1 million was associated with the KGS reportable segment and $18.3 million was associated with the PSS reportable segment.</w:t>
      </w:r>
    </w:p>
    <w:p>
      <w:pPr>
        <w:spacing w:after="0" w:line="166"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Purchased Intangible Assets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information for acquired finite-lived and indefinite-lived intangible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30, 2012</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0"/>
              </w:rPr>
              <w:t>As of December 29, 2013</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2"/>
        </w:trPr>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3"/>
                <w:szCs w:val="13"/>
                <w:color w:val="auto"/>
              </w:rPr>
            </w:pPr>
          </w:p>
        </w:tc>
        <w:tc>
          <w:tcPr>
            <w:tcW w:w="9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3"/>
                <w:szCs w:val="13"/>
                <w:color w:val="auto"/>
              </w:rPr>
            </w:pPr>
          </w:p>
        </w:tc>
        <w:tc>
          <w:tcPr>
            <w:tcW w:w="9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88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Value</w:t>
            </w:r>
          </w:p>
        </w:tc>
      </w:tr>
      <w:tr>
        <w:trPr>
          <w:trHeight w:val="236"/>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97.7</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44.0</w:t>
            </w: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w w:val="98"/>
              </w:rPr>
              <w:t>Developed technology and technical know-how</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13.5</w:t>
            </w: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Favorable operating lease</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finite-lived intangible assets</w:t>
            </w: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Acquired indefinite-lived intangible assets</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Total indefinite-lived intangible assets</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w:t>
            </w: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reviews intangible assets for impairment whenever events or changes in circumstances indicate that the carrying amount of the asset may not be recoverable. Impairment losses, where identified, are determined as the excess of the carrying value over the estimated fair value of the long-lived asset. The recoverability of the carrying value of assets held for use is assessed based on a review of projected undiscounted cash flows. Prior to conducting step one of the 2012 goodwill impairment test, certain of the long-lived assets were assessed for recoverability. During 2012 the Company made the decision to minimize the use of the CMCI and HBE trade names as part of its overall branding strategy which resulted in a revised fair value of $6.9 million for such trade names, with a remaining useful life of two years. This resulted in an impairment of $14.6 million in 2012. The impairment related to the KGS and PSS reportable segments were $1.7 million and $12.9 million, respectively.</w:t>
      </w:r>
    </w:p>
    <w:p>
      <w:pPr>
        <w:spacing w:after="0" w:line="178"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The aggregate amortization expense for finite-lived intangible assets was $38.0 million, $43.9 million and $36.2 million for the years ended December 25, 2011, December 30, 2012, and December 29, 2013, respectively. The Company records all amortization expense in selling, general and administrative expenses in the Consolidated Statements of Operations and Comprehensive Loss.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estimated future amortization expense of acquired intangible assets with finite lives as of December 29, 2013 is as follows (in millions):</w:t>
      </w:r>
    </w:p>
    <w:p>
      <w:pPr>
        <w:spacing w:after="0" w:line="379" w:lineRule="exact"/>
        <w:rPr>
          <w:sz w:val="20"/>
          <w:szCs w:val="20"/>
          <w:color w:val="auto"/>
        </w:rPr>
      </w:pPr>
    </w:p>
    <w:tbl>
      <w:tblPr>
        <w:tblLayout w:type="fixed"/>
        <w:tblInd w:w="3280" w:type="dxa"/>
        <w:tblCellMar>
          <w:top w:w="0" w:type="dxa"/>
          <w:left w:w="0" w:type="dxa"/>
          <w:bottom w:w="0" w:type="dxa"/>
          <w:right w:w="0" w:type="dxa"/>
        </w:tblCellMar>
      </w:tblPr>
      <w:tr>
        <w:trPr>
          <w:trHeight w:val="192"/>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Amount</w:t>
            </w: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43"/>
        </w:trPr>
        <w:tc>
          <w:tcPr>
            <w:tcW w:w="3120" w:type="dxa"/>
            <w:vAlign w:val="bottom"/>
          </w:tcPr>
          <w:p>
            <w:pPr>
              <w:jc w:val="right"/>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3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3120" w:type="dxa"/>
            <w:vAlign w:val="bottom"/>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3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3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3120" w:type="dxa"/>
            <w:vAlign w:val="bottom"/>
            <w:tcBorders>
              <w:bottom w:val="single" w:sz="8" w:color="CCEEFF"/>
            </w:tcBorders>
            <w:shd w:val="clear" w:color="auto" w:fill="CCEEFF"/>
          </w:tcPr>
          <w:p>
            <w:pPr>
              <w:jc w:val="right"/>
              <w:ind w:right="2512"/>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0"/>
        </w:trPr>
        <w:tc>
          <w:tcPr>
            <w:tcW w:w="3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5" w:lineRule="exact"/>
        <w:rPr>
          <w:sz w:val="20"/>
          <w:szCs w:val="20"/>
          <w:color w:val="auto"/>
        </w:rPr>
      </w:pPr>
    </w:p>
    <w:p>
      <w:pPr>
        <w:ind w:left="580" w:right="8500" w:hanging="572"/>
        <w:spacing w:after="0" w:line="566" w:lineRule="auto"/>
        <w:tabs>
          <w:tab w:leader="none" w:pos="403"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Recent Acquisitions </w:t>
      </w:r>
      <w:r>
        <w:rPr>
          <w:rFonts w:ascii="Arial" w:cs="Arial" w:eastAsia="Arial" w:hAnsi="Arial"/>
          <w:sz w:val="16"/>
          <w:szCs w:val="16"/>
          <w:i w:val="1"/>
          <w:iCs w:val="1"/>
          <w:color w:val="auto"/>
        </w:rPr>
        <w:t>Composite Engineering, Inc.</w:t>
      </w:r>
    </w:p>
    <w:p>
      <w:pPr>
        <w:spacing w:after="0" w:line="1"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On July 2, 2012, the Company acquired Composite Engineering, Inc. (“CEI”) for approximately $164.2 million. The purchase price included consideration of $135.0 million in cash and 4.0 million shares of the Company's common stock, valued at $5.94 per share on July 2, 2012, or $23.8 million. As security for CEI's indemnification obligations, $10.7 million of the cash paid was placed into an escrow account. The Company was paid $1.0 million from the escrow account for working capital adjustments in July 2013, at which time the remaining escrow was released to the sellers. Also included in the purchase consideration was $5.5 million paid to retire certain pre-existing CEI debt and settle pre-existing accounts receivable from CEI. There was no contingent purchase consideration associated with the acquisition of CEI.</w:t>
      </w:r>
    </w:p>
    <w:p>
      <w:pPr>
        <w:spacing w:after="0" w:line="17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Company made an election under Section 338(h)(10) of the Internal Revenue Code, which resulted in tax deductible goodwill related to this transaction. The Company estimated that the tax deductible goodwill and intangibles resulting from the election will approximate $136.3 million, to be available for deduction against Federal and California state income taxes over a 15-year period.</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Certain CEI personnel entered into long-term employment agreements with the Company and on July 2, 2012, the Company granted restricted stock units (“RSUs”) for an aggregate 2.0 million shares of common stock as long-term retention inducement grants. The RSUs had an estimated value of $11.9 million on the grant date, vest on the fourth anniversary of the closing of the CEI acquisition, or earlier upon the occurrence of certain events, and are being accounted for as compensation expense over such four-year period.</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 fund the acquisition of CEI, on May 14, 2012, the Company sold 20.0 million shares of its common stock at a purchase price of $5.00 per share in an underwritten public offering. The Company received gross proceeds of approximately $100.0 million and net proceeds of approximately $97.0 million after deducting underwriting fees and other offering expenses. The Company used the net proceeds from this offering to fund a portion of the purchase price for the acquisition of CEI. In addition, the Company used borrowings of $40.0 million from its revolving line of credit to partially fund the purchase price of CEI.</w:t>
      </w:r>
    </w:p>
    <w:p>
      <w:pPr>
        <w:spacing w:after="0" w:line="26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CEI is a vertically integrated manufacturer and developer of unmanned aerial target systems and composite structures used for national security programs. Its drones are designed to replicate some of the most lethal aerial threats facing warfighters and strategic assets. CEI's customers include U.S. agencies and foreign governments. CEI is a part of the KGS reportable segment.</w:t>
      </w:r>
    </w:p>
    <w:p>
      <w:pPr>
        <w:spacing w:after="0" w:line="26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design, engineering, development, manufacturing and production of unmanned aerial targets, and by enabling the Company to realize significant cross selling opportunities.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transaction was accounted for using the acquisition method of accounting, which requires, among other things, that the assets acquired and liabilities assumed be recognized at their fair values as of the acquisition date. The following table summarizes the fair values of the major assets acquired and liabilities assumed as of the acquisition date (in millions):</w:t>
      </w:r>
    </w:p>
    <w:p>
      <w:pPr>
        <w:spacing w:after="0" w:line="115" w:lineRule="exact"/>
        <w:rPr>
          <w:sz w:val="20"/>
          <w:szCs w:val="20"/>
          <w:color w:val="auto"/>
        </w:rPr>
      </w:pPr>
    </w:p>
    <w:tbl>
      <w:tblPr>
        <w:tblLayout w:type="fixed"/>
        <w:tblInd w:w="2820" w:type="dxa"/>
        <w:tblCellMar>
          <w:top w:w="0" w:type="dxa"/>
          <w:left w:w="0" w:type="dxa"/>
          <w:bottom w:w="0" w:type="dxa"/>
          <w:right w:w="0" w:type="dxa"/>
        </w:tblCellMar>
      </w:tblP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r>
      <w:tr>
        <w:trPr>
          <w:trHeight w:val="237"/>
        </w:trPr>
        <w:tc>
          <w:tcPr>
            <w:tcW w:w="438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189.7</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57"/>
        </w:trPr>
        <w:tc>
          <w:tcPr>
            <w:tcW w:w="4380" w:type="dxa"/>
            <w:vAlign w:val="bottom"/>
          </w:tcPr>
          <w:p>
            <w:pPr>
              <w:ind w:left="120"/>
              <w:spacing w:after="0"/>
              <w:rPr>
                <w:sz w:val="20"/>
                <w:szCs w:val="20"/>
                <w:color w:val="auto"/>
              </w:rPr>
            </w:pPr>
            <w:r>
              <w:rPr>
                <w:rFonts w:ascii="Arial" w:cs="Arial" w:eastAsia="Arial" w:hAnsi="Arial"/>
                <w:sz w:val="18"/>
                <w:szCs w:val="18"/>
                <w:color w:val="auto"/>
              </w:rPr>
              <w:t>Net assets acquired</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164.0</w:t>
            </w:r>
          </w:p>
        </w:tc>
      </w:tr>
      <w:tr>
        <w:trPr>
          <w:trHeight w:val="20"/>
        </w:trPr>
        <w:tc>
          <w:tcPr>
            <w:tcW w:w="4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amounts of revenue and operating income of CEI included in the Company's Consolidated Statement of Operations and Comprehensive Income (Loss) for the year ended December 30, 2012 was $68.2 million and $1.6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Critical Infrastructure Business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December 30, 2011, the Company acquired selected assets of a critical infrastructure security and public safety system integration business (the “Critical Infrastructure Business”) for approximately $18.8 million.</w:t>
      </w:r>
    </w:p>
    <w:p>
      <w:pPr>
        <w:spacing w:after="0" w:line="170"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The Critical Infrastructure Business designs, engineers, deploys, manages and maintains specialty security systems at some of the most strategic asset and critical infrastructure locations in the U.S.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 The Critical Infrastructure Business is part of the Company's PSS reportable segment.</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homeland security solutions and will also enable the Company to realize significant cross selling opportunities and increase its sales of higher margin, fixed-price products.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transaction was accounted for using the acquisition method of accounting, which requires, among other things, that the assets acquired and liabilities assumed be recognized at their fair values as of the acquisition date. The following table summarizes the fair values of the major assets acquired and liabilities assumed as of the acquisition date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210185</wp:posOffset>
            </wp:positionV>
            <wp:extent cx="366204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62045"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Accounts receivable</w:t>
      </w:r>
    </w:p>
    <w:p>
      <w:pPr>
        <w:spacing w:after="0" w:line="7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31750</wp:posOffset>
            </wp:positionV>
            <wp:extent cx="366204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62045" cy="171450"/>
                    </a:xfrm>
                    <a:prstGeom prst="rect">
                      <a:avLst/>
                    </a:prstGeom>
                    <a:noFill/>
                  </pic:spPr>
                </pic:pic>
              </a:graphicData>
            </a:graphic>
          </wp:anchor>
        </w:drawing>
      </w:r>
    </w:p>
    <w:p>
      <w:pPr>
        <w:spacing w:after="0" w:line="4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Intangible assets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31750</wp:posOffset>
            </wp:positionV>
            <wp:extent cx="3662045"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62045" cy="180340"/>
                    </a:xfrm>
                    <a:prstGeom prst="rect">
                      <a:avLst/>
                    </a:prstGeom>
                    <a:noFill/>
                  </pic:spPr>
                </pic:pic>
              </a:graphicData>
            </a:graphic>
          </wp:anchor>
        </w:drawing>
      </w:r>
    </w:p>
    <w:p>
      <w:pPr>
        <w:spacing w:after="0" w:line="57"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31750</wp:posOffset>
            </wp:positionV>
            <wp:extent cx="3662045"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62045" cy="188595"/>
                    </a:xfrm>
                    <a:prstGeom prst="rect">
                      <a:avLst/>
                    </a:prstGeom>
                    <a:noFill/>
                  </pic:spPr>
                </pic:pic>
              </a:graphicData>
            </a:graphic>
          </wp:anchor>
        </w:drawing>
      </w:r>
    </w:p>
    <w:p>
      <w:pPr>
        <w:spacing w:after="0" w:line="70" w:lineRule="exact"/>
        <w:rPr>
          <w:sz w:val="20"/>
          <w:szCs w:val="20"/>
          <w:color w:val="auto"/>
        </w:rPr>
      </w:pPr>
    </w:p>
    <w:p>
      <w:pPr>
        <w:jc w:val="center"/>
        <w:ind w:left="960"/>
        <w:spacing w:after="0"/>
        <w:rPr>
          <w:sz w:val="20"/>
          <w:szCs w:val="20"/>
          <w:color w:val="auto"/>
        </w:rPr>
      </w:pPr>
      <w:r>
        <w:rPr>
          <w:rFonts w:ascii="Arial" w:cs="Arial" w:eastAsia="Arial" w:hAnsi="Arial"/>
          <w:sz w:val="15"/>
          <w:szCs w:val="15"/>
          <w:color w:val="auto"/>
        </w:rPr>
        <w:t>Net assets acquired</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left="960" w:hanging="96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23.4</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0.5</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2.6</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28.5</w:t>
      </w:r>
    </w:p>
    <w:p>
      <w:pPr>
        <w:spacing w:after="0" w:line="63" w:lineRule="exact"/>
        <w:rPr>
          <w:sz w:val="20"/>
          <w:szCs w:val="20"/>
          <w:color w:val="auto"/>
        </w:rPr>
      </w:pPr>
    </w:p>
    <w:p>
      <w:pPr>
        <w:jc w:val="right"/>
        <w:ind w:right="2860"/>
        <w:spacing w:after="0"/>
        <w:rPr>
          <w:sz w:val="20"/>
          <w:szCs w:val="20"/>
          <w:color w:val="auto"/>
        </w:rPr>
      </w:pPr>
      <w:r>
        <w:rPr>
          <w:rFonts w:ascii="Arial" w:cs="Arial" w:eastAsia="Arial" w:hAnsi="Arial"/>
          <w:sz w:val="18"/>
          <w:szCs w:val="18"/>
          <w:color w:val="auto"/>
        </w:rPr>
        <w:t>(9.7)</w:t>
      </w:r>
    </w:p>
    <w:p>
      <w:pPr>
        <w:spacing w:after="0" w:line="77" w:lineRule="exact"/>
        <w:rPr>
          <w:sz w:val="20"/>
          <w:szCs w:val="20"/>
          <w:color w:val="auto"/>
        </w:rPr>
      </w:pPr>
    </w:p>
    <w:p>
      <w:pPr>
        <w:ind w:left="960" w:hanging="960"/>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8921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00" w:space="720"/>
            <w:col w:w="4200"/>
          </w:cols>
          <w:pgMar w:left="240" w:top="125" w:right="239" w:bottom="1440" w:gutter="0" w:footer="0" w:header="0"/>
          <w:type w:val="continuous"/>
        </w:sectPr>
      </w:pP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tax deductible.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SecureInfo Corporation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November 15, 2011, the Company acquired SecureInfo Corporation (“SecureInfo”) for $20.3 million in cash, which included a $1.5 million earn-out that was paid in March 2012.</w:t>
      </w:r>
    </w:p>
    <w:p>
      <w:pPr>
        <w:spacing w:after="0" w:line="17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Based in northern Virginia, SecureInfo is a cybersecurity company specializing in assisting defense, intelligence, civilian government and commercial customers to identify, understand, document, manage, mitigate and protect against cybersecurity risks while reducing information security costs and achieving compliance with applicable regulations, standards and guidance. SecureInfo offers strategic advisory, operational cybersecurity and cybersecurity risk management services and is a recognized leader in the rapidly evolving fields of cloud security, continuous monitoring and cybersecurity training. Customers include the Department of Defense, the Department of Homeland Security and large commercial customers, including market leading cloud computing service providers. SecureInfo is part of the KGS reportable segment.</w:t>
      </w:r>
    </w:p>
    <w:p>
      <w:pPr>
        <w:spacing w:after="0" w:line="178" w:lineRule="exact"/>
        <w:rPr>
          <w:sz w:val="20"/>
          <w:szCs w:val="20"/>
          <w:color w:val="auto"/>
        </w:rPr>
      </w:pPr>
    </w:p>
    <w:p>
      <w:pPr>
        <w:jc w:val="both"/>
        <w:ind w:right="780" w:firstLine="648"/>
        <w:spacing w:after="0" w:line="312" w:lineRule="auto"/>
        <w:rPr>
          <w:sz w:val="20"/>
          <w:szCs w:val="20"/>
          <w:color w:val="auto"/>
        </w:rPr>
      </w:pPr>
      <w:r>
        <w:rPr>
          <w:rFonts w:ascii="Arial" w:cs="Arial" w:eastAsia="Arial" w:hAnsi="Arial"/>
          <w:sz w:val="16"/>
          <w:szCs w:val="16"/>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SecureInfo's nationally recognized expertise in operational cybersecurity, cybersecurity risk management and cybersecurity training programs.</w:t>
      </w:r>
    </w:p>
    <w:p>
      <w:pPr>
        <w:spacing w:after="0" w:line="14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SecureInfo transaction has been accounted for using the acquisition method of accounting, which requires, among other things, that the assets acquired and liabilities assumed be recognized at their fair values as of the acquisition date. The following table summarizes the estimated fair values of the major assets acquired and liabilities assumed (in millions):</w:t>
      </w:r>
    </w:p>
    <w:p>
      <w:pPr>
        <w:spacing w:after="0" w:line="331" w:lineRule="exact"/>
        <w:rPr>
          <w:sz w:val="20"/>
          <w:szCs w:val="20"/>
          <w:color w:val="auto"/>
        </w:rPr>
      </w:pPr>
    </w:p>
    <w:tbl>
      <w:tblPr>
        <w:tblLayout w:type="fixed"/>
        <w:tblInd w:w="2840" w:type="dxa"/>
        <w:tblCellMar>
          <w:top w:w="0" w:type="dxa"/>
          <w:left w:w="0" w:type="dxa"/>
          <w:bottom w:w="0" w:type="dxa"/>
          <w:right w:w="0" w:type="dxa"/>
        </w:tblCellMar>
      </w:tblPr>
      <w:tr>
        <w:trPr>
          <w:trHeight w:val="27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37"/>
        </w:trPr>
        <w:tc>
          <w:tcPr>
            <w:tcW w:w="436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57"/>
        </w:trPr>
        <w:tc>
          <w:tcPr>
            <w:tcW w:w="4360" w:type="dxa"/>
            <w:vAlign w:val="bottom"/>
          </w:tcPr>
          <w:p>
            <w:pPr>
              <w:ind w:left="200"/>
              <w:spacing w:after="0"/>
              <w:rPr>
                <w:sz w:val="20"/>
                <w:szCs w:val="20"/>
                <w:color w:val="auto"/>
              </w:rPr>
            </w:pPr>
            <w:r>
              <w:rPr>
                <w:rFonts w:ascii="Arial" w:cs="Arial" w:eastAsia="Arial" w:hAnsi="Arial"/>
                <w:sz w:val="18"/>
                <w:szCs w:val="18"/>
                <w:color w:val="auto"/>
              </w:rPr>
              <w:t>Net assets acquired</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r>
      <w:tr>
        <w:trPr>
          <w:trHeight w:val="20"/>
        </w:trPr>
        <w:tc>
          <w:tcPr>
            <w:tcW w:w="4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amounts of revenue and operating income of SecureInfo included in the Company's Consolidated Statement of Operations and Comprehensive Income (Loss) for the year ended December 25, 2011 was $1.9 million and $0.1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Integral Systems, Inc.</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July 27, 2011, the Company acquired Integral Systems, Inc. (“Integral”) in a cash and stock transaction valued at $241.1 million. Upon completion of the acquisition, the Company paid an aggregate of $131.4 million in cash, issued approximately 10.4 million shares of the Company's common stock valued at $108.7 million and issued replacement stock options with a fair value of $1.0 million.</w:t>
      </w:r>
    </w:p>
    <w:p>
      <w:pPr>
        <w:spacing w:after="0" w:line="18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To fund the cash portion of the acquisition, on July 27, 2011, the Company issued $115.0 million aggregate principal amount of 10% Senior Secured Notes due 2017 (the “Notes”). The Notes were issued at a premium of 105% for an effective interest rate of approximately 8.9%. The gross proceeds of approximately $120.8 million, which included an approximate $5.8 million issuance premium and excluded accrued interest received of $1.8 million, were used to finance, in part, the cash portion of the purchase price for the acquisition of Integral, to refinance existing indebtedness of Integral and its subsidiaries, to pay certain severance payments in connection with the acquisition and to pay related fees and expenses.</w:t>
      </w:r>
    </w:p>
    <w:p>
      <w:pPr>
        <w:spacing w:after="0" w:line="17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consideration for the acquisition of Integral, each Integral stockholder received (i) $5.00 in cash, without interest, and (ii) 0.588 shares of the Company's common stock for each share of Integral common stock. In addition, upon completion of the acquisition (i) each outstanding Integral stock option with an exercise price less than $13.00 per share was, if the holder thereof had so elected in writing, canceled in exchange for an amount in cash equal to the product of the total number of shares of Integral common stock subject to such in-the-money option, multiplied by the aggregate value of the excess, if any, of $13.00 over the exercise price per share applicable to such option, less the amount of any tax withholding, (ii) each outstanding Integral stock option with an exercise price equal to or greater than $13.00 per share and each Integral in-the-money option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holder of which had not made the election described in (i) above was converted into an option to purchase Company common stock, with the number of shares subject to such option adjusted to equal the number of shares of Integral common stock subject to such out-of-the-money option multiplied by 0.9559, rounded up to the nearest whole share, and the per share exercise price under each such option adjusted by dividing the per share exercise price applicable to such option by 0.9559, rounded up to the nearest whole cent, and (iii) each outstanding share of restricted stock granted under an Integral equity plan or otherwise, whether vested or unvested, was canceled and converted into the right to receive $13.00, less the amount of any tax withholding.</w:t>
      </w:r>
    </w:p>
    <w:p>
      <w:pPr>
        <w:spacing w:after="0" w:line="15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Integral is a global provider of products, systems and services for satellite command and control, telemetry and digital signal processing, data communications, enterprise network management and communications information assurance. Integral specializes in developing, managing and operating secure communications networks, both satellite and terrestrial, as well as systems and services to detect, characterize and geolocate sources of radio frequency or RF interference. Integral’s customers include U.S. and foreign commercial, government, military and intelligence organizations. For almost 30 years, customers have relied on Integral to design and deliver innovative commercial-based products, solutions and services that are cost-effective and reduce delivery schedules and risk. Integral is part of the Company’s KGS reportable segment.</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Integral’s significant expertise with satellite operations, ground systems, signal processing and other areas of satellite command and control, as well as advanced technologies for Unmanned Aerial Vehicles, situational awareness, remote management and numerous established electronic attack and electronic warfare platforms, tactical missile systems, and strategic deterrence systems. The Integral transaction has been accounted for using the acquisition method of accounting which requires, among other things, that the assets acquired and liabilities assumed be recognized at their fair values as of the merger date. The following table summarizes the fair values of the major assets acquired and liabilities assumed as of July 27, 2011 (in millions):</w:t>
      </w:r>
    </w:p>
    <w:p>
      <w:pPr>
        <w:spacing w:after="0" w:line="327" w:lineRule="exact"/>
        <w:rPr>
          <w:sz w:val="20"/>
          <w:szCs w:val="20"/>
          <w:color w:val="auto"/>
        </w:rPr>
      </w:pPr>
    </w:p>
    <w:tbl>
      <w:tblPr>
        <w:tblLayout w:type="fixed"/>
        <w:tblInd w:w="2840" w:type="dxa"/>
        <w:tblCellMar>
          <w:top w:w="0" w:type="dxa"/>
          <w:left w:w="0" w:type="dxa"/>
          <w:bottom w:w="0" w:type="dxa"/>
          <w:right w:w="0" w:type="dxa"/>
        </w:tblCellMar>
      </w:tblPr>
      <w:tr>
        <w:trPr>
          <w:trHeight w:val="27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68.4</w:t>
            </w:r>
          </w:p>
        </w:tc>
      </w:tr>
      <w:tr>
        <w:trPr>
          <w:trHeight w:val="27"/>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36.4</w:t>
            </w:r>
          </w:p>
        </w:tc>
      </w:tr>
      <w:tr>
        <w:trPr>
          <w:trHeight w:val="27"/>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187.8</w:t>
            </w:r>
          </w:p>
        </w:tc>
      </w:tr>
      <w:tr>
        <w:trPr>
          <w:trHeight w:val="27"/>
        </w:trPr>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363.6</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7"/>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assets acquired</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amounts of revenue and operating income of Integral included in the Company’s Consolidated Statements of Operations and Comprehensive Income for the year ended December 25, 2011 was $87.3 million and $7.1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Herley Industries, Inc.</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On March 25, 2011, the Company acquired approximately 13.2 million shares of Herley Industries, Inc. ("Herley") common stock, representing approximately 94% of the total outstanding shares of Herley common stock, in a tender offer to purchase all of the outstanding shares of Herley common stock. The fair value of the non-controlling interest related to Herley as of March 25, 2011 was $16.9 million, which represents the market trading price of $19.00 per share multiplied by approximately 0.9 million shares that were not tendered as of March 25, 2011. On March 30, 2011, following the purchase of the non-controlling interest in a subsequent offering period, Herley became a wholly owned subsidiary of the Company. The shares of Herley common stock were purchased at a price of $19.00 per share. Accordingly, the Company paid approximately $245.5 million in cash consideration as of March 27, 2011, and as of April 15, 2011 the Company had paid aggregate cash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consideration of $270.7 million for the shares of Herley common stock and certain in-the-money options, which were exercised upon the change in control. In addition, upon completion of the subsequent short-form merger, all unexercised options to purchase Herley common stock were assumed by the Company and converted into options to purchase Kratos common stock, entitling the holders thereof to receive 1.3495 shares of Kratos common stock for each share of Herley common stock underlying the options (“Herley Options”). The Company assumed each Herley Option in accordance with the terms (as in effect as of the date of the Herley Merger Agreement) of the applicable Herley equity plan and the option agreement pursuant to which such Herley Option was granted. The Herley Options are exercisable for an aggregate of approximately 0.8 million shares of the Company’s common stock. All Herley Options were fully vested upon the change in control, and the fair value of the Herley Options assumed was $1.9 million. The total aggregate consideration for the purchase of Herley was $272.5 million, including the assumed Herley Options. In addition, the Company assumed change in control obligations of $4.0 million related to the transaction and incurred combined transaction expenses of $11.1 million. There were no contingent liabilities associated with the acquisition of Herley.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fund the acquisition of Herley, on February 11, 2011, Kratos sold approximately 4.9 million shares of its common stock at a purchase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$13.25 per share in an underwritten public offering. Kratos received gross proceeds of approximately $64.8 million and net proceeds of approximately $61.1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after deducting underwriting fees and other offering expenses. Kratos used the net proceeds from this offering to fund a portion of the purchase price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the acquisition of Herley. To fund the remaining purchase price, Kratos issued $285.0 million in aggregate principal amount of Notes at a premium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107% through its wholly owned subsidiary, Acquisition Co. Lanza Parent ("Lanza"), on March 25, 2011, in an unregistered offering pursuant to Rule 144A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Regulation S under the Securities Act of 1933, as amended. On April 4, 2011, after the acquisition of Herley was complete, Lanza was merged with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into Kratos and all assets and liabilities of Lanza became assets and liabilities of Kratos.</w:t>
      </w:r>
    </w:p>
    <w:p>
      <w:pPr>
        <w:spacing w:after="0" w:line="21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Herley is a leading provider of microwave technologies for use in command and control systems, flight instrumentation, weapons sensors, radar, communication systems, electronic warfare and electronic attack systems. Herley has served the defense industry for approximately 45 years by designing and manufacturing microwave devices for use in high-technology defense electronics applications. It has established relationships, experience and expertise in the military electronics, electronic warfare and electronic attack industry. Herley’s products represent key components in the national security efforts of the U.S., as they are employed in mission-critical electronic warfare, electronic attack, electronic warfare threat and radar simulation, command and control network, and cyber warfare/cyber security applications. Herley is part of the KGS reportable segment.</w:t>
      </w:r>
    </w:p>
    <w:p>
      <w:pPr>
        <w:spacing w:after="0" w:line="17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Herley’s significant expertise in numerous established electronic attack and electronic warfare platforms, tactical missile systems, and strategic deterrence systems, which complement the Company’s existing business in manned and unmanned aircraft, missile systems and certain other programs.</w:t>
      </w:r>
    </w:p>
    <w:p>
      <w:pPr>
        <w:spacing w:after="0" w:line="17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Herley transaction has been accounted for using the acquisition method of accounting, which requires, among other things, that the assets acquired and liabilities assumed be recognized at their fair values as of the merger date. The following table summarizes the fair values of the major assets acquired and liabilities assumed (in millions):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72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99"/>
        </w:trPr>
        <w:tc>
          <w:tcPr>
            <w:tcW w:w="128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39.1</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Inventoried costs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0" w:type="dxa"/>
            <w:vAlign w:val="bottom"/>
          </w:tcPr>
          <w:p>
            <w:pPr>
              <w:ind w:left="4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146.4</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345.8</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0" w:type="dxa"/>
            <w:vAlign w:val="bottom"/>
          </w:tcPr>
          <w:p>
            <w:pPr>
              <w:ind w:left="40"/>
              <w:spacing w:after="0"/>
              <w:rPr>
                <w:sz w:val="20"/>
                <w:szCs w:val="20"/>
                <w:color w:val="auto"/>
              </w:rPr>
            </w:pPr>
            <w:r>
              <w:rPr>
                <w:rFonts w:ascii="Arial" w:cs="Arial" w:eastAsia="Arial" w:hAnsi="Arial"/>
                <w:sz w:val="18"/>
                <w:szCs w:val="18"/>
                <w:color w:val="auto"/>
              </w:rPr>
              <w:t>Debt</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Net assets acquired</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272.5</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amounts of revenue and operating income of Herley included in the Company’s Consolidated Statements of Operations and Comprehensive Income for the year ended December 25, 2011 was $150.8 million and $12.7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following tables summarize the supplemental Condensed Consolidated Statements of Operations information on an unaudited pro forma basis as if the acquisitions of CEI, the Critical Infrastructure Business, SecureInfo, Integral, and Herley occurred on December 27, 2010 and include adjustments that were directly attributable to the foregoing transactions or were not expected to have a continuing impact on the Company. All acquisitions were included in the results of operations for the full year ended December 29, 2013. There are no material, nonrecurring pro forma adjustments directly attributable to the business combinations included in the reported pro forma revenue and operations for 2011 and 2012. The pro forma results are for illustrative purposes only for the applicable period and do not purport to be indicative of the actual results that would have occurred had the transactions been completed as of the beginning of the period, nor are they indicative of results of operations that may occur in the future (all amounts, except per share amounts are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r>
      <w:tr>
        <w:trPr>
          <w:trHeight w:val="192"/>
        </w:trPr>
        <w:tc>
          <w:tcPr>
            <w:tcW w:w="55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25, 2011</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30, 2012</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Pro forma net loss before 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loss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loss attributable to the registrant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pro forma loss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1"/>
                <w:szCs w:val="21"/>
                <w:color w:val="auto"/>
              </w:rPr>
            </w:pPr>
          </w:p>
        </w:tc>
      </w:tr>
      <w:tr>
        <w:trPr>
          <w:trHeight w:val="27"/>
        </w:trPr>
        <w:tc>
          <w:tcPr>
            <w:tcW w:w="5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pro forma financial information reflects acquisition related expenses incurred, pro forma adjustments for the additional amortization associated with finite-lived intangible assets acquired, additional incremental interest expense, deferred financing costs related to the financing undertaken for the Integral and Herley transactions, the change in stock compensation expense as a result of the exercise of stock options and restricted stock immediately prior to closing of the Integral and Herley transactions, stock compensation related to the RSUs granted in the CEI transaction, and the related tax expense. The weighted average common shares also reflect the issuance of 4.9 million shares in February 2011 for the Herley acquisitions and 10.4 million shares in July 2011 for the Integral acquisition.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adjustments are as follows (in millions except per share data):</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108"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25, 2011</w:t>
            </w:r>
          </w:p>
        </w:tc>
        <w:tc>
          <w:tcPr>
            <w:tcW w:w="140" w:type="dxa"/>
            <w:vAlign w:val="bottom"/>
          </w:tcPr>
          <w:p>
            <w:pPr>
              <w:spacing w:after="0"/>
              <w:rPr>
                <w:sz w:val="16"/>
                <w:szCs w:val="16"/>
                <w:color w:val="auto"/>
              </w:rPr>
            </w:pPr>
          </w:p>
        </w:tc>
        <w:tc>
          <w:tcPr>
            <w:tcW w:w="106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amortization</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Net change in stock compensation expense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Net change in income tax expense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Increase in weighted average common shares outstanding for shares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issued and not already included in the weighted average common</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outstanding</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In connection with certain acquisitions, the Company has agreed to make additional future payments to the seller contingent upon achievement of specific performance-based milestones by the acquired entities. Pursuant to the provisions of </w:t>
      </w:r>
      <w:r>
        <w:rPr>
          <w:rFonts w:ascii="Arial" w:cs="Arial" w:eastAsia="Arial" w:hAnsi="Arial"/>
          <w:sz w:val="16"/>
          <w:szCs w:val="16"/>
          <w:i w:val="1"/>
          <w:iCs w:val="1"/>
          <w:color w:val="auto"/>
        </w:rPr>
        <w:t>Topic 805,</w:t>
      </w:r>
      <w:r>
        <w:rPr>
          <w:rFonts w:ascii="Arial" w:cs="Arial" w:eastAsia="Arial" w:hAnsi="Arial"/>
          <w:sz w:val="16"/>
          <w:szCs w:val="16"/>
          <w:color w:val="auto"/>
        </w:rPr>
        <w:t xml:space="preserve"> the Company re-measures these liabilities each reporting period and records changes in the fair value in its Consolidated Statement of Operations and Comprehensive Income (Loss). Increases or decreases in the fair value of the contingent consideration liability which is measured as the present value of expected future cash flows, a Level 3 (Level 3 hierarchy as defined by </w:t>
      </w:r>
      <w:r>
        <w:rPr>
          <w:rFonts w:ascii="Arial" w:cs="Arial" w:eastAsia="Arial" w:hAnsi="Arial"/>
          <w:sz w:val="16"/>
          <w:szCs w:val="16"/>
          <w:i w:val="1"/>
          <w:iCs w:val="1"/>
          <w:color w:val="auto"/>
        </w:rPr>
        <w:t>ASC Topic 820, Fair Value Measurements and Disclosures (“Topic 820”</w:t>
      </w:r>
      <w:r>
        <w:rPr>
          <w:rFonts w:ascii="Arial" w:cs="Arial" w:eastAsia="Arial" w:hAnsi="Arial"/>
          <w:sz w:val="16"/>
          <w:szCs w:val="16"/>
          <w:color w:val="auto"/>
        </w:rPr>
        <w:t>)) measurement in the fair value hierarchy, can result from changes in discount periods and rates, as well as changes in the estimates on the achievement of the performance-based milestones.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Contingent acquisition consideration as of December 30, 2012 and December 29, 2013 is summarized in the following table (in millions):</w:t>
      </w:r>
    </w:p>
    <w:p>
      <w:pPr>
        <w:spacing w:after="0" w:line="200" w:lineRule="exact"/>
        <w:rPr>
          <w:sz w:val="20"/>
          <w:szCs w:val="20"/>
          <w:color w:val="auto"/>
        </w:rPr>
      </w:pP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SecureInfo</w:t>
            </w:r>
          </w:p>
        </w:tc>
        <w:tc>
          <w:tcPr>
            <w:tcW w:w="26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DEI</w:t>
            </w:r>
          </w:p>
        </w:tc>
        <w:tc>
          <w:tcPr>
            <w:tcW w:w="24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SCT</w:t>
            </w:r>
          </w:p>
        </w:tc>
        <w:tc>
          <w:tcPr>
            <w:tcW w:w="220" w:type="dxa"/>
            <w:vAlign w:val="bottom"/>
          </w:tcPr>
          <w:p>
            <w:pPr>
              <w:spacing w:after="0"/>
              <w:rPr>
                <w:sz w:val="16"/>
                <w:szCs w:val="16"/>
                <w:color w:val="auto"/>
              </w:rPr>
            </w:pPr>
          </w:p>
        </w:tc>
        <w:tc>
          <w:tcPr>
            <w:tcW w:w="82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50"/>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25, 2011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r>
      <w:tr>
        <w:trPr>
          <w:trHeight w:val="243"/>
        </w:trPr>
        <w:tc>
          <w:tcPr>
            <w:tcW w:w="5860" w:type="dxa"/>
            <w:vAlign w:val="bottom"/>
          </w:tcPr>
          <w:p>
            <w:pPr>
              <w:ind w:left="380"/>
              <w:spacing w:after="0"/>
              <w:rPr>
                <w:sz w:val="20"/>
                <w:szCs w:val="20"/>
                <w:color w:val="auto"/>
              </w:rPr>
            </w:pPr>
            <w:r>
              <w:rPr>
                <w:rFonts w:ascii="Arial" w:cs="Arial" w:eastAsia="Arial" w:hAnsi="Arial"/>
                <w:sz w:val="18"/>
                <w:szCs w:val="18"/>
                <w:color w:val="auto"/>
              </w:rPr>
              <w:t>Cash payments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Post acquisition adjustments reflected in operating results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Balance as of December 30, 2012</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Balance as of December 29, 2013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Pursuant to the terms of the agreement and plan of merger with DEI Services Corporation entered into on August 9, 2010 (“the DEI Agreement”), upon achievement of certain cash receipts, revenue, EBITDA and backlog amounts in 2010, 2011 and 2012, the Company was obligated to pay certain additional contingent consideration (the “DEI Contingent Consideration”). The Company has paid $5.0 million related to the DEI Contingent Consideration, with the final payment of $2.1 million paid in April 2013.</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As of December 25, 2011, the fair value of the SCT Contingent Consideration was $1.1 million and was estimated by applying the income approach, which is based on significant inputs that are not observable in the market, which </w:t>
      </w:r>
      <w:r>
        <w:rPr>
          <w:rFonts w:ascii="Arial" w:cs="Arial" w:eastAsia="Arial" w:hAnsi="Arial"/>
          <w:sz w:val="18"/>
          <w:szCs w:val="18"/>
          <w:i w:val="1"/>
          <w:iCs w:val="1"/>
          <w:color w:val="auto"/>
        </w:rPr>
        <w:t>Topic 820</w:t>
      </w:r>
      <w:r>
        <w:rPr>
          <w:rFonts w:ascii="Arial" w:cs="Arial" w:eastAsia="Arial" w:hAnsi="Arial"/>
          <w:sz w:val="18"/>
          <w:szCs w:val="18"/>
          <w:color w:val="auto"/>
        </w:rPr>
        <w:t xml:space="preserve"> refers to as Level 3 inputs. Key assumptions included a discount rate of 6.1%, a market participant cost of debt at the date of acquisition, and probability-adjusted levels for EBITDA. The fair value of the SCT Contingent Consideration was decreased by $1.1 million to zero and recognized as a credit to merger and acquisition related items during the three month period ended December 30,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detail of certain assets in the Consolidated Balance Sheets consists of the following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125" w:right="27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The Company's cash equivalents consist of overnight cash sweep accounts that are invested on a daily basis. Cash and cash equivalents at December 30, 2012 and December 29, 2013 were $49.0 million and $55.7 million, respectively and approximated their fair value.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unrealized and realized gains recorded during the years ended December 30, 2012 and December 29, 2013 were immaterial.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Receivables including amounts due under long-term contracts are summarized as follows:</w:t>
      </w:r>
    </w:p>
    <w:p>
      <w:pPr>
        <w:spacing w:after="0" w:line="200" w:lineRule="exact"/>
        <w:rPr>
          <w:sz w:val="20"/>
          <w:szCs w:val="20"/>
          <w:color w:val="auto"/>
        </w:rPr>
      </w:pPr>
    </w:p>
    <w:p>
      <w:pPr>
        <w:spacing w:after="0" w:line="246"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December 30, 2012</w:t>
            </w:r>
          </w:p>
        </w:tc>
        <w:tc>
          <w:tcPr>
            <w:tcW w:w="140" w:type="dxa"/>
            <w:vAlign w:val="bottom"/>
          </w:tcPr>
          <w:p>
            <w:pPr>
              <w:spacing w:after="0"/>
              <w:rPr>
                <w:sz w:val="16"/>
                <w:szCs w:val="16"/>
                <w:color w:val="auto"/>
              </w:rPr>
            </w:pPr>
          </w:p>
        </w:tc>
        <w:tc>
          <w:tcPr>
            <w:tcW w:w="1320" w:type="dxa"/>
            <w:vAlign w:val="bottom"/>
          </w:tcPr>
          <w:p>
            <w:pPr>
              <w:jc w:val="right"/>
              <w:ind w:right="52"/>
              <w:spacing w:after="0"/>
              <w:rPr>
                <w:sz w:val="20"/>
                <w:szCs w:val="20"/>
                <w:color w:val="auto"/>
              </w:rPr>
            </w:pPr>
            <w:r>
              <w:rPr>
                <w:rFonts w:ascii="Arial" w:cs="Arial" w:eastAsia="Arial" w:hAnsi="Arial"/>
                <w:sz w:val="14"/>
                <w:szCs w:val="14"/>
                <w:b w:val="1"/>
                <w:bCs w:val="1"/>
                <w:color w:val="auto"/>
                <w:w w:val="91"/>
              </w:rPr>
              <w:t>December 29, 2013</w:t>
            </w:r>
          </w:p>
        </w:tc>
      </w:tr>
      <w:tr>
        <w:trPr>
          <w:trHeight w:val="250"/>
        </w:trPr>
        <w:tc>
          <w:tcPr>
            <w:tcW w:w="7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Billed, current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Unbilled, current</w:t>
            </w: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27"/>
        </w:trPr>
        <w:tc>
          <w:tcPr>
            <w:tcW w:w="7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7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Unbilled, long-term (included in other assets)</w:t>
            </w: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r>
      <w:tr>
        <w:trPr>
          <w:trHeight w:val="20"/>
        </w:trPr>
        <w:tc>
          <w:tcPr>
            <w:tcW w:w="7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Unbilled receivables represent the balance of recoverable costs and accrued profit, composed principally of revenue recognized on contracts for which billings have not been presented to the customer because the amounts were earned but not contractually billable as of the balance sheet date. Retainages receivable were $3.5 million as of December 30, 2012 and $6.2 million as of December 29, 2013 and are included in accounts receivable, net in the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contract receivables (included in accounts receivable, net)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December 30, 2012</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December 29, 2013</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6260" w:type="dxa"/>
            <w:vAlign w:val="bottom"/>
            <w:gridSpan w:val="2"/>
          </w:tcPr>
          <w:p>
            <w:pPr>
              <w:ind w:left="20"/>
              <w:spacing w:after="0"/>
              <w:rPr>
                <w:sz w:val="20"/>
                <w:szCs w:val="20"/>
                <w:color w:val="auto"/>
              </w:rPr>
            </w:pPr>
            <w:r>
              <w:rPr>
                <w:rFonts w:ascii="Arial" w:cs="Arial" w:eastAsia="Arial" w:hAnsi="Arial"/>
                <w:sz w:val="18"/>
                <w:szCs w:val="18"/>
                <w:color w:val="auto"/>
              </w:rPr>
              <w:t>Unbilled</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 w:type="dxa"/>
            <w:vAlign w:val="bottom"/>
          </w:tcPr>
          <w:p>
            <w:pPr>
              <w:spacing w:after="0"/>
              <w:rPr>
                <w:sz w:val="22"/>
                <w:szCs w:val="22"/>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U.S. Government contract receivables</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
        </w:trPr>
        <w:tc>
          <w:tcPr>
            <w:tcW w:w="68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Inventoried costs, net of progress payments</w:t>
            </w: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8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December 30,</w:t>
            </w:r>
          </w:p>
        </w:tc>
        <w:tc>
          <w:tcPr>
            <w:tcW w:w="200" w:type="dxa"/>
            <w:vAlign w:val="bottom"/>
          </w:tcPr>
          <w:p>
            <w:pPr>
              <w:spacing w:after="0"/>
              <w:rPr>
                <w:sz w:val="24"/>
                <w:szCs w:val="24"/>
                <w:color w:val="auto"/>
              </w:rPr>
            </w:pPr>
          </w:p>
        </w:tc>
        <w:tc>
          <w:tcPr>
            <w:tcW w:w="122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w w:val="98"/>
              </w:rPr>
              <w:t>December 29,</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44.5</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24.3</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Supplies and other</w:t>
            </w:r>
          </w:p>
        </w:tc>
        <w:tc>
          <w:tcPr>
            <w:tcW w:w="200" w:type="dxa"/>
            <w:vAlign w:val="bottom"/>
          </w:tcPr>
          <w:p>
            <w:pPr>
              <w:spacing w:after="0"/>
              <w:rPr>
                <w:sz w:val="21"/>
                <w:szCs w:val="21"/>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Subtotal inventoried costs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75.3</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Less customer advances and progress payments</w:t>
            </w:r>
          </w:p>
        </w:tc>
        <w:tc>
          <w:tcPr>
            <w:tcW w:w="2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inventoried costs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74.6</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240" w:top="125" w:right="4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 net</w:t>
      </w:r>
    </w:p>
    <w:p>
      <w:pPr>
        <w:spacing w:after="0" w:line="230"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726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30, 2012</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29, 2013</w:t>
            </w:r>
          </w:p>
        </w:tc>
      </w:tr>
      <w:tr>
        <w:trPr>
          <w:trHeight w:val="250"/>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buildings</w:t>
            </w:r>
          </w:p>
        </w:tc>
        <w:tc>
          <w:tcPr>
            <w:tcW w:w="48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4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7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Furniture and office equipment</w:t>
            </w:r>
          </w:p>
        </w:tc>
        <w:tc>
          <w:tcPr>
            <w:tcW w:w="4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7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 under capital lease</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4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7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37"/>
        </w:trPr>
        <w:tc>
          <w:tcPr>
            <w:tcW w:w="72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134.9</w:t>
            </w:r>
          </w:p>
        </w:tc>
      </w:tr>
      <w:tr>
        <w:trPr>
          <w:trHeight w:val="27"/>
        </w:trPr>
        <w:tc>
          <w:tcPr>
            <w:tcW w:w="7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57"/>
        </w:trPr>
        <w:tc>
          <w:tcPr>
            <w:tcW w:w="726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84.8</w:t>
            </w:r>
          </w:p>
        </w:tc>
      </w:tr>
      <w:tr>
        <w:trPr>
          <w:trHeight w:val="20"/>
        </w:trPr>
        <w:tc>
          <w:tcPr>
            <w:tcW w:w="7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Depreciation expense was $10.0 million, $14.1 million and $17.2 million for the years ended December 25, 2011, December 30, 2012, and December 29, 2013,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225"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May 19, 2010, the Company entered into an indenture with the guarantors set forth therein and Wilmington Trust FSB, as trustee and collateral agent (as amended or supplemented the “Indenture”), to issue the Notes. As of December 29, 2013, the Company had issued Notes in the aggregate principal amount of $625.0 million under the Indenture, of which $225.0 million were issued on May 19, 2010, $285.0 million were issued on March 25, 2011 at a $20.0 million premium and an effective interest rate of 8.5%, and $115.0 million were issued on July 27, 2011 at a $5.8 million premium and an effective interest rate of 8.9%. These Notes have been used to fund acquisitions and for general corporate purposes. The holders of the Notes have a first priority lien on substantially all of the Company's assets and the assets of the guarantors, except with respect to accounts receivable, inventory, deposit accounts, securities accounts, cash, securities and general intangibles (other than intellectual property), on which the holders of the Notes have a second priority lien to the $110.0 million credit facility described below.</w:t>
      </w:r>
    </w:p>
    <w:p>
      <w:pPr>
        <w:spacing w:after="0" w:line="17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Company pays interest on the Notes semi-annually, in arrears, on June 1 and December 1 of each year. The Notes include customary covenants and events of default as well as a consolidated fixed charge ratio of 2:1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December 29, 2013, the Company was in compliance with the covenants contained in the Indenture governing the Notes. In addition, the ability to pay dividends is restricted by both the indenture entered into in connection with the issuance of the Notes due 2017 and the amended credit and security agreement discussed below.</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or after June 1, 2014, the Company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In addition, the Company may, at its option, redeem some or all of the Notes at any time prior to June 1, 2014 by paying a “make whole” premium, plus accrued and unpaid interest, if any, to the date of redemption. The Company may also purchase outstanding Notes traded on the open market at any time.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were issued in three offerings.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$225 million 10% Senior Secured Note Offering, May 2010</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May 19, 2010, the Company issued Notes in the aggregate principal amount of $225.0 million in an unregistered offering pursuant to Rule 144A and Regulation S under the Securities Act, and on August 11, 2010, the Company completed 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exchange offer for such Notes pursuant to a registration rights agreement entered into in connection with the issuance thereof. The proceeds were primarily used to finance the acquisitions of Gichner Holdings, Inc., DEI Services Corporation, and Southside Container &amp; Trailer, LLC, as well as to refinance the Company's existing debt.</w:t>
      </w:r>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$285 million 10% Senior Secured Note Offering, March 2011</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On March 25, 2011, the Company issued Notes in the aggregate principal amount of $285.0 million in an unregistered offering pursuant to Rule 144A and Regulation S under the Securities Act and received approximately $314.0 million in cash proceeds from the offering, which includes an approximate $20.0 million of issuance premiums and $9.0 million of accrued interest, which proceeds were used, together with cash contributions of $45.0 million from the Company, to finance the acquisition of all of the outstanding shares of common stock of Herley (see Note 3), to pay related fees and expenses and for general corporate purposes. The effective interest rate on this issuance was 8.5%. On July 29, 2011, the Company completed an exchange offer for these Notes pursuant to a registration rights agreement entered into in connection with this issuance.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$115 million 10% Senior Secured Note Offering, July 2011</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On July 27, 2011, the Company issued Notes in the aggregate principal amount of $115.0 million in an unregistered offering pursuant to Rule 144A and Regulation S under the Securities Act and received approximately $122.5 million in cash proceeds from the issuance of the Notes, which includes an approximate $5.8 million of issuance premiums and $1.7 million of accrued interest. These proceeds were used to finance, in part, the cash portion of the purchase price for the acquisition of Integral (see Note 3), to refinance existing indebtedness of Integral, to make certain severance payments in connection with the acquisition of Integral and to pay related fees and expenses. The effective interest rate on this issuance was 8.9%. On December 2, 2011, the Company completed an exchange offer for these Notes pursuant to a registration rights agreement entered into in connection with this issuance.</w:t>
      </w:r>
    </w:p>
    <w:p>
      <w:pPr>
        <w:spacing w:after="0" w:line="161"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Other Indebtedness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$110.0 Million Credit Facility</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July 27, 2011, the Company entered into a credit and security agreement with KeyBank National Association (“KeyBank”), as lead arranger, sole book runner and administrative agent, and East West Bank and Bank of the West, as the lenders (the “2011 Credit Agreement”). The 2011 Credit Agreement amends and restates in its entirety the credit and security agreement, dated as of May 19, 2010, by and among the Company, KeyBank and the lenders named therein (as amended). The 2011 Credit Agreement established a five-year senior secured revolving credit facility in the amount of $65.0 million (as amended and described below, the “Amended Revolver”). The Amended Revolver is secured by a lien on substantially all of the Company's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Notes.</w:t>
      </w:r>
    </w:p>
    <w:p>
      <w:pPr>
        <w:spacing w:after="0" w:line="17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November 14, 2011, the Company entered into a first amendment (the “First Amendment”) to the 2011 Credit Agreement. Among other things, the First Amendment: (i) increased the amount of the Amended Revolver from $65.0 million to $90.0 million; (ii) added to and modified the definitions of certain terms contained in the 2011 Credit Agreement; (iii) added PNC Bank, National Association as a lender under the 2011 Credit Agreement; and (iv) updated certain schedules to the 2011 Credit Agreement.</w:t>
      </w:r>
    </w:p>
    <w:p>
      <w:pPr>
        <w:spacing w:after="0" w:line="187" w:lineRule="exact"/>
        <w:rPr>
          <w:sz w:val="20"/>
          <w:szCs w:val="20"/>
          <w:color w:val="auto"/>
        </w:rPr>
      </w:pPr>
    </w:p>
    <w:p>
      <w:pPr>
        <w:ind w:firstLine="612"/>
        <w:spacing w:after="0" w:line="259" w:lineRule="auto"/>
        <w:rPr>
          <w:sz w:val="20"/>
          <w:szCs w:val="20"/>
          <w:color w:val="auto"/>
        </w:rPr>
      </w:pPr>
      <w:r>
        <w:rPr>
          <w:rFonts w:ascii="Arial" w:cs="Arial" w:eastAsia="Arial" w:hAnsi="Arial"/>
          <w:sz w:val="18"/>
          <w:szCs w:val="18"/>
          <w:color w:val="auto"/>
        </w:rPr>
        <w:t>On May 4, 2012, the Company entered into a second amendment (the “Second Amendment”) to the 2011 Credit Agreement. Among other things, the Second Amendment (i) increased the amount of the Amended Revolver from $90.0 million to $110.0 million; (ii) added to and modified the definitions of certain terms contained in the 2011 Credit Agreement; (iii) added Cathay Bank as a lender under the 2011 Credit Agreement; (iv) increased the maximum available to be borrowed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125"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under the 2011 Credit Agreement to $135.0 million subject to KeyBank's approval; and (v) updated certain schedules to the Credit Agreement.</w:t>
      </w:r>
    </w:p>
    <w:p>
      <w:pPr>
        <w:spacing w:after="0" w:line="225"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On May 8, 2012, the Company entered into a third amendment (the “Third Amendment”) to the 2011 Credit Agreement. Under the terms of the Third Amendment, the definitions of certain terms of the 2011 Credit Agreement were modified and the acquisition of CEI was approved. The Company used the net proceeds from the sale of 20.0 million shares of its common stock, together with the borrowings under its credit facility, to fund the purchase of CEI on July 2, 2012 and to pay related fees and expenses.</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the Company is required to repay such borrowings in an amount sufficient to eliminate such excess. The Amended Revolver includes $50.0 million of availability for letters of credit and $10.0 million of availability for swing line loans.</w:t>
      </w:r>
    </w:p>
    <w:p>
      <w:pPr>
        <w:spacing w:after="0" w:line="17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may borrow funds under the Amended Revolver at a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As of December 29, 2013, there were no outstanding borrowings on the Amended Revolver and $10.7 million was outstanding on letters of credit resulting in net borrowing base availability of $79.9 million. The Company was in compliance with the financial covenants as of December 29, 2013.</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assumed a $10.0 million 10-year term loan with a bank in Israel that Herley entered into on September 16, 2008 in connection with the acquisition of Herley. The balance as of December 29, 2013 was $4.8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as of December 29, 2013.</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December 30, 2012 and December 29, 2013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30, 2012</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29, 2013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630.7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649.4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690.5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629.8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644.3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 —quoted prices in active markets) and is the estimated amount the Company would have to pay to repurchase its debt, including any premium or discount attributable to the difference between the stated interest rate and market value of interest at the balance sheet date.</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net unamortized debt premium of $14.5 million as of December 29, 2013, which is the difference between the carrying amount of $644.3 million and the principal amount of $629.8 million represented in the previous table, is being amortized to interest expense over the terms of the related debt.</w:t>
      </w:r>
    </w:p>
    <w:p>
      <w:pPr>
        <w:spacing w:after="0" w:line="12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Future maturities of long-term debt for each of the years ending 2014 through 2016 are $1.0 million per year, $626.0 million in 2017, and $0.8 million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 Commitments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leases certain facilities and equipment under operating and capital leases having terms expiring at various dates through 2023.</w:t>
      </w:r>
    </w:p>
    <w:p>
      <w:pPr>
        <w:spacing w:after="0" w:line="23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Future minimum lease payments under capital and operating leases as of December 29, 2013, which does not include $7.1 million in sublease income on the Company's operating leases, are as follows (in millions):</w:t>
      </w:r>
    </w:p>
    <w:p>
      <w:pPr>
        <w:spacing w:after="0" w:line="333"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7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Net Operating</w:t>
            </w:r>
          </w:p>
        </w:tc>
        <w:tc>
          <w:tcPr>
            <w:tcW w:w="0" w:type="dxa"/>
            <w:vAlign w:val="bottom"/>
          </w:tcPr>
          <w:p>
            <w:pPr>
              <w:spacing w:after="0"/>
              <w:rPr>
                <w:sz w:val="1"/>
                <w:szCs w:val="1"/>
                <w:color w:val="auto"/>
              </w:rPr>
            </w:pPr>
          </w:p>
        </w:tc>
      </w:tr>
      <w:tr>
        <w:trPr>
          <w:trHeight w:val="237"/>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89"/>
              </w:rPr>
              <w:t>Capital Leases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Leases</w:t>
            </w:r>
          </w:p>
        </w:tc>
        <w:tc>
          <w:tcPr>
            <w:tcW w:w="0" w:type="dxa"/>
            <w:vAlign w:val="bottom"/>
          </w:tcPr>
          <w:p>
            <w:pPr>
              <w:spacing w:after="0"/>
              <w:rPr>
                <w:sz w:val="1"/>
                <w:szCs w:val="1"/>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7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Less amount representing interest</w:t>
            </w: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Present value of capital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capital lease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an analysis of the leased property under capital leases by major class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30, 2012</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29, 2013</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Classes of Property</w:t>
            </w:r>
          </w:p>
        </w:tc>
        <w:tc>
          <w:tcPr>
            <w:tcW w:w="5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27"/>
        </w:trPr>
        <w:tc>
          <w:tcPr>
            <w:tcW w:w="7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w:t>
            </w: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Vehicles</w:t>
            </w:r>
          </w:p>
        </w:tc>
        <w:tc>
          <w:tcPr>
            <w:tcW w:w="5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7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5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3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7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5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7600" w:type="dxa"/>
            <w:vAlign w:val="bottom"/>
          </w:tcPr>
          <w:p>
            <w:pPr>
              <w:spacing w:after="0"/>
              <w:rPr>
                <w:sz w:val="20"/>
                <w:szCs w:val="20"/>
                <w:color w:val="auto"/>
              </w:rPr>
            </w:pPr>
          </w:p>
        </w:tc>
        <w:tc>
          <w:tcPr>
            <w:tcW w:w="540" w:type="dxa"/>
            <w:vAlign w:val="bottom"/>
            <w:tcBorders>
              <w:top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20"/>
                <w:szCs w:val="20"/>
                <w:color w:val="auto"/>
              </w:rPr>
            </w:pPr>
          </w:p>
        </w:tc>
        <w:tc>
          <w:tcPr>
            <w:tcW w:w="540" w:type="dxa"/>
            <w:vAlign w:val="bottom"/>
            <w:tcBorders>
              <w:top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76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7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Amortization expense related to capital leases was $0.1 million, $0.1 million and $0.2 million for the years ended December 25, 2011, December 30, 2012 and December 29, 2013, respectively.</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Gross rent expense under operating leases for the years ended December 25, 2011, December 30, 2012, and December 29, 2013 was $12.8 million, $21.1 million, and $16.7 million, respectively. Total sublease income for the years ended December 25, 2011, December 30, 2012, and December 29, 2013, totaling $1.3 million, $2.7 million, and $2.3 million, respectively, has been netted against rent expense.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Based on management's assessment of assumptions considering existing market conditions, sublease rental rates and recoverability of operating lease expenses for the Company's vacant properties and due to the Company's actions to consolidate facilities, the Company periodically reevaluates its accrual for excess facilities. In 2011, as a result of the Integral acquisition, the Company acquired 131,450 rentable square feet of property located in Maryland with a lease term through April 2020. Prior to the acquisition, Integral had vacated the majority of this space and subleased approximately 83,000 square feet for an initial term which commenced on October 1, 2010 and ends on October 31, 2015. The Company recorded a liability at fair value of approximately $19.0 million at the merger date related to this excess facility.</w:t>
      </w:r>
    </w:p>
    <w:p>
      <w:pPr>
        <w:spacing w:after="0" w:line="19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Company's accrual for excess facilities was $18.5 million, $18.7 million, and $12.4 million as of December 25, 2011, December 30, 2012 and December 29, 2013, respectively. The Company estimates that the remaining accrual will be paid through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accrual for excess facilities is as follows (in millions):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8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89"/>
              </w:rPr>
              <w:t>Excess Facilities</w:t>
            </w: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25, 2011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Fair value of liability assumed in acquisition</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27"/>
        </w:trPr>
        <w:tc>
          <w:tcPr>
            <w:tcW w:w="8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8980" w:type="dxa"/>
            <w:vAlign w:val="bottom"/>
          </w:tcPr>
          <w:p>
            <w:pPr>
              <w:ind w:left="20"/>
              <w:spacing w:after="0"/>
              <w:rPr>
                <w:sz w:val="20"/>
                <w:szCs w:val="20"/>
                <w:color w:val="auto"/>
              </w:rPr>
            </w:pPr>
            <w:r>
              <w:rPr>
                <w:rFonts w:ascii="Arial" w:cs="Arial" w:eastAsia="Arial" w:hAnsi="Arial"/>
                <w:sz w:val="18"/>
                <w:szCs w:val="18"/>
                <w:color w:val="auto"/>
              </w:rPr>
              <w:t>Balance as of December 30, 2012</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w:t>
            </w:r>
          </w:p>
        </w:tc>
      </w:tr>
      <w:tr>
        <w:trPr>
          <w:trHeight w:val="27"/>
        </w:trPr>
        <w:tc>
          <w:tcPr>
            <w:tcW w:w="8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of excess facility accruals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29, 2013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0"/>
        </w:trPr>
        <w:tc>
          <w:tcPr>
            <w:tcW w:w="8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lease on certain office facilities includes scheduled base rent increases over the term of the lease. The total amount of the base rent payments is being charged to expense on the straight-line method over the term of the lease. In addition to the base rent payment, the Company pays a monthly allocation of the building's operating expenses. The Company has recorded deferred rent, included in accrued expenses and other long-term liabilities in the Consolidated Balance Sheets, of $1.0 million, $1.3 million, and $3.2 million at December 25, 2011, December 30, 2012 and December 29, 2013, respectively, to reflect the excess of rent expense over cash payments since inception of the respective leases. The adjustment to the accrual in 2013 was primarily due to a change in the necessary estimated excess facility accrual of office space at our Colombia, Maryland administrative facilities.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Loss Per Common Share</w:t>
      </w:r>
    </w:p>
    <w:p>
      <w:pPr>
        <w:spacing w:after="0" w:line="229"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 xml:space="preserve">The Company calculates net income (loss) per share in accordance with </w:t>
      </w:r>
      <w:r>
        <w:rPr>
          <w:rFonts w:ascii="Arial" w:cs="Arial" w:eastAsia="Arial" w:hAnsi="Arial"/>
          <w:sz w:val="17"/>
          <w:szCs w:val="17"/>
          <w:i w:val="1"/>
          <w:iCs w:val="1"/>
          <w:color w:val="auto"/>
        </w:rPr>
        <w:t>FASB ASC Topic 260</w:t>
      </w:r>
      <w:r>
        <w:rPr>
          <w:rFonts w:ascii="Arial" w:cs="Arial" w:eastAsia="Arial" w:hAnsi="Arial"/>
          <w:sz w:val="17"/>
          <w:szCs w:val="17"/>
          <w:color w:val="auto"/>
        </w:rPr>
        <w:t xml:space="preserve">, </w:t>
      </w:r>
      <w:r>
        <w:rPr>
          <w:rFonts w:ascii="Arial" w:cs="Arial" w:eastAsia="Arial" w:hAnsi="Arial"/>
          <w:sz w:val="17"/>
          <w:szCs w:val="17"/>
          <w:i w:val="1"/>
          <w:iCs w:val="1"/>
          <w:color w:val="auto"/>
        </w:rPr>
        <w:t>Earnings per Share (“Topic 260”).</w:t>
      </w:r>
      <w:r>
        <w:rPr>
          <w:rFonts w:ascii="Arial" w:cs="Arial" w:eastAsia="Arial" w:hAnsi="Arial"/>
          <w:sz w:val="17"/>
          <w:szCs w:val="17"/>
          <w:color w:val="auto"/>
        </w:rPr>
        <w:t xml:space="preserve"> Under </w:t>
      </w:r>
      <w:r>
        <w:rPr>
          <w:rFonts w:ascii="Arial" w:cs="Arial" w:eastAsia="Arial" w:hAnsi="Arial"/>
          <w:sz w:val="17"/>
          <w:szCs w:val="17"/>
          <w:i w:val="1"/>
          <w:iCs w:val="1"/>
          <w:color w:val="auto"/>
        </w:rPr>
        <w:t>Topic 260</w:t>
      </w:r>
      <w:r>
        <w:rPr>
          <w:rFonts w:ascii="Arial" w:cs="Arial" w:eastAsia="Arial" w:hAnsi="Arial"/>
          <w:sz w:val="17"/>
          <w:szCs w:val="17"/>
          <w:color w:val="auto"/>
        </w:rPr>
        <w:t>,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shares were excluded from the calculation of diluted loss per share because their inclusion would have been anti-dilutive (in millions):</w:t>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25, 2011</w:t>
            </w: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30, 2012</w:t>
            </w:r>
          </w:p>
        </w:tc>
        <w:tc>
          <w:tcPr>
            <w:tcW w:w="1400" w:type="dxa"/>
            <w:vAlign w:val="bottom"/>
          </w:tcPr>
          <w:p>
            <w:pPr>
              <w:jc w:val="right"/>
              <w:ind w:right="39"/>
              <w:spacing w:after="0"/>
              <w:rPr>
                <w:sz w:val="20"/>
                <w:szCs w:val="20"/>
                <w:color w:val="auto"/>
              </w:rPr>
            </w:pPr>
            <w:r>
              <w:rPr>
                <w:rFonts w:ascii="Arial" w:cs="Arial" w:eastAsia="Arial" w:hAnsi="Arial"/>
                <w:sz w:val="14"/>
                <w:szCs w:val="14"/>
                <w:b w:val="1"/>
                <w:bCs w:val="1"/>
                <w:color w:val="auto"/>
                <w:w w:val="99"/>
              </w:rPr>
              <w:t>December 29, 2013</w:t>
            </w:r>
          </w:p>
        </w:tc>
      </w:tr>
      <w:tr>
        <w:trPr>
          <w:trHeight w:val="24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from stock options and awards</w:t>
            </w:r>
          </w:p>
        </w:tc>
        <w:tc>
          <w:tcPr>
            <w:tcW w:w="14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w:t>
            </w:r>
          </w:p>
        </w:tc>
        <w:tc>
          <w:tcPr>
            <w:tcW w:w="32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3.6</w:t>
            </w:r>
          </w:p>
        </w:tc>
        <w:tc>
          <w:tcPr>
            <w:tcW w:w="32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2.6</w:t>
            </w:r>
          </w:p>
        </w:tc>
      </w:tr>
      <w:tr>
        <w:trPr>
          <w:trHeight w:val="27"/>
        </w:trPr>
        <w:tc>
          <w:tcPr>
            <w:tcW w:w="58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(loss) from continuing operations before income taxes and equity earnings are listed below (in millions):</w:t>
      </w:r>
    </w:p>
    <w:p>
      <w:pPr>
        <w:spacing w:after="0" w:line="200" w:lineRule="exact"/>
        <w:rPr>
          <w:sz w:val="20"/>
          <w:szCs w:val="20"/>
          <w:color w:val="auto"/>
        </w:rPr>
      </w:pPr>
    </w:p>
    <w:p>
      <w:pPr>
        <w:spacing w:after="0" w:line="246"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55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Foreign</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7.5</w:t>
            </w: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0"/>
        </w:trPr>
        <w:tc>
          <w:tcPr>
            <w:tcW w:w="5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provision (benefit) for income taxes from continuing operations for the years ended December 25, 2011, December 30, 2012, and December 29, 2013 are comprised of the following (in millions):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125"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1840" w:type="dxa"/>
        <w:tblCellMar>
          <w:top w:w="0" w:type="dxa"/>
          <w:left w:w="0" w:type="dxa"/>
          <w:bottom w:w="0" w:type="dxa"/>
          <w:right w:w="0" w:type="dxa"/>
        </w:tblCellMar>
      </w:tblPr>
      <w:tr>
        <w:trPr>
          <w:trHeight w:val="192"/>
        </w:trPr>
        <w:tc>
          <w:tcPr>
            <w:tcW w:w="43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income taxes:</w:t>
            </w:r>
          </w:p>
        </w:tc>
        <w:tc>
          <w:tcPr>
            <w:tcW w:w="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Current</w:t>
            </w:r>
          </w:p>
        </w:tc>
        <w:tc>
          <w:tcPr>
            <w:tcW w:w="660" w:type="dxa"/>
            <w:vAlign w:val="bottom"/>
          </w:tcPr>
          <w:p>
            <w:pPr>
              <w:jc w:val="right"/>
              <w:ind w:right="476"/>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6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r>
      <w:tr>
        <w:trPr>
          <w:trHeight w:val="237"/>
        </w:trPr>
        <w:tc>
          <w:tcPr>
            <w:tcW w:w="4360" w:type="dxa"/>
            <w:vAlign w:val="bottom"/>
          </w:tcPr>
          <w:p>
            <w:pPr>
              <w:ind w:left="340"/>
              <w:spacing w:after="0"/>
              <w:rPr>
                <w:sz w:val="20"/>
                <w:szCs w:val="20"/>
                <w:color w:val="auto"/>
              </w:rPr>
            </w:pPr>
            <w:r>
              <w:rPr>
                <w:rFonts w:ascii="Arial" w:cs="Arial" w:eastAsia="Arial" w:hAnsi="Arial"/>
                <w:sz w:val="18"/>
                <w:szCs w:val="18"/>
                <w:color w:val="auto"/>
              </w:rPr>
              <w:t>Total Federal</w:t>
            </w:r>
          </w:p>
        </w:tc>
        <w:tc>
          <w:tcPr>
            <w:tcW w:w="6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3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and local income taxes</w:t>
            </w:r>
          </w:p>
        </w:tc>
        <w:tc>
          <w:tcPr>
            <w:tcW w:w="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Current</w:t>
            </w:r>
          </w:p>
        </w:tc>
        <w:tc>
          <w:tcPr>
            <w:tcW w:w="6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2.0</w:t>
            </w:r>
          </w:p>
        </w:tc>
      </w:tr>
      <w:tr>
        <w:trPr>
          <w:trHeight w:val="27"/>
        </w:trPr>
        <w:tc>
          <w:tcPr>
            <w:tcW w:w="4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6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4360" w:type="dxa"/>
            <w:vAlign w:val="bottom"/>
          </w:tcPr>
          <w:p>
            <w:pPr>
              <w:ind w:left="340"/>
              <w:spacing w:after="0"/>
              <w:rPr>
                <w:sz w:val="20"/>
                <w:szCs w:val="20"/>
                <w:color w:val="auto"/>
              </w:rPr>
            </w:pPr>
            <w:r>
              <w:rPr>
                <w:rFonts w:ascii="Arial" w:cs="Arial" w:eastAsia="Arial" w:hAnsi="Arial"/>
                <w:sz w:val="18"/>
                <w:szCs w:val="18"/>
                <w:color w:val="auto"/>
              </w:rPr>
              <w:t>Total State and local</w:t>
            </w:r>
          </w:p>
        </w:tc>
        <w:tc>
          <w:tcPr>
            <w:tcW w:w="6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r>
      <w:tr>
        <w:trPr>
          <w:trHeight w:val="27"/>
        </w:trPr>
        <w:tc>
          <w:tcPr>
            <w:tcW w:w="43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income taxes:</w:t>
            </w:r>
          </w:p>
        </w:tc>
        <w:tc>
          <w:tcPr>
            <w:tcW w:w="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Current</w:t>
            </w:r>
          </w:p>
        </w:tc>
        <w:tc>
          <w:tcPr>
            <w:tcW w:w="6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0.1</w:t>
            </w:r>
          </w:p>
        </w:tc>
      </w:tr>
      <w:tr>
        <w:trPr>
          <w:trHeight w:val="27"/>
        </w:trPr>
        <w:tc>
          <w:tcPr>
            <w:tcW w:w="4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6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4360" w:type="dxa"/>
            <w:vAlign w:val="bottom"/>
          </w:tcPr>
          <w:p>
            <w:pPr>
              <w:ind w:left="340"/>
              <w:spacing w:after="0"/>
              <w:rPr>
                <w:sz w:val="20"/>
                <w:szCs w:val="20"/>
                <w:color w:val="auto"/>
              </w:rPr>
            </w:pPr>
            <w:r>
              <w:rPr>
                <w:rFonts w:ascii="Arial" w:cs="Arial" w:eastAsia="Arial" w:hAnsi="Arial"/>
                <w:sz w:val="18"/>
                <w:szCs w:val="18"/>
                <w:color w:val="auto"/>
              </w:rPr>
              <w:t>Total Foreign</w:t>
            </w:r>
          </w:p>
        </w:tc>
        <w:tc>
          <w:tcPr>
            <w:tcW w:w="6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r>
      <w:tr>
        <w:trPr>
          <w:trHeight w:val="27"/>
        </w:trPr>
        <w:tc>
          <w:tcPr>
            <w:tcW w:w="43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 reconciliation of the total income tax provision (benefit) to the amount computed by applying the statutory federal income tax rate of 35% to income (loss) from continuing operations before income tax provision for the years ended December 25, 2011, December 30, 2012 and December 29, 2013 is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2013</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at federal statutory rate</w:t>
            </w: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State taxes, net of federal tax benefit and valuation allowance</w:t>
            </w:r>
          </w:p>
        </w:tc>
        <w:tc>
          <w:tcPr>
            <w:tcW w:w="7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6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 in tax rates between U.S. and foreign</w:t>
            </w:r>
          </w:p>
        </w:tc>
        <w:tc>
          <w:tcPr>
            <w:tcW w:w="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Release of foreign valuation allowance</w:t>
            </w:r>
          </w:p>
        </w:tc>
        <w:tc>
          <w:tcPr>
            <w:tcW w:w="7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federal valuation allowance</w:t>
            </w:r>
          </w:p>
        </w:tc>
        <w:tc>
          <w:tcPr>
            <w:tcW w:w="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Nondeductible expense</w:t>
            </w:r>
          </w:p>
        </w:tc>
        <w:tc>
          <w:tcPr>
            <w:tcW w:w="7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6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reserve for uncertain tax positions</w:t>
            </w:r>
          </w:p>
        </w:tc>
        <w:tc>
          <w:tcPr>
            <w:tcW w:w="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Transaction costs</w:t>
            </w:r>
          </w:p>
        </w:tc>
        <w:tc>
          <w:tcPr>
            <w:tcW w:w="7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to indefinite life items and separate state deferred taxes</w:t>
            </w:r>
          </w:p>
        </w:tc>
        <w:tc>
          <w:tcPr>
            <w:tcW w:w="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Impact of purchase accounting</w:t>
            </w:r>
          </w:p>
        </w:tc>
        <w:tc>
          <w:tcPr>
            <w:tcW w:w="70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7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180" w:type="dxa"/>
            <w:vAlign w:val="bottom"/>
          </w:tcPr>
          <w:p>
            <w:pPr>
              <w:ind w:left="4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6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effects of temporary differences that give rise to the deferred tax assets and deferred tax liabilities as of December 30, 2012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2013 are as follows (in millions):</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60"/>
          </w:cols>
          <w:pgMar w:left="240" w:top="125" w:right="2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7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Sundry accruals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Vacation accrual</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Payroll related accruals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accruals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Tax credit carryforwards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Reserves and other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7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7"/>
        </w:trPr>
        <w:tc>
          <w:tcPr>
            <w:tcW w:w="7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 net of allowance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Other intangibles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principally due to differences in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7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57"/>
        </w:trPr>
        <w:tc>
          <w:tcPr>
            <w:tcW w:w="7580" w:type="dxa"/>
            <w:vAlign w:val="bottom"/>
          </w:tcPr>
          <w:p>
            <w:pPr>
              <w:ind w:left="20"/>
              <w:spacing w:after="0"/>
              <w:rPr>
                <w:sz w:val="20"/>
                <w:szCs w:val="20"/>
                <w:color w:val="auto"/>
              </w:rPr>
            </w:pPr>
            <w:r>
              <w:rPr>
                <w:rFonts w:ascii="Arial" w:cs="Arial" w:eastAsia="Arial" w:hAnsi="Arial"/>
                <w:sz w:val="18"/>
                <w:szCs w:val="18"/>
                <w:color w:val="auto"/>
              </w:rPr>
              <w:t>Net deferred tax asset (liability)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deferred tax assets, with the exception of an amount equal to its deferred tax liabilities, which can be expected to reverse over a definite life and certain foreign and separate state deferred tax assets. Management will continue to evaluate the necessity to maintain a valuation allowance against the Company's net deferred tax assets. During fiscal 2013, the Company recorded a net increase in its federal valuation allowance of $13.0 million.</w:t>
      </w:r>
    </w:p>
    <w:p>
      <w:pPr>
        <w:spacing w:after="0" w:line="19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At December 29, 2013, the Company had federal tax loss carryforwards of $325.4 million and various state tax loss carryforwards of $237.4 million including net operating losses resulting from stock options of $14.4 million for federal and state, which if recognized would result in additional paid-in-capital. The federal tax loss carryforwards will begin to expire in 2018 and state tax loss carryforwards will begin to expire in 2014 in certain states.</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 year period after the ownership change. 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will be limited to at least $27 million a year for the five years succeeding the March 2010 ownership change and at least $11.6 million for each year thereafter subject to separate limitations for Acquired NOL. If the entire limitation amount is not utilized in a year, the excess can be carried forward and utilized in future years. For the year ended December 29, 2013, there was no impact of such limitations on the income tax provision since the amount of taxable income did not exceed the annual limitation amount. In addition, future equity offerings or acquisitions that have equity as a component of the purchase price could also cause in an “ownership change.” If and when any other “ownership change”</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400"/>
          </w:cols>
          <w:pgMar w:left="240" w:top="125" w:right="25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occurs, utilization of the NOL or other tax attributes may be further limited. 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has not provided deferred U.S. income taxes or foreign withholding taxes of approximately $15.7 million on temporary differences relating to the outside basis in its investment in foreign subsidiaries which are essentially permanent in duration. It is the Company's intention to permanently reinvest undistributed earnings of its foreign subsidiaries. As of December 29, 2013 the Company has $16.0 million of cash and cash equivalents available for distribution.</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is subject to taxation in the U.S., various state tax jurisdictions and various foreign tax jurisdictions. The Company's tax years for 2000 and later are subject to examination by the U.S. and state tax authorities due to the existence of net operating loss (“NOL”) carryforwards. Generally, the Company's tax years for 2002 and later are subject to examination by various foreign tax authorities.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millions):</w:t>
      </w:r>
    </w:p>
    <w:p>
      <w:pPr>
        <w:spacing w:after="0" w:line="355" w:lineRule="exact"/>
        <w:rPr>
          <w:sz w:val="20"/>
          <w:szCs w:val="20"/>
          <w:color w:val="auto"/>
        </w:rPr>
      </w:pPr>
    </w:p>
    <w:tbl>
      <w:tblPr>
        <w:tblLayout w:type="fixed"/>
        <w:tblInd w:w="500" w:type="dxa"/>
        <w:tblCellMar>
          <w:top w:w="0" w:type="dxa"/>
          <w:left w:w="0" w:type="dxa"/>
          <w:bottom w:w="0" w:type="dxa"/>
          <w:right w:w="0" w:type="dxa"/>
        </w:tblCellMar>
      </w:tblPr>
      <w:tr>
        <w:trPr>
          <w:trHeight w:val="264"/>
        </w:trPr>
        <w:tc>
          <w:tcPr>
            <w:tcW w:w="8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26, 2010</w:t>
            </w:r>
          </w:p>
        </w:tc>
        <w:tc>
          <w:tcPr>
            <w:tcW w:w="52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Increases related to prior periods (acquired entities)</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8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Expiration of applicable statutes of limitations</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with taxing authorities</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8980" w:type="dxa"/>
            <w:vAlign w:val="bottom"/>
          </w:tcPr>
          <w:p>
            <w:pPr>
              <w:ind w:left="20"/>
              <w:spacing w:after="0"/>
              <w:rPr>
                <w:sz w:val="20"/>
                <w:szCs w:val="20"/>
                <w:color w:val="auto"/>
              </w:rPr>
            </w:pPr>
            <w:r>
              <w:rPr>
                <w:rFonts w:ascii="Arial" w:cs="Arial" w:eastAsia="Arial" w:hAnsi="Arial"/>
                <w:sz w:val="18"/>
                <w:szCs w:val="18"/>
                <w:color w:val="auto"/>
              </w:rPr>
              <w:t>Balance as of December 25, 2011</w:t>
            </w: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8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Increases related to prior periods (acquired entities)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Expiration of applicable statutes of limitations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Settlements with taxing authorities</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8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30, 2012</w:t>
            </w: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37"/>
        </w:trPr>
        <w:tc>
          <w:tcPr>
            <w:tcW w:w="8980" w:type="dxa"/>
            <w:vAlign w:val="bottom"/>
          </w:tcPr>
          <w:p>
            <w:pPr>
              <w:ind w:left="20"/>
              <w:spacing w:after="0"/>
              <w:rPr>
                <w:sz w:val="20"/>
                <w:szCs w:val="20"/>
                <w:color w:val="auto"/>
              </w:rPr>
            </w:pPr>
            <w:r>
              <w:rPr>
                <w:rFonts w:ascii="Arial" w:cs="Arial" w:eastAsia="Arial" w:hAnsi="Arial"/>
                <w:sz w:val="18"/>
                <w:szCs w:val="18"/>
                <w:color w:val="auto"/>
              </w:rPr>
              <w:t>Increases related to prior periods (acquired entities)</w:t>
            </w: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8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Expiration of applicable statutes of limitations</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with taxing authorities</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980" w:type="dxa"/>
            <w:vAlign w:val="bottom"/>
          </w:tcPr>
          <w:p>
            <w:pPr>
              <w:ind w:left="20"/>
              <w:spacing w:after="0"/>
              <w:rPr>
                <w:sz w:val="20"/>
                <w:szCs w:val="20"/>
                <w:color w:val="auto"/>
              </w:rPr>
            </w:pPr>
            <w:r>
              <w:rPr>
                <w:rFonts w:ascii="Arial" w:cs="Arial" w:eastAsia="Arial" w:hAnsi="Arial"/>
                <w:sz w:val="18"/>
                <w:szCs w:val="18"/>
                <w:color w:val="auto"/>
              </w:rPr>
              <w:t>Balance as of December 29, 2013</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w:t>
            </w:r>
          </w:p>
        </w:tc>
      </w:tr>
      <w:tr>
        <w:trPr>
          <w:trHeight w:val="20"/>
        </w:trPr>
        <w:tc>
          <w:tcPr>
            <w:tcW w:w="8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Included in the balance of unrecognized tax benefits at December 29, 2013, are $15.8 million of tax benefits that, if recognized, would affect the effective tax rate. Included in this amount is $14.5 million that would become a deferred tax asset if the tax benefit were recognized. As such, this benefit may be impacted by a corresponding valuation allowance depending upon the Company's consolidated financial position at the time the benefits are recognized.</w:t>
      </w:r>
    </w:p>
    <w:p>
      <w:pPr>
        <w:spacing w:after="0" w:line="14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For the years ended December 25, 2011, December 30, 2012 and December 29, 2013, the Company recorded $0.3 million, $0.4 million and $0.2 million, respectively, in interest or penalties. These amounts are netted by a benefit for interest and penalties related to the reversal of prior positions as noted above of $0.4 million, $0.1 million, and $0.2 million for the years ended December 25, 2011, December 30, 2012, and December 29, 2013, respectively. As of December 25, 2011, December 30, 2012, and December 29, 2013, the Company had recorded total interest and penalties of $0.4 million, $0.7 million, and $0.7 million, respectively.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believes that that no material amount of the liabilities for uncertain tax positions will expire within 12 months of December 29,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Discontinued Operations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125"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In June of 2012, consistent with the Company's plans to complete its assessment and evaluation of the non-core businesses acquired in the Integral acquisition, the Company committed to a plan to sell certain lines of business associated with antennas, satellite-cased products and fly-away terminals. These operations were previously reported in the KGS segment, and in accordance with </w:t>
      </w:r>
      <w:r>
        <w:rPr>
          <w:rFonts w:ascii="Arial" w:cs="Arial" w:eastAsia="Arial" w:hAnsi="Arial"/>
          <w:sz w:val="18"/>
          <w:szCs w:val="18"/>
          <w:i w:val="1"/>
          <w:iCs w:val="1"/>
          <w:color w:val="auto"/>
        </w:rPr>
        <w:t>Topic 205,</w:t>
      </w:r>
      <w:r>
        <w:rPr>
          <w:rFonts w:ascii="Arial" w:cs="Arial" w:eastAsia="Arial" w:hAnsi="Arial"/>
          <w:sz w:val="18"/>
          <w:szCs w:val="18"/>
          <w:color w:val="auto"/>
        </w:rPr>
        <w:t xml:space="preserve"> these businesses have been classified as held for sale and reported in discontinued operations in the accompanying consolidated financial statements. In the second quarter of 2012, the Company recorded a $1.5 million impairment charge associated with the portion of goodwill that was allocated to the discontinued businesses based on management's estimate of the fair value of the discontinued businesses. The Company sold its domestic operations to two buyers for approximately $0.8 million in cash consideration and the assumption of certain liabilities. The Company received $0.3 million in cash in 2012 from the first buyer and $0.5 million in cash in April 2013 from the second buyer. The Company recorded a $1.2 million impairment charge in the first quarter of 2013 related to its revised estimate of the fair value of these operations.</w:t>
      </w:r>
    </w:p>
    <w:p>
      <w:pPr>
        <w:spacing w:after="0" w:line="19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presents the results of discontinued operations including gain and loss on disposals which is included in loss before taxes (in millions):</w:t>
      </w:r>
    </w:p>
    <w:p>
      <w:pPr>
        <w:spacing w:after="0" w:line="312"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 ended</w:t>
            </w:r>
          </w:p>
        </w:tc>
        <w:tc>
          <w:tcPr>
            <w:tcW w:w="200" w:type="dxa"/>
            <w:vAlign w:val="bottom"/>
          </w:tcPr>
          <w:p>
            <w:pPr>
              <w:spacing w:after="0"/>
              <w:rPr>
                <w:sz w:val="14"/>
                <w:szCs w:val="14"/>
                <w:color w:val="auto"/>
              </w:rPr>
            </w:pPr>
          </w:p>
        </w:tc>
        <w:tc>
          <w:tcPr>
            <w:tcW w:w="10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30,</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25, 2011</w:t>
            </w:r>
          </w:p>
        </w:tc>
        <w:tc>
          <w:tcPr>
            <w:tcW w:w="120" w:type="dxa"/>
            <w:vAlign w:val="bottom"/>
          </w:tcPr>
          <w:p>
            <w:pPr>
              <w:spacing w:after="0"/>
              <w:rPr>
                <w:sz w:val="16"/>
                <w:szCs w:val="16"/>
                <w:color w:val="auto"/>
              </w:rPr>
            </w:pPr>
          </w:p>
        </w:tc>
        <w:tc>
          <w:tcPr>
            <w:tcW w:w="102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December 29, 2013</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Loss before taxes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benefit for income taxes for the year ended December 25, 2011 and December 30, 2012 was primarily due to the expiration of the statute of limitations for certain foreign tax contingencies related to the Company’s discontinued wireless services business.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following is a summary of the assets and liabilities of discontinued operations, which are in other current assets, other non-current assets, other current liabilities and other long-term liabilities in the accompanying Consolidated Balance Sheets as of December 30, 2012 and December 29, 2013 (in millions):</w:t>
      </w:r>
    </w:p>
    <w:p>
      <w:pPr>
        <w:spacing w:after="0" w:line="200" w:lineRule="exact"/>
        <w:rPr>
          <w:sz w:val="20"/>
          <w:szCs w:val="20"/>
          <w:color w:val="auto"/>
        </w:rPr>
      </w:pP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192"/>
        </w:trPr>
        <w:tc>
          <w:tcPr>
            <w:tcW w:w="6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30, 2012</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8"/>
              </w:rPr>
              <w:t>December 29, 2013</w:t>
            </w: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80" w:type="dxa"/>
            <w:vAlign w:val="bottom"/>
            <w:tcBorders>
              <w:bottom w:val="single" w:sz="8" w:color="CCEEFF"/>
            </w:tcBorders>
            <w:shd w:val="clear" w:color="auto" w:fill="CCEEFF"/>
          </w:tcPr>
          <w:p>
            <w:pPr>
              <w:jc w:val="right"/>
              <w:ind w:right="1272"/>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Inventoried costs</w:t>
            </w:r>
          </w:p>
        </w:tc>
        <w:tc>
          <w:tcPr>
            <w:tcW w:w="148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1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1480" w:type="dxa"/>
            <w:vAlign w:val="bottom"/>
            <w:tcBorders>
              <w:top w:val="single" w:sz="8" w:color="auto"/>
              <w:bottom w:val="single" w:sz="8" w:color="auto"/>
            </w:tcBorders>
          </w:tcPr>
          <w:p>
            <w:pPr>
              <w:jc w:val="right"/>
              <w:ind w:right="1272"/>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6.6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80" w:type="dxa"/>
            <w:vAlign w:val="bottom"/>
            <w:tcBorders>
              <w:bottom w:val="single" w:sz="8" w:color="CCEEFF"/>
            </w:tcBorders>
            <w:shd w:val="clear" w:color="auto" w:fill="CCEEFF"/>
          </w:tcPr>
          <w:p>
            <w:pPr>
              <w:jc w:val="right"/>
              <w:ind w:right="1272"/>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8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assets of discontinued operations</w:t>
            </w:r>
          </w:p>
        </w:tc>
        <w:tc>
          <w:tcPr>
            <w:tcW w:w="1480" w:type="dxa"/>
            <w:vAlign w:val="bottom"/>
            <w:tcBorders>
              <w:bottom w:val="single" w:sz="8" w:color="auto"/>
            </w:tcBorders>
            <w:shd w:val="clear" w:color="auto" w:fill="CCEEFF"/>
          </w:tcPr>
          <w:p>
            <w:pPr>
              <w:jc w:val="right"/>
              <w:ind w:right="1272"/>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6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Accrued expenses and accounts payable</w:t>
            </w:r>
          </w:p>
        </w:tc>
        <w:tc>
          <w:tcPr>
            <w:tcW w:w="1480" w:type="dxa"/>
            <w:vAlign w:val="bottom"/>
          </w:tcPr>
          <w:p>
            <w:pPr>
              <w:jc w:val="right"/>
              <w:ind w:right="1272"/>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4.4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6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48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6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liabilities of discontinued operations</w:t>
            </w:r>
          </w:p>
        </w:tc>
        <w:tc>
          <w:tcPr>
            <w:tcW w:w="1480" w:type="dxa"/>
            <w:vAlign w:val="bottom"/>
            <w:tcBorders>
              <w:bottom w:val="single" w:sz="8" w:color="auto"/>
            </w:tcBorders>
            <w:shd w:val="clear" w:color="auto" w:fill="CCEEFF"/>
          </w:tcPr>
          <w:p>
            <w:pPr>
              <w:jc w:val="right"/>
              <w:ind w:right="1272"/>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0"/>
        </w:trPr>
        <w:tc>
          <w:tcPr>
            <w:tcW w:w="6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480" w:type="dxa"/>
            <w:vAlign w:val="bottom"/>
          </w:tcPr>
          <w:p>
            <w:pPr>
              <w:jc w:val="right"/>
              <w:ind w:right="1272"/>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0.3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6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Long-term liabilities of discontinued operations</w:t>
            </w:r>
          </w:p>
        </w:tc>
        <w:tc>
          <w:tcPr>
            <w:tcW w:w="1480" w:type="dxa"/>
            <w:vAlign w:val="bottom"/>
            <w:tcBorders>
              <w:bottom w:val="single" w:sz="8" w:color="auto"/>
            </w:tcBorders>
            <w:shd w:val="clear" w:color="auto" w:fill="CCEEFF"/>
          </w:tcPr>
          <w:p>
            <w:pPr>
              <w:jc w:val="right"/>
              <w:ind w:right="1272"/>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0"/>
        </w:trPr>
        <w:tc>
          <w:tcPr>
            <w:tcW w:w="6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The Company adopted </w:t>
      </w:r>
      <w:r>
        <w:rPr>
          <w:rFonts w:ascii="Arial" w:cs="Arial" w:eastAsia="Arial" w:hAnsi="Arial"/>
          <w:sz w:val="17"/>
          <w:szCs w:val="17"/>
          <w:i w:val="1"/>
          <w:iCs w:val="1"/>
          <w:color w:val="auto"/>
        </w:rPr>
        <w:t>Topic 820</w:t>
      </w:r>
      <w:r>
        <w:rPr>
          <w:rFonts w:ascii="Arial" w:cs="Arial" w:eastAsia="Arial" w:hAnsi="Arial"/>
          <w:sz w:val="17"/>
          <w:szCs w:val="17"/>
          <w:color w:val="auto"/>
        </w:rPr>
        <w:t xml:space="preserve"> with the exception of the application of the statement to non-recurring nonfinancial assets and nonfinancial liabilities. Non-recurring nonfinancial assets and nonfinancial liabilities for which it has not applied the provisions of </w:t>
      </w:r>
      <w:r>
        <w:rPr>
          <w:rFonts w:ascii="Arial" w:cs="Arial" w:eastAsia="Arial" w:hAnsi="Arial"/>
          <w:sz w:val="17"/>
          <w:szCs w:val="17"/>
          <w:i w:val="1"/>
          <w:iCs w:val="1"/>
          <w:color w:val="auto"/>
        </w:rPr>
        <w:t>Topic 820</w:t>
      </w:r>
      <w:r>
        <w:rPr>
          <w:rFonts w:ascii="Arial" w:cs="Arial" w:eastAsia="Arial" w:hAnsi="Arial"/>
          <w:sz w:val="17"/>
          <w:szCs w:val="17"/>
          <w:color w:val="auto"/>
        </w:rPr>
        <w:t xml:space="preserve"> include those measured at fair value in goodwill impairment testing, indefinite lived intangible assets measured at fair value for impairment testing, asset retirement obligations initially measured at fair value, and those assets and liabilities initially measured at fair value in a business combination.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125"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 xml:space="preserve">Topic 820 </w:t>
      </w:r>
      <w:r>
        <w:rPr>
          <w:rFonts w:ascii="Arial" w:cs="Arial" w:eastAsia="Arial" w:hAnsi="Arial"/>
          <w:sz w:val="18"/>
          <w:szCs w:val="18"/>
          <w:color w:val="auto"/>
        </w:rPr>
        <w:t>establishes a valuation hierarchy for disclosure of the inputs to valuation used to measure fair value. This hierarchy prioritizes the inputs</w:t>
      </w:r>
      <w:r>
        <w:rPr>
          <w:rFonts w:ascii="Arial" w:cs="Arial" w:eastAsia="Arial" w:hAnsi="Arial"/>
          <w:sz w:val="18"/>
          <w:szCs w:val="18"/>
          <w:i w:val="1"/>
          <w:iCs w:val="1"/>
          <w:color w:val="auto"/>
        </w:rPr>
        <w:t xml:space="preserve"> </w:t>
      </w:r>
      <w:r>
        <w:rPr>
          <w:rFonts w:ascii="Arial" w:cs="Arial" w:eastAsia="Arial" w:hAnsi="Arial"/>
          <w:sz w:val="18"/>
          <w:szCs w:val="18"/>
          <w:color w:val="auto"/>
        </w:rPr>
        <w:t>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5"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On May 14, 2012, the Company sold 20.0 million shares of its common stock at a purchase price of $5.00 per share in an underwritten public offering. The Company received gross proceeds of $100.0 million. After deducting underwriting and other offering expenses, the Company received approximately $97.0 million in net proceeds. The Company used the net proceeds from this offering to fund a portion of the cash consideration paid to the stockholders of CEI in connection with the Company's acquisition thereof on July 2, 2012.</w:t>
      </w:r>
    </w:p>
    <w:p>
      <w:pPr>
        <w:spacing w:after="0" w:line="17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December 1, 2011, the Company repurchased in the open market from an institutional investor 2.0 million shares of its common stock for $5.45 per share, in a block transaction in compliance with legal requirements.</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July 27, 2011, in connection with the acquisition of Integral, the Company issued approximately 10.4 million shares of its common stock to shareholders of Integral. See Note 3 for a complete description of this transaction.</w:t>
      </w:r>
    </w:p>
    <w:p>
      <w:pPr>
        <w:spacing w:after="0" w:line="170"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On February 11, 2011, the Company sold approximately 4.9 million shares of its common stock at a purchase price of $13.25 per share in an underwritten public offering. The Company received gross proceeds of approximately $64.8 million. After deducting underwriting and other offering expenses, the Company received approximately $61.1 million in net proceeds.</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Preferred Stock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On March 8, 2011, all of the 10,000 shares of the previously issued and outstanding shares of Series B Convertible Preferred Stock (“Preferred Stock”) were redeemed for 100,000 shares of common stock. Prior to the redemption, the Preferred Stock had a total liquidation preference of $5.0 million. In accordance with </w:t>
      </w:r>
      <w:r>
        <w:rPr>
          <w:rFonts w:ascii="Arial" w:cs="Arial" w:eastAsia="Arial" w:hAnsi="Arial"/>
          <w:sz w:val="18"/>
          <w:szCs w:val="18"/>
          <w:i w:val="1"/>
          <w:iCs w:val="1"/>
          <w:color w:val="auto"/>
        </w:rPr>
        <w:t>Topic 260</w:t>
      </w:r>
      <w:r>
        <w:rPr>
          <w:rFonts w:ascii="Arial" w:cs="Arial" w:eastAsia="Arial" w:hAnsi="Arial"/>
          <w:sz w:val="18"/>
          <w:szCs w:val="18"/>
          <w:color w:val="auto"/>
        </w:rPr>
        <w:t>, the Preferred Stock was considered a participating security for purposes of computing basic earnings per share prior to redemption.</w:t>
      </w:r>
    </w:p>
    <w:p>
      <w:pPr>
        <w:spacing w:after="0" w:line="183"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Plans and Restricted Stock Unit Plans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Company's board of directors (“Board”) may grant equity-based awards to selected employees, directors and consultants of the Company pursuant to its existing equity incentive plans. In February 2005, the Board approved the 2005 Equity Incentive Plan (“2005 Plan”). The 2005 Plan was subsequently approved by a majority of the Company's stockholders on May 18, 2005. In March 10, 2011, the Board approved the 2011 Equity Incentive Plan (“2011 Plan”). The 2011 Plan was subsequently approved by a majority of the Company's stockholders on May 27, 2011. Each of the 2005 Plan and the 2011 Plan permits the Board to issue a wide-variety of awards, including restricted stock units, restricted stock, stock appreciation rights, stock options and deferred stock units. If any shares covered by an award under the 2005 Plan or 2011 Plan are not purchased or are forfeited, or if an award otherwise is terminated, canceled or retired, such shares are again made available for awards under the 2005 Plan and 2011 Plan. As of December 29, 2013, there are approximately 362,000 and 1.0 million shares reserved for issuance for future grant under the 2005 Plan and 2011 Plan, respectively. The Board may amend or terminate the 2005 Plan or 2011 Plan at any time. Certain amendments, including an increase in the share reserve, require stockholder approval. Generally, options and restricted stock units outstanding vest over periods not exceeding ten years. When the Company grants stock options, they are granted with a per share exercise price not less than the fair market value of the Company's common stock on the date of grant, and generally would be exercisable for up to ten years from the grant date.</w:t>
      </w:r>
    </w:p>
    <w:p>
      <w:pPr>
        <w:spacing w:after="0" w:line="18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 xml:space="preserve">Integral Stock Option Plans. </w:t>
      </w:r>
      <w:r>
        <w:rPr>
          <w:rFonts w:ascii="Arial" w:cs="Arial" w:eastAsia="Arial" w:hAnsi="Arial"/>
          <w:sz w:val="16"/>
          <w:szCs w:val="16"/>
          <w:color w:val="auto"/>
        </w:rPr>
        <w:t>All outstanding options to purchase shares of Integral common stock that were not canceled and exchanged for a cash</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upon completion of the Integral merger, were assumed by the Company and converted into options to purchase shares of the Company's common stock (with the number of shares subject to each such option and the exercise price applicable to each such option adjusted based on the applicable exchange ratio) (the “Assumed Options”). The Company assumed each such stock option in accordance with the terms and conditions of the applicable Integral option plan and stock option agreement, subject to the adjustments described in the preceding sentence. On February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125"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20, 2012, the Board confirmed (i) the assumption of Integral's 2008 Stock Incentive Plan (the “2008 Plan”), pursuant to NASDAQ Rule 5635, which provides that shares available under certain plans acquired in mergers and other acquisitions may be used for certain post-transaction grants without further stockholder approval and (ii) an amendment to the 2008 Plan, in order to permit the future grant of awards, including restricted stock unit awards, by the Company pursuant to the plan. The 2008 Plan was approved by Integral's Board of directors in December 2007 and by Integral's stockholders in February 2008. The terms and conditions of specific awards are set at the discretion of the Board. As of December 29, 2013, there are approximately 1.3 million shares of the Company's common stock available for issuance under the 2008 Plan. The shares of common stock available for issuance under the 2008 Plan may be used to grant awards, including stock options, stock appreciation rights, restricted stock and restricted stock units, to any employee, director or consultant who was not an employee, director or consultant of the Company prior to the consummation of the Integral merger. The Board may amend or terminate the 2008 Plan at any time. However, certain amendments, including an increase in the share reserve, would require stockholder approval.</w:t>
      </w:r>
    </w:p>
    <w:p>
      <w:pPr>
        <w:spacing w:after="0" w:line="16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Herley Stock Option Plans. </w:t>
      </w:r>
      <w:r>
        <w:rPr>
          <w:rFonts w:ascii="Arial" w:cs="Arial" w:eastAsia="Arial" w:hAnsi="Arial"/>
          <w:sz w:val="16"/>
          <w:szCs w:val="16"/>
          <w:color w:val="auto"/>
        </w:rPr>
        <w:t>All outstanding options to purchase shares of Herley common stock that were not canceled and exchanged for a cash</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upon completion of the Herley merger, were assumed by the Company and converted into options to purchase shares of the Company's common stock (with the number of shares subject to each such option and the exercise price applicable to each such option adjusted based on the applicable exchange ratio). The Company assumed each such stock option in accordance with the terms and conditions of the applicable Herley option plan and stock option agreement, subject to the adjustments described in the preceding sentence. On December 30, 2012, the Board confirmed (i) the assumption of Herley's 2010 Stock Plan (the “2010 Plan”), pursuant to NASDAQ Rule 5635, and (ii) an amendment to the 2010 Plan, in order to permit the future grant of awards, including restricted stock unit awards, by the Company pursuant to the plan. The 2010 Plan was approved by Herley's Board of Directors in January 2010 and by Herley's stockholders in March 2010. The terms and conditions of specific awards are set at the discretion of the Board. As of December 29, 2013, there are approximately 365,000 shares of the Company's common stock available for issuance under the 2010 Plan. These shares are available to grant awards, including stock options, shares of common stock and restricted stock units, to any employee, director or consultant who was not an employee, director or consultant of the Company prior to the consummation of the Herley merger. The Board of the Company may amend or terminate the 2010 Plan at any time. However, certain amendments, including an increase in the share reserve, would require stockholder approval.</w:t>
      </w:r>
    </w:p>
    <w:p>
      <w:pPr>
        <w:spacing w:after="0" w:line="16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 xml:space="preserve">Henry Bros. Electronics Stock Option Plans. </w:t>
      </w:r>
      <w:r>
        <w:rPr>
          <w:rFonts w:ascii="Arial" w:cs="Arial" w:eastAsia="Arial" w:hAnsi="Arial"/>
          <w:sz w:val="16"/>
          <w:szCs w:val="16"/>
          <w:color w:val="auto"/>
        </w:rPr>
        <w:t>HBE's stock option and stock incentive plans acquired in connection with the Company's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HBE were terminated on December 15, 2010, and no further grants may be made under these plans after such date. Award grants that were outstanding under these plans on December 15, 2010 will continue to be governed by their existing terms and may be exercised for shares of the Company's common stock at any time prior to the expiration of the option term or any earlier termination of those options in connection with the option holder's cessation of service with the Company. Stock options granted under these plans were incentive stock options, may generally be exercised from one to ten years after the date of grant and generally vest ratably over three to five years. Certain of these options had change in control provisions that accelerated the vesting of the options.</w:t>
      </w:r>
    </w:p>
    <w:p>
      <w:pPr>
        <w:spacing w:after="0" w:line="16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Digital Fusion Inc. Stock Option and Stock Incentive Plans. </w:t>
      </w:r>
      <w:r>
        <w:rPr>
          <w:rFonts w:ascii="Arial" w:cs="Arial" w:eastAsia="Arial" w:hAnsi="Arial"/>
          <w:sz w:val="16"/>
          <w:szCs w:val="16"/>
          <w:color w:val="auto"/>
        </w:rPr>
        <w:t>DFI's stock option and stock incentive plans acquired in connection with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of DFI were terminated on December 24, 2008, and no further grants may be made under these plans after such date. Award grants that were outstanding under these plans on December 24, 2008 will continue to be governed by their existing terms and may be exercised for shares of the Company's common stock at any time prior to the expiration of the ten-year option term or any earlier termination of those options in connection with the option holder's cessation of service with the Company. Stock options granted under these plans included incentive stock options or non-statutory stock options. All non-statutory options vest upon change in control and were 100% vested on December 24, 2008. With respect to incentive stock options, the qualified stock option plans provide that the exercise price of each such option must be at least equal to 100% of the fair market value of its common stock on the date of grant. Stock options granted under these plans may generally be exercised from one to ten years after the date of grant. Certain of these options had change in control provisions that extended the exercise period for grants for two years from the transaction closing date. Awards granted under these plans generally vest equally over three years; however, in connection with the Company's acquisition of DFI the plans were amended to include immediate vesting of all unvested grants upon any future change in control of the Company. DFI also had certain options granted outside of its qualified stock option plans. These non-qualified “out of plan” stock options expire 10 years from grant date.</w:t>
      </w:r>
    </w:p>
    <w:p>
      <w:pPr>
        <w:spacing w:after="0" w:line="16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 xml:space="preserve">RSU Agreements. </w:t>
      </w:r>
      <w:r>
        <w:rPr>
          <w:rFonts w:ascii="Arial" w:cs="Arial" w:eastAsia="Arial" w:hAnsi="Arial"/>
          <w:sz w:val="18"/>
          <w:szCs w:val="18"/>
          <w:color w:val="auto"/>
        </w:rPr>
        <w:t>On January 10, 2007, the Compensation Committee of the Board approved a form of Restricted Stock Unit Agreement (an RSU</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to govern the issuance of restricted stock units (“RSUs”) to executive officers under the Company's 2005 Plan. On November 14, 2011, the Compensation Committee of the Board approved a form of RSU Agreement to govern the issuance of RSUs to executive officers under the Company's 2011 Plan. Each RSU represents the right to receive a share of common stock (a “Share”) on the vesting date. Unless and until the RSUs vest, the Employee will have no</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right to receive Shares under such RSUs. Prior to actual distribution of Shares pursuant to any vested RSUs, such RSUs will represent an unsecured obligation of the Company, payable (if at all) only from the general assets of the Company. The RSUs that may be awarded to executive officers under an RSU Agreement will vest according to vesting schedules specified in the notice of grant accompanying each grant. The Company recognizes compensation expense on a straight-line basis over the vesting periods based on the market price of the Company's stock on the grant date. The awards granted in 2011, 2012, and 2013 had vesting periods ranging from 2 to 10 years; 1 to 10 years, and 1 to 10 years, respectively. Some of the grants for these years have accelerated vesting occurring upon change of control or termination. Upon exercise of the RSU, the Company issues new shares of common stock.</w:t>
      </w:r>
    </w:p>
    <w:p>
      <w:pPr>
        <w:spacing w:after="0" w:line="16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Company records compensation expense for employee stock options based on the estimated fair value of the options on the date of grant using the Black-Scholes option-pricing model or a trinomial lattice options pricing model with the weighted average assumptions (annualized percentages) included in the following table. Awards with graded vesting are recognized using the straight-line method with the following assumptions:</w:t>
      </w:r>
    </w:p>
    <w:p>
      <w:pPr>
        <w:spacing w:after="0" w:line="387"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7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Expected life (1)</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6.25 - 10.0</w:t>
            </w:r>
          </w:p>
        </w:tc>
      </w:tr>
      <w:tr>
        <w:trPr>
          <w:trHeight w:val="27"/>
        </w:trPr>
        <w:tc>
          <w:tcPr>
            <w:tcW w:w="5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- 3.4%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- 2.3%</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- 2.9%</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Volatility(3)</w:t>
            </w:r>
          </w:p>
        </w:tc>
        <w:tc>
          <w:tcPr>
            <w:tcW w:w="780" w:type="dxa"/>
            <w:vAlign w:val="bottom"/>
          </w:tcPr>
          <w:p>
            <w:pPr>
              <w:jc w:val="right"/>
              <w:spacing w:after="0"/>
              <w:rPr>
                <w:sz w:val="20"/>
                <w:szCs w:val="20"/>
                <w:color w:val="auto"/>
              </w:rPr>
            </w:pPr>
            <w:r>
              <w:rPr>
                <w:rFonts w:ascii="Arial" w:cs="Arial" w:eastAsia="Arial" w:hAnsi="Arial"/>
                <w:sz w:val="18"/>
                <w:szCs w:val="18"/>
                <w:color w:val="auto"/>
              </w:rPr>
              <w:t>29.3%</w:t>
            </w:r>
          </w:p>
        </w:tc>
        <w:tc>
          <w:tcPr>
            <w:tcW w:w="880" w:type="dxa"/>
            <w:vAlign w:val="bottom"/>
          </w:tcPr>
          <w:p>
            <w:pPr>
              <w:ind w:left="20"/>
              <w:spacing w:after="0"/>
              <w:rPr>
                <w:sz w:val="20"/>
                <w:szCs w:val="20"/>
                <w:color w:val="auto"/>
              </w:rPr>
            </w:pPr>
            <w:r>
              <w:rPr>
                <w:rFonts w:ascii="Arial" w:cs="Arial" w:eastAsia="Arial" w:hAnsi="Arial"/>
                <w:sz w:val="18"/>
                <w:szCs w:val="18"/>
                <w:color w:val="auto"/>
              </w:rPr>
              <w:t>- 65.3%</w:t>
            </w:r>
          </w:p>
        </w:tc>
        <w:tc>
          <w:tcPr>
            <w:tcW w:w="10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59.0% - 59.7%</w:t>
            </w:r>
          </w:p>
        </w:tc>
        <w:tc>
          <w:tcPr>
            <w:tcW w:w="1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56.8% - 61.2%</w:t>
            </w:r>
          </w:p>
        </w:tc>
      </w:tr>
      <w:tr>
        <w:trPr>
          <w:trHeight w:val="27"/>
        </w:trPr>
        <w:tc>
          <w:tcPr>
            <w:tcW w:w="5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Forfeiture rate(4)</w:t>
            </w:r>
          </w:p>
        </w:tc>
        <w:tc>
          <w:tcPr>
            <w:tcW w:w="16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Dividend yield(5)</w:t>
            </w:r>
          </w:p>
        </w:tc>
        <w:tc>
          <w:tcPr>
            <w:tcW w:w="176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229" w:lineRule="exact"/>
        <w:rPr>
          <w:sz w:val="20"/>
          <w:szCs w:val="20"/>
          <w:color w:val="auto"/>
        </w:rPr>
      </w:pPr>
    </w:p>
    <w:p>
      <w:pPr>
        <w:ind w:left="1240" w:hanging="260"/>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2011 and 2012, no unvested options were granted and the expected life was equal to the life of the option.</w:t>
      </w:r>
    </w:p>
    <w:p>
      <w:pPr>
        <w:spacing w:after="0" w:line="23" w:lineRule="exact"/>
        <w:rPr>
          <w:rFonts w:ascii="Arial" w:cs="Arial" w:eastAsia="Arial" w:hAnsi="Arial"/>
          <w:sz w:val="18"/>
          <w:szCs w:val="18"/>
          <w:color w:val="auto"/>
        </w:rPr>
      </w:pPr>
    </w:p>
    <w:p>
      <w:pPr>
        <w:ind w:left="1240" w:hanging="260"/>
        <w:spacing w:after="0"/>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risk-free interest rate is based on U.S. Treasury yields in effect at the time of grant with a term equal to the expected term of the options.</w:t>
      </w:r>
    </w:p>
    <w:p>
      <w:pPr>
        <w:spacing w:after="0" w:line="32" w:lineRule="exact"/>
        <w:rPr>
          <w:rFonts w:ascii="Arial" w:cs="Arial" w:eastAsia="Arial" w:hAnsi="Arial"/>
          <w:sz w:val="16"/>
          <w:szCs w:val="16"/>
          <w:color w:val="auto"/>
        </w:rPr>
      </w:pPr>
    </w:p>
    <w:p>
      <w:pPr>
        <w:ind w:left="1240" w:hanging="260"/>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2011, 2012, and 2013, the Company estimated implied volatility based upon trailing volatility.</w:t>
      </w:r>
    </w:p>
    <w:p>
      <w:pPr>
        <w:spacing w:after="0" w:line="9" w:lineRule="exact"/>
        <w:rPr>
          <w:rFonts w:ascii="Arial" w:cs="Arial" w:eastAsia="Arial" w:hAnsi="Arial"/>
          <w:sz w:val="18"/>
          <w:szCs w:val="18"/>
          <w:color w:val="auto"/>
        </w:rPr>
      </w:pPr>
    </w:p>
    <w:p>
      <w:pPr>
        <w:ind w:left="1620" w:right="500" w:hanging="640"/>
        <w:spacing w:after="0" w:line="250" w:lineRule="auto"/>
        <w:tabs>
          <w:tab w:leader="none" w:pos="1227"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Forfeitures are estimated at the time of grant based upon historical information. Forfeitures will be revised, if necessary, in subsequent periods if actual forfeitures differ from estimates.</w:t>
      </w:r>
    </w:p>
    <w:p>
      <w:pPr>
        <w:ind w:left="1360" w:hanging="380"/>
        <w:spacing w:after="0"/>
        <w:tabs>
          <w:tab w:leader="none" w:pos="1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summary of the status of the Company's stock option plan as of December 29, 2013 and changes in options outstanding under the plan for the year ended December 29, 2013 is as follows:</w:t>
      </w:r>
    </w:p>
    <w:p>
      <w:pPr>
        <w:spacing w:after="0" w:line="312"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94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Under</w:t>
            </w:r>
          </w:p>
        </w:tc>
        <w:tc>
          <w:tcPr>
            <w:tcW w:w="12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Exercise</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Term</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Price per Share</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70"/>
        </w:trPr>
        <w:tc>
          <w:tcPr>
            <w:tcW w:w="502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(000's)</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center"/>
              <w:ind w:right="94"/>
              <w:spacing w:after="0"/>
              <w:rPr>
                <w:sz w:val="20"/>
                <w:szCs w:val="20"/>
                <w:color w:val="auto"/>
              </w:rPr>
            </w:pPr>
            <w:r>
              <w:rPr>
                <w:rFonts w:ascii="Arial" w:cs="Arial" w:eastAsia="Arial" w:hAnsi="Arial"/>
                <w:sz w:val="14"/>
                <w:szCs w:val="14"/>
                <w:b w:val="1"/>
                <w:bCs w:val="1"/>
                <w:color w:val="auto"/>
                <w:w w:val="91"/>
              </w:rPr>
              <w:t>(000's)</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Options outstanding at December 30, 2012</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1,133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27.66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1,012</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or expired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at December 29, 2013</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1,721</w:t>
            </w:r>
          </w:p>
        </w:tc>
        <w:tc>
          <w:tcPr>
            <w:tcW w:w="3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2,179.0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exercisable at December 29, 2013</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821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22.09</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As of December 29, 2013, there was $2.1 million of total unrecognized stock-based compensation expense related to nonvested options which is expected to be recognized over a remaining weighted-average vesting period of 4.2 years. Upon exercise of an option, the Company issues new shares of common stock.</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During the years ended December 25, 2011, December 30, 2012, and December 29, 2013 the following values relate to the grants and exercises under the Company's option plans: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125"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43"/>
        </w:trPr>
        <w:tc>
          <w:tcPr>
            <w:tcW w:w="6960" w:type="dxa"/>
            <w:vAlign w:val="bottom"/>
            <w:gridSpan w:val="2"/>
          </w:tcPr>
          <w:p>
            <w:pPr>
              <w:spacing w:after="0"/>
              <w:rPr>
                <w:sz w:val="20"/>
                <w:szCs w:val="20"/>
                <w:color w:val="auto"/>
              </w:rPr>
            </w:pPr>
            <w:r>
              <w:rPr>
                <w:rFonts w:ascii="Arial" w:cs="Arial" w:eastAsia="Arial" w:hAnsi="Arial"/>
                <w:sz w:val="18"/>
                <w:szCs w:val="18"/>
                <w:color w:val="auto"/>
              </w:rPr>
              <w:t>Weighted average grant date fair value of options granted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2.38</w:t>
            </w:r>
          </w:p>
        </w:tc>
        <w:tc>
          <w:tcPr>
            <w:tcW w:w="440" w:type="dxa"/>
            <w:vAlign w:val="bottom"/>
            <w:gridSpan w:val="3"/>
          </w:tcPr>
          <w:p>
            <w:pPr>
              <w:ind w:left="3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3.56</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21"/>
                <w:szCs w:val="21"/>
                <w:color w:val="auto"/>
              </w:rPr>
            </w:pPr>
          </w:p>
        </w:tc>
      </w:tr>
      <w:tr>
        <w:trPr>
          <w:trHeight w:val="270"/>
        </w:trPr>
        <w:tc>
          <w:tcPr>
            <w:tcW w:w="6960" w:type="dxa"/>
            <w:vAlign w:val="bottom"/>
            <w:gridSpan w:val="2"/>
          </w:tcPr>
          <w:p>
            <w:pPr>
              <w:spacing w:after="0"/>
              <w:rPr>
                <w:sz w:val="20"/>
                <w:szCs w:val="20"/>
                <w:color w:val="auto"/>
              </w:rPr>
            </w:pPr>
            <w:r>
              <w:rPr>
                <w:rFonts w:ascii="Arial" w:cs="Arial" w:eastAsia="Arial" w:hAnsi="Arial"/>
                <w:sz w:val="18"/>
                <w:szCs w:val="18"/>
                <w:color w:val="auto"/>
              </w:rPr>
              <w:t>Total intrinsic value of options exercised (in thousands)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1,832</w:t>
            </w:r>
          </w:p>
        </w:tc>
        <w:tc>
          <w:tcPr>
            <w:tcW w:w="440" w:type="dxa"/>
            <w:vAlign w:val="bottom"/>
            <w:gridSpan w:val="3"/>
          </w:tcPr>
          <w:p>
            <w:pPr>
              <w:ind w:left="3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675"/>
        </w:trPr>
        <w:tc>
          <w:tcPr>
            <w:tcW w:w="100" w:type="dxa"/>
            <w:vAlign w:val="bottom"/>
          </w:tcPr>
          <w:p>
            <w:pPr>
              <w:spacing w:after="0"/>
              <w:rPr>
                <w:sz w:val="24"/>
                <w:szCs w:val="24"/>
                <w:color w:val="auto"/>
              </w:rPr>
            </w:pPr>
          </w:p>
        </w:tc>
        <w:tc>
          <w:tcPr>
            <w:tcW w:w="6860" w:type="dxa"/>
            <w:vAlign w:val="bottom"/>
          </w:tcPr>
          <w:p>
            <w:pPr>
              <w:ind w:left="40"/>
              <w:spacing w:after="0"/>
              <w:rPr>
                <w:sz w:val="20"/>
                <w:szCs w:val="20"/>
                <w:color w:val="auto"/>
              </w:rPr>
            </w:pPr>
            <w:r>
              <w:rPr>
                <w:rFonts w:ascii="Arial" w:cs="Arial" w:eastAsia="Arial" w:hAnsi="Arial"/>
                <w:sz w:val="18"/>
                <w:szCs w:val="18"/>
                <w:color w:val="auto"/>
              </w:rPr>
              <w:t>The following table summarizes the Company's Restricted Stock Unit activity:</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spacing w:after="0"/>
              <w:rPr>
                <w:sz w:val="24"/>
                <w:szCs w:val="24"/>
                <w:color w:val="auto"/>
              </w:rPr>
            </w:pPr>
          </w:p>
        </w:tc>
        <w:tc>
          <w:tcPr>
            <w:tcW w:w="120" w:type="dxa"/>
            <w:vAlign w:val="bottom"/>
            <w:gridSpan w:val="2"/>
          </w:tcPr>
          <w:p>
            <w:pPr>
              <w:spacing w:after="0"/>
              <w:rPr>
                <w:sz w:val="24"/>
                <w:szCs w:val="24"/>
                <w:color w:val="auto"/>
              </w:rPr>
            </w:pPr>
          </w:p>
        </w:tc>
      </w:tr>
      <w:tr>
        <w:trPr>
          <w:trHeight w:val="153"/>
        </w:trPr>
        <w:tc>
          <w:tcPr>
            <w:tcW w:w="100" w:type="dxa"/>
            <w:vAlign w:val="bottom"/>
          </w:tcPr>
          <w:p>
            <w:pPr>
              <w:spacing w:after="0"/>
              <w:rPr>
                <w:sz w:val="13"/>
                <w:szCs w:val="13"/>
                <w:color w:val="auto"/>
              </w:rPr>
            </w:pPr>
          </w:p>
        </w:tc>
        <w:tc>
          <w:tcPr>
            <w:tcW w:w="6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3"/>
                <w:szCs w:val="13"/>
                <w:color w:val="auto"/>
              </w:rPr>
            </w:pPr>
          </w:p>
        </w:tc>
        <w:tc>
          <w:tcPr>
            <w:tcW w:w="1120" w:type="dxa"/>
            <w:vAlign w:val="bottom"/>
            <w:gridSpan w:val="4"/>
            <w:shd w:val="clear" w:color="auto" w:fill="CCEEFF"/>
          </w:tcPr>
          <w:p>
            <w:pPr>
              <w:jc w:val="right"/>
              <w:ind w:right="300"/>
              <w:spacing w:after="0" w:line="153" w:lineRule="exact"/>
              <w:rPr>
                <w:sz w:val="20"/>
                <w:szCs w:val="20"/>
                <w:color w:val="auto"/>
              </w:rPr>
            </w:pPr>
            <w:r>
              <w:rPr>
                <w:rFonts w:ascii="Arial" w:cs="Arial" w:eastAsia="Arial" w:hAnsi="Arial"/>
                <w:sz w:val="14"/>
                <w:szCs w:val="14"/>
                <w:b w:val="1"/>
                <w:bCs w:val="1"/>
                <w:color w:val="auto"/>
              </w:rPr>
              <w:t>Weighted-</w:t>
            </w:r>
          </w:p>
        </w:tc>
        <w:tc>
          <w:tcPr>
            <w:tcW w:w="20" w:type="dxa"/>
            <w:vAlign w:val="bottom"/>
          </w:tcPr>
          <w:p>
            <w:pPr>
              <w:spacing w:after="0"/>
              <w:rPr>
                <w:sz w:val="13"/>
                <w:szCs w:val="13"/>
                <w:color w:val="auto"/>
              </w:rPr>
            </w:pPr>
          </w:p>
        </w:tc>
      </w:tr>
      <w:tr>
        <w:trPr>
          <w:trHeight w:val="149"/>
        </w:trPr>
        <w:tc>
          <w:tcPr>
            <w:tcW w:w="100" w:type="dxa"/>
            <w:vAlign w:val="bottom"/>
          </w:tcPr>
          <w:p>
            <w:pPr>
              <w:spacing w:after="0"/>
              <w:rPr>
                <w:sz w:val="12"/>
                <w:szCs w:val="12"/>
                <w:color w:val="auto"/>
              </w:rPr>
            </w:pPr>
          </w:p>
        </w:tc>
        <w:tc>
          <w:tcPr>
            <w:tcW w:w="6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74"/>
              <w:spacing w:after="0" w:line="149" w:lineRule="exact"/>
              <w:rPr>
                <w:sz w:val="20"/>
                <w:szCs w:val="20"/>
                <w:color w:val="auto"/>
              </w:rPr>
            </w:pPr>
            <w:r>
              <w:rPr>
                <w:rFonts w:ascii="Arial" w:cs="Arial" w:eastAsia="Arial" w:hAnsi="Arial"/>
                <w:sz w:val="14"/>
                <w:szCs w:val="14"/>
                <w:b w:val="1"/>
                <w:bCs w:val="1"/>
                <w:color w:val="auto"/>
              </w:rPr>
              <w:t>Stock Units</w:t>
            </w:r>
          </w:p>
        </w:tc>
        <w:tc>
          <w:tcPr>
            <w:tcW w:w="12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Average Grant</w:t>
            </w:r>
          </w:p>
        </w:tc>
        <w:tc>
          <w:tcPr>
            <w:tcW w:w="20" w:type="dxa"/>
            <w:vAlign w:val="bottom"/>
          </w:tcPr>
          <w:p>
            <w:pPr>
              <w:spacing w:after="0"/>
              <w:rPr>
                <w:sz w:val="12"/>
                <w:szCs w:val="12"/>
                <w:color w:val="auto"/>
              </w:rPr>
            </w:pPr>
          </w:p>
        </w:tc>
      </w:tr>
      <w:tr>
        <w:trPr>
          <w:trHeight w:val="192"/>
        </w:trPr>
        <w:tc>
          <w:tcPr>
            <w:tcW w:w="100" w:type="dxa"/>
            <w:vAlign w:val="bottom"/>
          </w:tcPr>
          <w:p>
            <w:pPr>
              <w:spacing w:after="0"/>
              <w:rPr>
                <w:sz w:val="16"/>
                <w:szCs w:val="16"/>
                <w:color w:val="auto"/>
              </w:rPr>
            </w:pPr>
          </w:p>
        </w:tc>
        <w:tc>
          <w:tcPr>
            <w:tcW w:w="6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w w:val="91"/>
              </w:rPr>
              <w:t>(000's)</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w w:val="96"/>
              </w:rPr>
              <w:t>Date Fair Value</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43"/>
        </w:trPr>
        <w:tc>
          <w:tcPr>
            <w:tcW w:w="100" w:type="dxa"/>
            <w:vAlign w:val="bottom"/>
          </w:tcPr>
          <w:p>
            <w:pPr>
              <w:spacing w:after="0"/>
              <w:rPr>
                <w:sz w:val="21"/>
                <w:szCs w:val="21"/>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Nonvested balance at December 30, 2012</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3,670</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Vested</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Forfeitures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Vested but not released</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0" w:type="dxa"/>
            <w:vAlign w:val="bottom"/>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100" w:type="dxa"/>
            <w:vAlign w:val="bottom"/>
          </w:tcPr>
          <w:p>
            <w:pPr>
              <w:spacing w:after="0"/>
              <w:rPr>
                <w:sz w:val="22"/>
                <w:szCs w:val="22"/>
                <w:color w:val="auto"/>
              </w:rPr>
            </w:pPr>
          </w:p>
        </w:tc>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balance at December 29, 2013</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3,345</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1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As of December 29, 2013, there was $15.8 million of total unrecognized stock-based compensation expense related to nonvested restricted stock units which is expected to be recognized over a remaining weighted-average vesting period of 3.2 years. The fair value of RSU awards that vested in 2011, 2012, and 2013 was $0.8 million, $1.9 million, and $1.7 million, respectively.</w:t>
      </w:r>
    </w:p>
    <w:p>
      <w:pPr>
        <w:spacing w:after="0" w:line="177"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August 1999, the Board approved the 1999 Employee Stock Purchase Plan (“Purchase Plan”). A total of 2,689 thousand shares of Common Stock have been authorized for issuance under the Purchase Plan. The Purchase Plan qualifies as an employee stock purchase plan within the meaning of Section 423 of the Internal Revenue Service Code. Unless otherwise determined by the Compensation Committee of the Board, all employees are eligible to participate in the Purchase Plan so long as they are employed by the Company (or a subsidiary designated by the Board) for at least 20 hours per week and were customarily employed by the Company (or a subsidiary designated by the Board) for at least 5 months per calendar year.</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Employees who actively participate in the Purchase Plan are eligible to have up to 15% of their earnings for each purchase period withheld pursuant to the Purchase Plan. The amount that is withheld is used at various purchase dates within the offering period to purchase shares of Common Stock. The price paid for Common Stock at each such purchase date is equal to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From the Purchase Plan's inception through December 29, 2013, the cumulative number of shares of Common Stock that have been issued under the Purchase Plan is 1,784 thousand and approximately 1,924 thousand shares are available for future issuance. During fiscal 2012, approximately 781 thousand shares were issued under the plan at an average price of $5.19.</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80"/>
          </w:cols>
          <w:pgMar w:left="240" w:top="125" w:right="27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fair value of Kratos' Purchase Plan shares for 2013 was estimated using the Black-Scholes option pricing model. The assumptions and resulting fair values of options granted for 2012 and 2013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Offering</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Offering</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r>
      <w:tr>
        <w:trPr>
          <w:trHeight w:val="149"/>
        </w:trPr>
        <w:tc>
          <w:tcPr>
            <w:tcW w:w="6400" w:type="dxa"/>
            <w:vAlign w:val="bottom"/>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Periods</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Periods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Periods</w:t>
            </w:r>
          </w:p>
        </w:tc>
      </w:tr>
      <w:tr>
        <w:trPr>
          <w:trHeight w:val="149"/>
        </w:trPr>
        <w:tc>
          <w:tcPr>
            <w:tcW w:w="6400" w:type="dxa"/>
            <w:vAlign w:val="bottom"/>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January 1 to</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January 1 to</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January 1 to</w:t>
            </w:r>
          </w:p>
        </w:tc>
      </w:tr>
      <w:tr>
        <w:trPr>
          <w:trHeight w:val="149"/>
        </w:trPr>
        <w:tc>
          <w:tcPr>
            <w:tcW w:w="6400" w:type="dxa"/>
            <w:vAlign w:val="bottom"/>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31</w:t>
            </w:r>
          </w:p>
        </w:tc>
      </w:tr>
      <w:tr>
        <w:trPr>
          <w:trHeight w:val="192"/>
        </w:trPr>
        <w:tc>
          <w:tcPr>
            <w:tcW w:w="640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Expected term (in years)(1)</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0.5</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rate(2)</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0.10% - 0.19%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0.06% - 0.16%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0.10% - 0.11%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Expected volatility(3)</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28.5% - 43.6%</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49.70% - 65.73%</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36.95% - 43.70%</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yield(4)</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Weighted average grant-date fair value per share</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$3.05</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$1.93</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$1.50</w:t>
            </w:r>
          </w:p>
        </w:tc>
      </w:tr>
    </w:tbl>
    <w:p>
      <w:pPr>
        <w:spacing w:after="0" w:line="229" w:lineRule="exact"/>
        <w:rPr>
          <w:sz w:val="20"/>
          <w:szCs w:val="20"/>
          <w:color w:val="auto"/>
        </w:rPr>
      </w:pPr>
    </w:p>
    <w:p>
      <w:pPr>
        <w:ind w:left="960"/>
        <w:spacing w:after="0"/>
        <w:tabs>
          <w:tab w:leader="none" w:pos="12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expected term is equivalent to the offering period.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(2)The risk-free interest rate is based on U.S. Treasury yields in effect at the time of grant with a term equal to the expected term.</w:t>
      </w:r>
    </w:p>
    <w:p>
      <w:pPr>
        <w:spacing w:after="0" w:line="9" w:lineRule="exact"/>
        <w:rPr>
          <w:sz w:val="20"/>
          <w:szCs w:val="20"/>
          <w:color w:val="auto"/>
        </w:rPr>
      </w:pPr>
    </w:p>
    <w:p>
      <w:pPr>
        <w:ind w:left="1360" w:hanging="380"/>
        <w:spacing w:after="0"/>
        <w:tabs>
          <w:tab w:leader="none" w:pos="1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estimated implied volatility based upon trailing volatility.</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29, 2013, there was no material unrecognized compensation expense related to the Employee Stock Purchase Plan.</w:t>
      </w:r>
    </w:p>
    <w:p>
      <w:pPr>
        <w:spacing w:after="0" w:line="221"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 Agreement</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December 16, 2004, the Company entered into a Stockholder Rights Agreement (the “Rights Agreement”). Under the terms of the Rights Agreement, initially, the rights (“Rights”) will attach to all certificates representing shares of outstanding Company common stock and no separate rights certificates will be distributed. Subject to the provisions of the Rights Agreement, the Rights will separate from the Company common stock and the distribution date will occur upon the earlier of (i) ten business days following a public announcement that a person or group of affiliated or associated persons has acquired or obtained the right to acquire beneficial ownership of 15% or more of the then-outstanding common stock (an Acquiring Person), or (ii) ten business days (or such later date as may be determined by action of the Board) prior to such time as any person becomes an Acquiring Person following the commencement of a tender offer or exchange offer that would result in a person or group becoming an Acquiring Person. An Acquiring Person does not include certain persons specified in the Rights Agreement. The Rights Agreement was amended on May 14, 2012 to, among other things, redefine the term Acquiring Person to exclude a newly defined term Exempt Person from the definition of Acquiring Person. The term Exempt Person is defined to include: (A) the Company; (B) any subsidiary of the Company; (C) any employee benefit plan maintained by the Company or any of its subsidiaries; (D) any trustee or fiduciary with respect to such employee benefit plan acting in such capacity or trustee or fiduciary holding shares of Company Common Stock for the purpose of funding any such plan or employee benefits; (E) Oak Investment Partners IX, L.P., Oak IX Affiliates Fund, L.P., Oak IX Affiliates Fund-A, L.P., Oak X Affiliates Fund, L.P., Oak Investment Partners X, L.P., Oak Investment Partners XIII, L.P., or their Affiliates and Associates (collectively, the “Oak Parties) as long as the Oak Parties, individually or in the aggregate, are not the beneficial owner of more than 25% of the outstanding shares of Company stock (other than pursuant to a transaction authorized in writing in advance by the Board of Directors) and certain specified criteria are met.</w:t>
      </w:r>
    </w:p>
    <w:p>
      <w:pPr>
        <w:spacing w:after="0" w:line="16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On December 16, 2004, the Board authorized and declared a dividend of one right (a Right) to purchase one one-hundredth of a share of the Company's Series C Preferred Stock (Series C Preferred) for each outstanding share of common stock, par value $0.001, to stockholders of record as of the close of business December 27, 2004. Each Right entitles the registered holder, subject to the terms of the Rights Agreement, to purchase from the Company one one-hundredth of a share of Series C Preferred Stock at a purchase price of $54.00, subject to adjustment.</w:t>
      </w:r>
    </w:p>
    <w:p>
      <w:pPr>
        <w:spacing w:after="0" w:line="17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Rights are not exercisable until the distribution date and will expire at the close of business on the tenth anniversary of the Rights Agreement unless earlier redeemed or exchanged by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Retirement Plans</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Company provides eligible employees the opportunity to participate in defined-contribution savings plans (commonly known as 401(k) plans), which permit contributions on a before-tax basis. Generally, salaried employees and certain hourly employees are eligible to participate in the plans. Under most plans, the employee may contribute to various investment alternatives. In certain plans, the Company matches a portion of the employees' contributions. The Company's contributions to these defined-contribution plans totaled $7.3 million in 2011, $5.1 million in 2012 and $6.0 million in 2013.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Significant Customers</w:t>
      </w:r>
    </w:p>
    <w:p>
      <w:pPr>
        <w:spacing w:after="0" w:line="229"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Revenue from the U.S. Government (which includes Foreign Military Sales) includes revenue from contracts for which Kratos is the prime contractor as well as those for which the Company is a subcontractor and the ultimate customer is the U.S. Government. The KGS segment has substantial revenue from the U.S. Government. Sales to the U.S. Government amounted to approximately $534.5 million, $627.8 million, and $606.7 million or 75%, 65%, and 64%, of total revenue for the years ended December 25, 2011, December 30, 2012, and December 29, 2013, respectively.</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operates in two reportable business segments: Kratos Government Solutions and Public Safety &amp; Security. The KGS segment provides products, solutions and services primarily for mission critical national security priorities. KGS customers primarily include national security related agencies, the DoD, intelligence agencies and classified agencies. The PSS segment provides independent integrated solutions for advanced homeland security, public safety, critical infrastructure, and security and surveillance systems for government and commercial applications. PSS customers are in the critical infrastructure, power generation, power transport, nuclear energy, financial, IT, healthcare, education, transportation and petro-chemical industries, as well as certain government and military customers.</w:t>
      </w:r>
    </w:p>
    <w:p>
      <w:pPr>
        <w:spacing w:after="0" w:line="19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 organizes its reportable business segments based on the nature of the products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of the reportable business segments is reconciled to the corresponding consolidated amount. The reconciling item “corporate activities”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Revenues, operating income (loss) and assets disclosed below provided by the Company's reportable segments for the years ended December 25, 2011, December 30, 2012, and December 29, 2013, are as follows (in millions):</w:t>
      </w:r>
    </w:p>
    <w:p>
      <w:pPr>
        <w:spacing w:after="0" w:line="392"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2013</w:t>
            </w: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233.9</w:t>
            </w:r>
          </w:p>
        </w:tc>
      </w:tr>
      <w:tr>
        <w:trPr>
          <w:trHeight w:val="243"/>
        </w:trPr>
        <w:tc>
          <w:tcPr>
            <w:tcW w:w="7100" w:type="dxa"/>
            <w:vAlign w:val="bottom"/>
          </w:tcPr>
          <w:p>
            <w:pPr>
              <w:ind w:left="260"/>
              <w:spacing w:after="0"/>
              <w:rPr>
                <w:sz w:val="20"/>
                <w:szCs w:val="20"/>
                <w:color w:val="auto"/>
              </w:rPr>
            </w:pPr>
            <w:r>
              <w:rPr>
                <w:rFonts w:ascii="Arial" w:cs="Arial" w:eastAsia="Arial" w:hAnsi="Arial"/>
                <w:sz w:val="18"/>
                <w:szCs w:val="18"/>
                <w:color w:val="auto"/>
              </w:rPr>
              <w:t>Product sales</w:t>
            </w:r>
          </w:p>
        </w:tc>
        <w:tc>
          <w:tcPr>
            <w:tcW w:w="2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362.9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519.2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507.0</w:t>
            </w:r>
          </w:p>
        </w:tc>
      </w:tr>
      <w:tr>
        <w:trPr>
          <w:trHeight w:val="27"/>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Kratos Government Solutions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601.7</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783.2</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740.9</w:t>
            </w: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Public Safety &amp; Security</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209.7</w:t>
            </w:r>
          </w:p>
        </w:tc>
      </w:tr>
      <w:tr>
        <w:trPr>
          <w:trHeight w:val="243"/>
        </w:trPr>
        <w:tc>
          <w:tcPr>
            <w:tcW w:w="7100" w:type="dxa"/>
            <w:vAlign w:val="bottom"/>
          </w:tcPr>
          <w:p>
            <w:pPr>
              <w:ind w:left="260"/>
              <w:spacing w:after="0"/>
              <w:rPr>
                <w:sz w:val="20"/>
                <w:szCs w:val="20"/>
                <w:color w:val="auto"/>
              </w:rPr>
            </w:pPr>
            <w:r>
              <w:rPr>
                <w:rFonts w:ascii="Arial" w:cs="Arial" w:eastAsia="Arial" w:hAnsi="Arial"/>
                <w:sz w:val="18"/>
                <w:szCs w:val="18"/>
                <w:color w:val="auto"/>
              </w:rPr>
              <w:t>Product sales</w:t>
            </w:r>
          </w:p>
        </w:tc>
        <w:tc>
          <w:tcPr>
            <w:tcW w:w="22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Public Safety &amp; Security</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209.7</w:t>
            </w:r>
          </w:p>
        </w:tc>
      </w:tr>
      <w:tr>
        <w:trPr>
          <w:trHeight w:val="297"/>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713.9</w:t>
            </w:r>
          </w:p>
        </w:tc>
        <w:tc>
          <w:tcPr>
            <w:tcW w:w="2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969.2</w:t>
            </w:r>
          </w:p>
        </w:tc>
        <w:tc>
          <w:tcPr>
            <w:tcW w:w="2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950.6</w:t>
            </w:r>
          </w:p>
        </w:tc>
      </w:tr>
      <w:tr>
        <w:trPr>
          <w:trHeight w:val="23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49.9</w:t>
            </w: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97"/>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depreciation and amortization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48.0</w:t>
            </w:r>
          </w:p>
        </w:tc>
        <w:tc>
          <w:tcPr>
            <w:tcW w:w="2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58.0</w:t>
            </w:r>
          </w:p>
        </w:tc>
        <w:tc>
          <w:tcPr>
            <w:tcW w:w="2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53.4</w:t>
            </w:r>
          </w:p>
        </w:tc>
      </w:tr>
      <w:tr>
        <w:trPr>
          <w:trHeight w:val="23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 from continuing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26.4</w:t>
            </w: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Corporate activities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income (loss) from continuing operations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r>
      <w:tr>
        <w:trPr>
          <w:trHeight w:val="20"/>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Revenues from foreign customers were approximately $54.3 million or 8%, $116.2 million or 12% and $100.9 million or 11% of total revenue for the years ended December 25, 2011, December 30, 2012, and December 29, 2013, respectively.</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2012, the Company recorded an impairment of goodwill and intangible assets of $83.7 million related to the KGS reportable segment and an impairment of intangible assets of $12.9 million related to the PSS reportable segment. See Note 2.</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2011 the Company had corporate merger and acquisition expenses of approximately $12.5 million, and in 2012 had a benefit from merger related items of $2.7 million due to a reduction in contingent consideration, settlement of a dispute on fees, and a change in estimate of indemnity obligations related to former directors and officers of Integral. A corporate benefit of $2.0 million for the year ended December 29, 2013, was due to the reduction in a $3.1 million liability as a result of the final settlement of the indemnity obligations related to former directors and officers of Integral on July 1, 2013, partially offset by other merger expenses and legal fees related to prior acquisitions.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Reportable segment assets are as follows (in millions):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December 29,</w:t>
            </w:r>
          </w:p>
        </w:tc>
      </w:tr>
      <w:tr>
        <w:trPr>
          <w:trHeight w:val="192"/>
        </w:trPr>
        <w:tc>
          <w:tcPr>
            <w:tcW w:w="8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2013</w:t>
            </w: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1,025.6</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57"/>
        </w:trPr>
        <w:tc>
          <w:tcPr>
            <w:tcW w:w="81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1,216.6</w:t>
            </w:r>
          </w:p>
        </w:tc>
      </w:tr>
      <w:tr>
        <w:trPr>
          <w:trHeight w:val="20"/>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The increases in the assets in the KGS and PSS segments are primarily attributable to the acquisitions of CEI on July 2, 2012 and the Critical Infrastructure Business on December 30, 2011. Assets of foreign subsidiaries were $90.0 million and $95.9 million as of December 30, 2012 and December 29, 2013, respectively.</w:t>
      </w:r>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340"/>
          </w:cols>
          <w:pgMar w:left="240" w:top="125" w:right="31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Consolidated Financial Statements. An estimated loss contingency is accrued in its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of any such losses, damages or remedies may have on the Consolidated Financial Statements; and the unique facts and circumstances of the particular matter that may give rise to additional factors.</w:t>
      </w:r>
    </w:p>
    <w:p>
      <w:pPr>
        <w:spacing w:after="0" w:line="300"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Legal and Regulatory Matters.</w:t>
      </w:r>
    </w:p>
    <w:p>
      <w:pPr>
        <w:spacing w:after="0" w:line="14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u w:val="single" w:color="auto"/>
          <w:color w:val="auto"/>
        </w:rPr>
        <w:t>Integral Indemnification Obligation</w:t>
      </w:r>
      <w:r>
        <w:rPr>
          <w:rFonts w:ascii="Arial" w:cs="Arial" w:eastAsia="Arial" w:hAnsi="Arial"/>
          <w:sz w:val="16"/>
          <w:szCs w:val="16"/>
          <w:color w:val="auto"/>
        </w:rPr>
        <w:t>. Integral, which was acquired on July 27, 2011, was previously the subject of a SEC investigation. On July 30,</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2009, the SEC and Integral each announced that an administrative settlement had been reached concluding the SEC's investigation. In conjunction with its announcement of the administrative settlement, the SEC disclosed that it was instituting separate civil actions against three former officers of Integral, Steven R. Chamberlain (now deceased), Elaine M. Brown and Gary A. Prince in a case filed July 30, 2009 captioned </w:t>
      </w:r>
      <w:r>
        <w:rPr>
          <w:rFonts w:ascii="Arial" w:cs="Arial" w:eastAsia="Arial" w:hAnsi="Arial"/>
          <w:sz w:val="16"/>
          <w:szCs w:val="16"/>
          <w:i w:val="1"/>
          <w:iCs w:val="1"/>
          <w:color w:val="auto"/>
        </w:rPr>
        <w:t>United States Securities and Exchange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Commission v. Steven R. Chamberlain, Elaine M. Brown, and Gary A. Prince, </w:t>
      </w:r>
      <w:r>
        <w:rPr>
          <w:rFonts w:ascii="Arial" w:cs="Arial" w:eastAsia="Arial" w:hAnsi="Arial"/>
          <w:sz w:val="16"/>
          <w:szCs w:val="16"/>
          <w:color w:val="auto"/>
        </w:rPr>
        <w:t>Case No. 09-CV-01423, in the United States District Court for the District of</w:t>
      </w:r>
      <w:r>
        <w:rPr>
          <w:rFonts w:ascii="Arial" w:cs="Arial" w:eastAsia="Arial" w:hAnsi="Arial"/>
          <w:sz w:val="16"/>
          <w:szCs w:val="16"/>
          <w:i w:val="1"/>
          <w:iCs w:val="1"/>
          <w:color w:val="auto"/>
        </w:rPr>
        <w:t xml:space="preserve"> </w:t>
      </w:r>
      <w:r>
        <w:rPr>
          <w:rFonts w:ascii="Arial" w:cs="Arial" w:eastAsia="Arial" w:hAnsi="Arial"/>
          <w:sz w:val="16"/>
          <w:szCs w:val="16"/>
          <w:color w:val="auto"/>
        </w:rPr>
        <w:t>Columbia. The SEC's complaint alleges that from 1999 through August 2006, Chamberlain, Brown and Prince made materially false and misleading statements and omitted material information in various filings with the SEC by failing to disclose the role of Prince, who had been convicted of engaging in securities fraud while at another company, at Integral and his legal background in its filings. The SEC sought permanent injunctions against each defendant, as well as court orders imposing officer and director bars and civil penalties. Integral had indemnification obligations to these individuals, as well as to other former directors and officers of Integral who might incur indemnifiable costs in connection with these actions, pursuant to the terms of separate indemnification agreements entered into with each of them effective as of December 4, 2002. As a result of the acquisition of Integral, the Company assumed these indemnification obligations. The indemnification agreements each provide, subject to certain terms and conditions, that the Company shall indemnify the individual to the fullest extent permissible by Maryland law against judgments, penalties, fines, settlements and reasonable expenses actually incurred in the event that the individual is made a party to a legal proceeding by reason of his or her present or prior service as an officer or employee of Integral, and shall also advance reasonable litigation expenses actually incurred subject to, among other conditions, receipt of a written undertaking to repay any costs or expenses advanced if it shall ultimately be determined that the individual has not met the standard of conduct required for indemnification under Maryland law. Certain costs and expenses were previously covered under Integral's applicable directors and officers liability insurance policy. The policy limits were exhausted in December 2011, and the Company thereafter advanced payment of indemnifiable costs pursuant to the indemnification agreements. On November 26, 2012, the SEC announced that it had finalized a settlement with Elaine M. Brown, resulting in a final judgment that resolved the SEC's matter against Brown. The SEC's case against Gary A. Prince proceeded to a bench trial in December 2012, which trial concluded in January 2013. On May 2, 2013, the court issued a memorandum opinion and entered an order granting judgment in favor of the SEC on one count of its complaint. The court found that in 1997, an accounting bar order had been issued against Mr. Prince because of his conduct at a different company, and that Mr. Prince violated the bar order between 1998 and 2006. The court issued an injunction permanently restraining and enjoining Mr. Prince from violating the accounting bar order. The court entered judgment in favor of Mr. Prince on all other counts of the SEC's complaint. No relief was sought or entered against Integral. The deadline for appeals expired on July 1, 2013. Neither party appealed, so the trial court's judgment is final. This matter is now concluded.</w:t>
      </w:r>
    </w:p>
    <w:p>
      <w:pPr>
        <w:spacing w:after="0" w:line="94"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u w:val="single" w:color="auto"/>
          <w:color w:val="auto"/>
        </w:rPr>
        <w:t>U.S. Government Cost Claims</w:t>
      </w:r>
      <w:r>
        <w:rPr>
          <w:rFonts w:ascii="Arial" w:cs="Arial" w:eastAsia="Arial" w:hAnsi="Arial"/>
          <w:sz w:val="18"/>
          <w:szCs w:val="18"/>
          <w:color w:val="auto"/>
        </w:rPr>
        <w:t>. The Company's contracts with the Department of Defense are subject to audit by the Defense Contract Audit</w:t>
      </w:r>
      <w:r>
        <w:rPr>
          <w:rFonts w:ascii="Arial" w:cs="Arial" w:eastAsia="Arial" w:hAnsi="Arial"/>
          <w:sz w:val="18"/>
          <w:szCs w:val="18"/>
          <w:b w:val="1"/>
          <w:bCs w:val="1"/>
          <w:color w:val="auto"/>
        </w:rPr>
        <w:t xml:space="preserve"> </w:t>
      </w:r>
      <w:r>
        <w:rPr>
          <w:rFonts w:ascii="Arial" w:cs="Arial" w:eastAsia="Arial" w:hAnsi="Arial"/>
          <w:sz w:val="18"/>
          <w:szCs w:val="18"/>
          <w:color w:val="auto"/>
        </w:rPr>
        <w:t>Agency (“DCAA”). As a result of these audits, from time to time, the Company is advised of claims concerning potential disallowed, overstated or disputed costs. For example, during the course of its current audits, the DCAA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is closely examining and questioning certain of its established and disclosed practices that it had previously audited and accepted. In addition, based on a DCAA audit, the U.S. Department of Justice is currently investigating whether one of our subsidiaries violated the federal False Claims Act by overstating its labor and material costs in a contract with the Department of Defense prior to the Company's acquisition of the subsidiary. Under the False Claims Act, the Department of Justice can seek civil penalties plus treble damages. The Company intends to defend itself in these matters and to work to resolve or settle any disputed contract costs. When appropriate, the Company records accruals to reflect its expected exposure to the matters raised by the U.S. Government, and it reviews such accruals on a quarterly basis for sufficiency based on the most recent information available. Based on its assessment, it has accrued an amount in its financial statements for contingent liabilities associated with these matters that it considers to be immaterial to its overall financial position. The matter that is currently being investigated was identified during the acquisition process and was taken into consideration in the purchase price allocation of this subsidiary. Contract disputes with the U.S. government, however, are inherently unpredictable, and unfavorable resolutions could occur. As a result, assessing contingencies is highly subjective and requires judgment about future events. The amount of ultimate loss may exceed the Company's current accruals, and it is possible that its cash flows or results of operations could be materially affected in any particular period by the unfavorable resolution of one or more of these contingencies.</w:t>
      </w:r>
    </w:p>
    <w:p>
      <w:pPr>
        <w:spacing w:after="0" w:line="176"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u w:val="single" w:color="auto"/>
          <w:color w:val="auto"/>
        </w:rPr>
        <w:t>Other Litigation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normal and routine litigation arising from the ordinary course and conduct of business, and, at</w:t>
      </w:r>
      <w:r>
        <w:rPr>
          <w:rFonts w:ascii="Arial" w:cs="Arial" w:eastAsia="Arial" w:hAnsi="Arial"/>
          <w:sz w:val="18"/>
          <w:szCs w:val="18"/>
          <w:b w:val="1"/>
          <w:bCs w:val="1"/>
          <w:color w:val="auto"/>
        </w:rPr>
        <w:t xml:space="preserve"> </w:t>
      </w:r>
      <w:r>
        <w:rPr>
          <w:rFonts w:ascii="Arial" w:cs="Arial" w:eastAsia="Arial" w:hAnsi="Arial"/>
          <w:sz w:val="18"/>
          <w:szCs w:val="18"/>
          <w:color w:val="auto"/>
        </w:rPr>
        <w:t>times, as a result of acquisitions and dispositions. Such disputes include, for example, commercial, employment, intellectual property, environmental and securities matters. The aggregate amounts accrued related to these matters are not material to the total liabilities of the Company. We intend to defend ourselves in any such matters and do not currently believe that the outcome of any such matters will have a material adverse impact on our financial condition, results of operations or cash flows.</w:t>
      </w:r>
    </w:p>
    <w:p>
      <w:pPr>
        <w:spacing w:after="0" w:line="400"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Warranty</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7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changes in the Company's aggregate product warranty liabilities, which are included in other current liabilities and other long term-liabilities on the Company's Consolidated Balance Sheets, were as follows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Year Ended</w:t>
            </w:r>
          </w:p>
        </w:tc>
      </w:tr>
      <w:tr>
        <w:trPr>
          <w:trHeight w:val="152"/>
        </w:trPr>
        <w:tc>
          <w:tcPr>
            <w:tcW w:w="6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3"/>
                <w:szCs w:val="13"/>
                <w:color w:val="auto"/>
              </w:rPr>
            </w:pPr>
          </w:p>
        </w:tc>
        <w:tc>
          <w:tcPr>
            <w:tcW w:w="126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w w:val="98"/>
              </w:rPr>
              <w:t>December 29,</w:t>
            </w:r>
          </w:p>
        </w:tc>
      </w:tr>
      <w:tr>
        <w:trPr>
          <w:trHeight w:val="192"/>
        </w:trPr>
        <w:tc>
          <w:tcPr>
            <w:tcW w:w="6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the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Costs accrued and revenues deferred</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liabilities assumed from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Adjustments to preexisting warranties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made (in cash or kind) and revenues recognized</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62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w:t>
            </w:r>
          </w:p>
        </w:tc>
      </w:tr>
      <w:tr>
        <w:trPr>
          <w:trHeight w:val="27"/>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r>
      <w:tr>
        <w:trPr>
          <w:trHeight w:val="237"/>
        </w:trPr>
        <w:tc>
          <w:tcPr>
            <w:tcW w:w="6620" w:type="dxa"/>
            <w:vAlign w:val="bottom"/>
          </w:tcPr>
          <w:p>
            <w:pPr>
              <w:ind w:left="180"/>
              <w:spacing w:after="0"/>
              <w:rPr>
                <w:sz w:val="20"/>
                <w:szCs w:val="20"/>
                <w:color w:val="auto"/>
              </w:rPr>
            </w:pPr>
            <w:r>
              <w:rPr>
                <w:rFonts w:ascii="Arial" w:cs="Arial" w:eastAsia="Arial" w:hAnsi="Arial"/>
                <w:sz w:val="18"/>
                <w:szCs w:val="18"/>
                <w:color w:val="auto"/>
              </w:rPr>
              <w:t>Current warranty liability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w:t>
            </w:r>
          </w:p>
        </w:tc>
      </w:tr>
      <w:tr>
        <w:trPr>
          <w:trHeight w:val="27"/>
        </w:trPr>
        <w:tc>
          <w:tcPr>
            <w:tcW w:w="6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Self-Insured Health and Workers' Compensation Plans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has health plans which are self-insured and also has liabilities related to its self-insured worker's compensation plans for its discontinued wireless business. The liabilities related to the health plans are a component of total accrued expenses and the liabilities related to the workers' compensation plans are a component of current liabilities of discontinued operations in the Consolidated Balance Sheets. Management determines the adequacy of these accruals based 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an evaluation of the Company's historical experience and trends related to both medical and workers' compensation claims and payments, information provided to the Company by the Company's insurance broker, industry experience and the average lag period in which claims are paid. If such information indicates that the Company's accruals require adjustment, the Company will, correspondingly, revise the assumptions utilized in the Company's methodologies and reduce or provide for additional accruals as deemed appropriate.</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December 30, 2012, and December 29, 2013, the accrual for the Company's partial self-insurance programs approximated $0.1 million and $0.2 million for its health insurance and $0.2 million and $0.2 million for its workers' compensation insurance, respectively. The Company also carries stop-loss insurance that provides coverage limiting the Company's total exposure related to each medical and workers' compensation claim incurred, as defined in the applicable insurance policies. The medical annual claim limits are $50,000 - $85,000 and the workers' compensation claim limits are $250,000 - $350,000 depending upon the plan year. In 2011, 2012, and 2013, no claims exceeded the limits for workers' compensation. In 2011, 2012 and 2013, the Company had eight, no, and no claims, respectively, which exceeded the limits for medical insurance.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Quarterly Financial Data (Unaudited)</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following financial information reflects all normal and recurring adjustments that are, in the opinion of management, necessary for a fair statement of the results of the interim periods. Summarized quarterly data for the years ended December 30, 2012 and December 29, 2013, is as follows (in millions, except per share data):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in 2012</w:t>
      </w:r>
    </w:p>
    <w:p>
      <w:pPr>
        <w:spacing w:after="0" w:line="3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First</w:t>
            </w:r>
          </w:p>
        </w:tc>
        <w:tc>
          <w:tcPr>
            <w:tcW w:w="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Second</w:t>
            </w:r>
          </w:p>
        </w:tc>
        <w:tc>
          <w:tcPr>
            <w:tcW w:w="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4"/>
                <w:szCs w:val="14"/>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b w:val="1"/>
                <w:bCs w:val="1"/>
                <w:color w:val="auto"/>
              </w:rPr>
              <w:t>Fourth</w:t>
            </w:r>
          </w:p>
        </w:tc>
      </w:tr>
      <w:tr>
        <w:trPr>
          <w:trHeight w:val="192"/>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6"/>
                <w:szCs w:val="16"/>
                <w:color w:val="auto"/>
              </w:rPr>
            </w:pPr>
          </w:p>
        </w:tc>
        <w:tc>
          <w:tcPr>
            <w:tcW w:w="740" w:type="dxa"/>
            <w:vAlign w:val="bottom"/>
          </w:tcPr>
          <w:p>
            <w:pPr>
              <w:jc w:val="right"/>
              <w:ind w:right="114"/>
              <w:spacing w:after="0"/>
              <w:rPr>
                <w:sz w:val="20"/>
                <w:szCs w:val="20"/>
                <w:color w:val="auto"/>
              </w:rPr>
            </w:pPr>
            <w:r>
              <w:rPr>
                <w:rFonts w:ascii="Arial" w:cs="Arial" w:eastAsia="Arial" w:hAnsi="Arial"/>
                <w:sz w:val="14"/>
                <w:szCs w:val="14"/>
                <w:b w:val="1"/>
                <w:bCs w:val="1"/>
                <w:color w:val="auto"/>
              </w:rPr>
              <w:t>Quarter</w:t>
            </w:r>
          </w:p>
        </w:tc>
      </w:tr>
      <w:tr>
        <w:trPr>
          <w:trHeight w:val="250"/>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Fiscal year 2012</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263.6</w:t>
            </w:r>
          </w:p>
        </w:tc>
      </w:tr>
      <w:tr>
        <w:trPr>
          <w:trHeight w:val="27"/>
        </w:trPr>
        <w:tc>
          <w:tcPr>
            <w:tcW w:w="5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68.0</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Operating income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7"/>
        </w:trPr>
        <w:tc>
          <w:tcPr>
            <w:tcW w:w="5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7"/>
        </w:trPr>
        <w:tc>
          <w:tcPr>
            <w:tcW w:w="5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(1.59)</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quarterly increases in revenues and expenses in the third and fourth quarter are a result of the Company's acquisition of CEI. See Note 3.</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fourth quarter the Company incurred an impairment of goodwill and intangible assets of $96.6 million. See Note 2.</w:t>
      </w:r>
    </w:p>
    <w:p>
      <w:pPr>
        <w:spacing w:after="0" w:line="22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During the first, second, and third quarters, the Company incurred $0.9 million, $1.5 million, and $0.3 million, respectively, of expenses related to the Company's acquisitions during those quarters and during the fourth quarter the Company had a benefit of $2.7 million related to acquisition items. Also included in each of the first, second, third and fourth quarter is amortization of purchased intangibles of $10.5 million, $8.9 million, $13.0 million and $11.5 million,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80"/>
          </w:cols>
          <w:pgMar w:left="240" w:top="125" w:right="27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in 2013</w:t>
      </w:r>
    </w:p>
    <w:p>
      <w:pPr>
        <w:spacing w:after="0" w:line="3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First</w:t>
            </w:r>
          </w:p>
        </w:tc>
        <w:tc>
          <w:tcPr>
            <w:tcW w:w="12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Second</w:t>
            </w:r>
          </w:p>
        </w:tc>
        <w:tc>
          <w:tcPr>
            <w:tcW w:w="14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4"/>
                <w:szCs w:val="14"/>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w w:val="94"/>
              </w:rPr>
              <w:t>Fourth</w:t>
            </w:r>
          </w:p>
        </w:tc>
      </w:tr>
      <w:tr>
        <w:trPr>
          <w:trHeight w:val="192"/>
        </w:trPr>
        <w:tc>
          <w:tcPr>
            <w:tcW w:w="4480" w:type="dxa"/>
            <w:vAlign w:val="bottom"/>
          </w:tcPr>
          <w:p>
            <w:pPr>
              <w:spacing w:after="0"/>
              <w:rPr>
                <w:sz w:val="16"/>
                <w:szCs w:val="16"/>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w:t>
            </w:r>
          </w:p>
        </w:tc>
      </w:tr>
      <w:tr>
        <w:trPr>
          <w:trHeight w:val="250"/>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Fiscal year 2013</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w w:val="93"/>
              </w:rPr>
              <w:t>253.3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w w:val="97"/>
              </w:rPr>
              <w:t>226.4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235.7</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Operating income (loss)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(0.12)</w:t>
            </w:r>
          </w:p>
        </w:tc>
      </w:tr>
    </w:tbl>
    <w:p>
      <w:pPr>
        <w:spacing w:after="0" w:line="229"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In the third quarter the Company had a benefit of $4.7 million primarily related to an adjustment to the liability for unused office space which was primarily due to a change in the estimated excess facility accrual of office space at our Colombia, Maryland administrative facilities partially offset by $2.0 million of expenses related to workforce reductions as a result of cost reduction initiatives we have implemented across the Company. Also included in each of the first, second, third and fourth quarter is amortization of purchased intangibles of $9.3 million, $9.0 million, $9.0 million and $8.9 million, respectively.</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Condensed Consolidating Financial Statements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Company has $625.0 million in outstanding Notes. See Note 5. The Notes are guaranteed by all of the Company's 100% owned domestic subsidiaries (the "Subsidiary Guarantors") and are collateralized by the assets of all of the Company's 100% owned subsidiaries. The Notes are fully and unconditionally guaranteed on a joint and several basis by each guarantor subsidiary and the Company. There are no contractual restrictions limiting cash transfers from guarantor subsidiaries by dividends, loans or advances to the Company. The Notes are not guaranteed by the Company's foreign subsidiaries (the “Non-Guarantor Subsidiaries”).</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tables present condensed consolidating financial statements for the parent company, the Subsidiary Guarantors and the Non-Guarantor Subsidiaries, respectively, for 2011, 2012, and 2013. The consolidating financial information below follows the same accounting policies as described in the Consolidated Financial Statements, except for the use of the equity method of accounting to reflect ownership interests in wholly-owned subsidiaries, which are eliminated upon consolidation.</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Subsequent to the issuance of the Company’s consolidated financial statements for the years ended December 25, 2011 and December 30, 2012, the Company reclassified Investment in affiliated companies to a separate line item in its Condensed Consolidating Statement of Cash Flows. These amounts were previously combined with financings from affiliated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125"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December 30, 2012</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ind w:left="840"/>
              <w:spacing w:after="0"/>
              <w:rPr>
                <w:sz w:val="20"/>
                <w:szCs w:val="20"/>
                <w:color w:val="auto"/>
              </w:rPr>
            </w:pPr>
            <w:r>
              <w:rPr>
                <w:rFonts w:ascii="Arial" w:cs="Arial" w:eastAsia="Arial" w:hAnsi="Arial"/>
                <w:sz w:val="16"/>
                <w:szCs w:val="16"/>
                <w:b w:val="1"/>
                <w:bCs w:val="1"/>
                <w:color w:val="auto"/>
                <w:w w:val="97"/>
              </w:rPr>
              <w:t>(in millions)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Non-Guarantors</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Parent</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Company</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33"/>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271.9</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480.2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Inventoried costs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527.1</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455.4</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84"/>
        </w:trPr>
        <w:tc>
          <w:tcPr>
            <w:tcW w:w="3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985.8</w:t>
            </w:r>
          </w:p>
        </w:tc>
        <w:tc>
          <w:tcPr>
            <w:tcW w:w="1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7"/>
              </w:rPr>
              <w:t>1,180.9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(972.8)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1,283.9</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Arial" w:cs="Arial" w:eastAsia="Arial" w:hAnsi="Arial"/>
                <w:sz w:val="16"/>
                <w:szCs w:val="16"/>
                <w:color w:val="auto"/>
              </w:rPr>
              <w:t>Billings in excess of costs and earnings on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00" w:type="dxa"/>
            <w:vAlign w:val="bottom"/>
          </w:tcPr>
          <w:p>
            <w:pPr>
              <w:ind w:left="20"/>
              <w:spacing w:after="0"/>
              <w:rPr>
                <w:sz w:val="20"/>
                <w:szCs w:val="20"/>
                <w:color w:val="auto"/>
              </w:rPr>
            </w:pPr>
            <w:r>
              <w:rPr>
                <w:rFonts w:ascii="Arial" w:cs="Arial" w:eastAsia="Arial" w:hAnsi="Arial"/>
                <w:sz w:val="16"/>
                <w:szCs w:val="16"/>
                <w:color w:val="auto"/>
              </w:rPr>
              <w:t>uncompleted contracts</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tax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455.1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7"/>
        </w:trPr>
        <w:tc>
          <w:tcPr>
            <w:tcW w:w="370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702.9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278.8</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643.6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648.4</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959.8</w:t>
            </w:r>
          </w:p>
        </w:tc>
        <w:tc>
          <w:tcPr>
            <w:tcW w:w="0" w:type="dxa"/>
            <w:vAlign w:val="bottom"/>
          </w:tcPr>
          <w:p>
            <w:pPr>
              <w:spacing w:after="0"/>
              <w:rPr>
                <w:sz w:val="1"/>
                <w:szCs w:val="1"/>
                <w:color w:val="auto"/>
              </w:rPr>
            </w:pPr>
          </w:p>
        </w:tc>
      </w:tr>
      <w:tr>
        <w:trPr>
          <w:trHeight w:val="217"/>
        </w:trPr>
        <w:tc>
          <w:tcPr>
            <w:tcW w:w="3700" w:type="dxa"/>
            <w:vAlign w:val="bottom"/>
          </w:tcPr>
          <w:p>
            <w:pPr>
              <w:ind w:left="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324.1</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451.8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324.1</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985.8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1,180.9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1,283.9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0860"/>
          </w:cols>
          <w:pgMar w:left="240" w:top="125" w:right="7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December 29, 2013</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ind w:left="840"/>
              <w:spacing w:after="0"/>
              <w:rPr>
                <w:sz w:val="20"/>
                <w:szCs w:val="20"/>
                <w:color w:val="auto"/>
              </w:rPr>
            </w:pPr>
            <w:r>
              <w:rPr>
                <w:rFonts w:ascii="Arial" w:cs="Arial" w:eastAsia="Arial" w:hAnsi="Arial"/>
                <w:sz w:val="16"/>
                <w:szCs w:val="16"/>
                <w:b w:val="1"/>
                <w:bCs w:val="1"/>
                <w:color w:val="auto"/>
                <w:w w:val="97"/>
              </w:rPr>
              <w:t>(in millions)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Non-Guarantors</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Parent</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Company</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33"/>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265.8</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410.2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Inventoried costs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463.6</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430.3</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Amounts due from affiliated companies, long-term</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574.8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Investment in subsidiaries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474.2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84"/>
        </w:trPr>
        <w:tc>
          <w:tcPr>
            <w:tcW w:w="3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952.8</w:t>
            </w:r>
          </w:p>
        </w:tc>
        <w:tc>
          <w:tcPr>
            <w:tcW w:w="1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7"/>
              </w:rPr>
              <w:t>1,113.0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95.9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(945.1)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1,216.6</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Arial" w:cs="Arial" w:eastAsia="Arial" w:hAnsi="Arial"/>
                <w:sz w:val="16"/>
                <w:szCs w:val="16"/>
                <w:color w:val="auto"/>
              </w:rPr>
              <w:t>Billings in excess of costs and earnings on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00" w:type="dxa"/>
            <w:vAlign w:val="bottom"/>
          </w:tcPr>
          <w:p>
            <w:pPr>
              <w:ind w:left="20"/>
              <w:spacing w:after="0"/>
              <w:rPr>
                <w:sz w:val="20"/>
                <w:szCs w:val="20"/>
                <w:color w:val="auto"/>
              </w:rPr>
            </w:pPr>
            <w:r>
              <w:rPr>
                <w:rFonts w:ascii="Arial" w:cs="Arial" w:eastAsia="Arial" w:hAnsi="Arial"/>
                <w:sz w:val="16"/>
                <w:szCs w:val="16"/>
                <w:color w:val="auto"/>
              </w:rPr>
              <w:t>uncompleted contracts</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390.2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7"/>
        </w:trPr>
        <w:tc>
          <w:tcPr>
            <w:tcW w:w="370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605.4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251.0</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643.3</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7"/>
        </w:trPr>
        <w:tc>
          <w:tcPr>
            <w:tcW w:w="370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657.0</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626.8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(434.2)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920.8</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295.8</w:t>
            </w:r>
          </w:p>
        </w:tc>
        <w:tc>
          <w:tcPr>
            <w:tcW w:w="0" w:type="dxa"/>
            <w:vAlign w:val="bottom"/>
          </w:tcPr>
          <w:p>
            <w:pPr>
              <w:spacing w:after="0"/>
              <w:rPr>
                <w:sz w:val="1"/>
                <w:szCs w:val="1"/>
                <w:color w:val="auto"/>
              </w:rPr>
            </w:pPr>
          </w:p>
        </w:tc>
      </w:tr>
      <w:tr>
        <w:trPr>
          <w:trHeight w:val="244"/>
        </w:trPr>
        <w:tc>
          <w:tcPr>
            <w:tcW w:w="3700" w:type="dxa"/>
            <w:vAlign w:val="bottom"/>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952.8</w:t>
            </w:r>
          </w:p>
        </w:tc>
        <w:tc>
          <w:tcPr>
            <w:tcW w:w="120" w:type="dxa"/>
            <w:vAlign w:val="bottom"/>
          </w:tcPr>
          <w:p>
            <w:pPr>
              <w:spacing w:after="0"/>
              <w:rPr>
                <w:sz w:val="21"/>
                <w:szCs w:val="21"/>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7"/>
              </w:rPr>
              <w:t>1,113.0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(945.1)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1,216.6</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0860"/>
          </w:cols>
          <w:pgMar w:left="240" w:top="125" w:right="79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Year Ended December 25, 2011</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Non-Guarantors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60"/>
              <w:spacing w:after="0"/>
              <w:rPr>
                <w:sz w:val="20"/>
                <w:szCs w:val="20"/>
                <w:color w:val="auto"/>
              </w:rPr>
            </w:pPr>
            <w:r>
              <w:rPr>
                <w:rFonts w:ascii="Arial" w:cs="Arial" w:eastAsia="Arial" w:hAnsi="Arial"/>
                <w:sz w:val="16"/>
                <w:szCs w:val="16"/>
                <w:b w:val="1"/>
                <w:bCs w:val="1"/>
                <w:color w:val="auto"/>
              </w:rPr>
              <w:t>Guarantors on a</w:t>
            </w: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1400" w:type="dxa"/>
            <w:vAlign w:val="bottom"/>
            <w:gridSpan w:val="3"/>
          </w:tcPr>
          <w:p>
            <w:pPr>
              <w:ind w:left="60"/>
              <w:spacing w:after="0"/>
              <w:rPr>
                <w:sz w:val="20"/>
                <w:szCs w:val="20"/>
                <w:color w:val="auto"/>
              </w:rPr>
            </w:pPr>
            <w:r>
              <w:rPr>
                <w:rFonts w:ascii="Arial" w:cs="Arial" w:eastAsia="Arial" w:hAnsi="Arial"/>
                <w:sz w:val="16"/>
                <w:szCs w:val="16"/>
                <w:b w:val="1"/>
                <w:bCs w:val="1"/>
                <w:color w:val="auto"/>
              </w:rPr>
              <w:t>Parent Company</w:t>
            </w: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Combined Basis</w:t>
            </w:r>
          </w:p>
        </w:tc>
        <w:tc>
          <w:tcPr>
            <w:tcW w:w="30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120" w:type="dxa"/>
            <w:vAlign w:val="bottom"/>
          </w:tcPr>
          <w:p>
            <w:pPr>
              <w:jc w:val="right"/>
              <w:ind w:right="94"/>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revenues</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6"/>
                <w:szCs w:val="16"/>
                <w:color w:val="auto"/>
              </w:rPr>
              <w:t>Product sales</w:t>
            </w:r>
          </w:p>
        </w:tc>
        <w:tc>
          <w:tcPr>
            <w:tcW w:w="4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327.4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676.7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713.9</w:t>
            </w: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6"/>
                <w:szCs w:val="16"/>
                <w:color w:val="auto"/>
              </w:rPr>
              <w:t>Cost of service revenues</w:t>
            </w: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product sales</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7"/>
        </w:trPr>
        <w:tc>
          <w:tcPr>
            <w:tcW w:w="386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501.7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522.7</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4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175.0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7"/>
        </w:trPr>
        <w:tc>
          <w:tcPr>
            <w:tcW w:w="3860" w:type="dxa"/>
            <w:vAlign w:val="bottom"/>
          </w:tcPr>
          <w:p>
            <w:pPr>
              <w:ind w:left="100"/>
              <w:spacing w:after="0"/>
              <w:rPr>
                <w:sz w:val="20"/>
                <w:szCs w:val="20"/>
                <w:color w:val="auto"/>
              </w:rPr>
            </w:pPr>
            <w:r>
              <w:rPr>
                <w:rFonts w:ascii="Arial" w:cs="Arial" w:eastAsia="Arial" w:hAnsi="Arial"/>
                <w:sz w:val="16"/>
                <w:szCs w:val="16"/>
                <w:color w:val="auto"/>
              </w:rPr>
              <w:t>Operating income (loss) from continuing operations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00"/>
              <w:spacing w:after="0"/>
              <w:rPr>
                <w:sz w:val="20"/>
                <w:szCs w:val="20"/>
                <w:color w:val="auto"/>
              </w:rPr>
            </w:pPr>
            <w:r>
              <w:rPr>
                <w:rFonts w:ascii="Arial" w:cs="Arial" w:eastAsia="Arial" w:hAnsi="Arial"/>
                <w:sz w:val="16"/>
                <w:szCs w:val="16"/>
                <w:color w:val="auto"/>
              </w:rPr>
              <w:t>Interest expense, net</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income, net</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860" w:type="dxa"/>
            <w:vAlign w:val="bottom"/>
          </w:tcPr>
          <w:p>
            <w:pPr>
              <w:ind w:left="100"/>
              <w:spacing w:after="0"/>
              <w:rPr>
                <w:sz w:val="20"/>
                <w:szCs w:val="20"/>
                <w:color w:val="auto"/>
              </w:rPr>
            </w:pPr>
            <w:r>
              <w:rPr>
                <w:rFonts w:ascii="Arial" w:cs="Arial" w:eastAsia="Arial" w:hAnsi="Arial"/>
                <w:sz w:val="16"/>
                <w:szCs w:val="16"/>
                <w:color w:val="auto"/>
              </w:rPr>
              <w:t>Total other income and expense, net</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Income (loss) from continuing operations before income</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4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Provision (benefit) for income taxes from continuing</w:t>
            </w:r>
          </w:p>
        </w:tc>
        <w:tc>
          <w:tcPr>
            <w:tcW w:w="460" w:type="dxa"/>
            <w:vAlign w:val="bottom"/>
          </w:tcPr>
          <w:p>
            <w:pPr>
              <w:spacing w:after="0"/>
              <w:rPr>
                <w:sz w:val="19"/>
                <w:szCs w:val="19"/>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40" w:type="dxa"/>
            <w:vAlign w:val="bottom"/>
            <w:vMerge w:val="restart"/>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2"/>
        </w:trPr>
        <w:tc>
          <w:tcPr>
            <w:tcW w:w="386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4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6"/>
                <w:szCs w:val="16"/>
                <w:color w:val="auto"/>
              </w:rPr>
              <w:t>Income (loss) from discontinued operations</w:t>
            </w: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net income (loss) of subsidiaries</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51"/>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060"/>
          </w:cols>
          <w:pgMar w:left="240" w:top="125" w:right="5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Year Ended December 30, 2012</w:t>
      </w:r>
    </w:p>
    <w:p>
      <w:pPr>
        <w:spacing w:after="0" w:line="5"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Non-Guarantors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Guarantors on a</w:t>
            </w:r>
          </w:p>
        </w:tc>
        <w:tc>
          <w:tcPr>
            <w:tcW w:w="1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on 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rPr>
              <w:t>Parent Company</w:t>
            </w:r>
          </w:p>
        </w:tc>
        <w:tc>
          <w:tcPr>
            <w:tcW w:w="1360" w:type="dxa"/>
            <w:vAlign w:val="bottom"/>
            <w:gridSpan w:val="3"/>
          </w:tcPr>
          <w:p>
            <w:pPr>
              <w:ind w:left="60"/>
              <w:spacing w:after="0"/>
              <w:rPr>
                <w:sz w:val="20"/>
                <w:szCs w:val="20"/>
                <w:color w:val="auto"/>
              </w:rPr>
            </w:pPr>
            <w:r>
              <w:rPr>
                <w:rFonts w:ascii="Arial" w:cs="Arial" w:eastAsia="Arial" w:hAnsi="Arial"/>
                <w:sz w:val="16"/>
                <w:szCs w:val="16"/>
                <w:b w:val="1"/>
                <w:bCs w:val="1"/>
                <w:color w:val="auto"/>
              </w:rPr>
              <w:t>Combined Basis</w:t>
            </w:r>
          </w:p>
        </w:tc>
        <w:tc>
          <w:tcPr>
            <w:tcW w:w="2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33"/>
        </w:trPr>
        <w:tc>
          <w:tcPr>
            <w:tcW w:w="3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6"/>
                <w:szCs w:val="16"/>
                <w:color w:val="auto"/>
              </w:rPr>
              <w:t>Product sales</w:t>
            </w:r>
          </w:p>
        </w:tc>
        <w:tc>
          <w:tcPr>
            <w:tcW w:w="4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470.0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519.2</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918.5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969.2</w:t>
            </w: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6"/>
                <w:szCs w:val="16"/>
                <w:color w:val="auto"/>
              </w:rPr>
              <w:t>Cost of service revenues</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product sales</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17"/>
        </w:trPr>
        <w:tc>
          <w:tcPr>
            <w:tcW w:w="368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6"/>
                <w:szCs w:val="16"/>
                <w:color w:val="auto"/>
              </w:rPr>
              <w:t>683.8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712.0</w:t>
            </w:r>
          </w:p>
        </w:tc>
        <w:tc>
          <w:tcPr>
            <w:tcW w:w="0" w:type="dxa"/>
            <w:vAlign w:val="bottom"/>
          </w:tcPr>
          <w:p>
            <w:pPr>
              <w:spacing w:after="0"/>
              <w:rPr>
                <w:sz w:val="1"/>
                <w:szCs w:val="1"/>
                <w:color w:val="auto"/>
              </w:rPr>
            </w:pPr>
          </w:p>
        </w:tc>
      </w:tr>
      <w:tr>
        <w:trPr>
          <w:trHeight w:val="33"/>
        </w:trPr>
        <w:tc>
          <w:tcPr>
            <w:tcW w:w="3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234.7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257.2</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171.2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Impairment of goodwill and intangibles</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4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w w:val="98"/>
              </w:rPr>
              <w:t>Operating income (loss) from continuing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Interest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3"/>
        </w:trPr>
        <w:tc>
          <w:tcPr>
            <w:tcW w:w="3680" w:type="dxa"/>
            <w:vAlign w:val="bottom"/>
          </w:tcPr>
          <w:p>
            <w:pPr>
              <w:ind w:left="100"/>
              <w:spacing w:after="0"/>
              <w:rPr>
                <w:sz w:val="20"/>
                <w:szCs w:val="20"/>
                <w:color w:val="auto"/>
              </w:rPr>
            </w:pPr>
            <w:r>
              <w:rPr>
                <w:rFonts w:ascii="Arial" w:cs="Arial" w:eastAsia="Arial" w:hAnsi="Arial"/>
                <w:sz w:val="16"/>
                <w:szCs w:val="16"/>
                <w:color w:val="auto"/>
              </w:rPr>
              <w:t>Other income, net</w:t>
            </w:r>
          </w:p>
        </w:tc>
        <w:tc>
          <w:tcPr>
            <w:tcW w:w="4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other income and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00"/>
        </w:trPr>
        <w:tc>
          <w:tcPr>
            <w:tcW w:w="3680" w:type="dxa"/>
            <w:vAlign w:val="bottom"/>
          </w:tcPr>
          <w:p>
            <w:pPr>
              <w:ind w:left="20"/>
              <w:spacing w:after="0"/>
              <w:rPr>
                <w:sz w:val="20"/>
                <w:szCs w:val="20"/>
                <w:color w:val="auto"/>
              </w:rPr>
            </w:pPr>
            <w:r>
              <w:rPr>
                <w:rFonts w:ascii="Arial" w:cs="Arial" w:eastAsia="Arial" w:hAnsi="Arial"/>
                <w:sz w:val="16"/>
                <w:szCs w:val="16"/>
                <w:color w:val="auto"/>
              </w:rPr>
              <w:t>Income (loss) from continuing operations before</w:t>
            </w: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80" w:type="dxa"/>
            <w:vAlign w:val="bottom"/>
          </w:tcPr>
          <w:p>
            <w:pPr>
              <w:ind w:left="20"/>
              <w:spacing w:after="0"/>
              <w:rPr>
                <w:sz w:val="20"/>
                <w:szCs w:val="20"/>
                <w:color w:val="auto"/>
              </w:rPr>
            </w:pPr>
            <w:r>
              <w:rPr>
                <w:rFonts w:ascii="Arial" w:cs="Arial" w:eastAsia="Arial" w:hAnsi="Arial"/>
                <w:sz w:val="16"/>
                <w:szCs w:val="16"/>
                <w:color w:val="auto"/>
              </w:rPr>
              <w:t>income taxes</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Provision (benefit) for income taxes from continuing</w:t>
            </w:r>
          </w:p>
        </w:tc>
        <w:tc>
          <w:tcPr>
            <w:tcW w:w="4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9"/>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680" w:type="dxa"/>
            <w:vAlign w:val="bottom"/>
          </w:tcPr>
          <w:p>
            <w:pPr>
              <w:ind w:left="20"/>
              <w:spacing w:after="0"/>
              <w:rPr>
                <w:sz w:val="20"/>
                <w:szCs w:val="20"/>
                <w:color w:val="auto"/>
              </w:rPr>
            </w:pPr>
            <w:r>
              <w:rPr>
                <w:rFonts w:ascii="Arial" w:cs="Arial" w:eastAsia="Arial" w:hAnsi="Arial"/>
                <w:sz w:val="16"/>
                <w:szCs w:val="16"/>
                <w:color w:val="auto"/>
              </w:rPr>
              <w:t>Income (loss) from continuing operations</w:t>
            </w: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(112.9)</w:t>
            </w:r>
          </w:p>
        </w:tc>
        <w:tc>
          <w:tcPr>
            <w:tcW w:w="0" w:type="dxa"/>
            <w:vAlign w:val="bottom"/>
          </w:tcPr>
          <w:p>
            <w:pPr>
              <w:spacing w:after="0"/>
              <w:rPr>
                <w:sz w:val="1"/>
                <w:szCs w:val="1"/>
                <w:color w:val="auto"/>
              </w:rPr>
            </w:pPr>
          </w:p>
        </w:tc>
      </w:tr>
      <w:tr>
        <w:trPr>
          <w:trHeight w:val="33"/>
        </w:trPr>
        <w:tc>
          <w:tcPr>
            <w:tcW w:w="3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discontinued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6"/>
                <w:szCs w:val="16"/>
                <w:color w:val="auto"/>
              </w:rPr>
              <w:t>Equity in net income (loss) of subsidiaries</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0880"/>
          </w:cols>
          <w:pgMar w:left="240" w:top="125" w:right="77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Year Ended December 29, 2013</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(in millions)</w:t>
      </w:r>
    </w:p>
    <w:p>
      <w:pPr>
        <w:spacing w:after="0" w:line="284" w:lineRule="exact"/>
        <w:rPr>
          <w:sz w:val="20"/>
          <w:szCs w:val="20"/>
          <w:color w:val="auto"/>
        </w:rPr>
      </w:pPr>
    </w:p>
    <w:tbl>
      <w:tblPr>
        <w:tblLayout w:type="fixed"/>
        <w:tblInd w:w="158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Guarantors</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on a</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Guarantors on</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Parent</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Combined</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 Combined</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Company</w:t>
            </w: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Basis</w:t>
            </w: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Basis</w:t>
            </w:r>
          </w:p>
        </w:tc>
        <w:tc>
          <w:tcPr>
            <w:tcW w:w="1140" w:type="dxa"/>
            <w:vAlign w:val="bottom"/>
            <w:gridSpan w:val="3"/>
          </w:tcPr>
          <w:p>
            <w:pPr>
              <w:ind w:left="80"/>
              <w:spacing w:after="0"/>
              <w:rPr>
                <w:sz w:val="20"/>
                <w:szCs w:val="20"/>
                <w:color w:val="auto"/>
              </w:rPr>
            </w:pPr>
            <w:r>
              <w:rPr>
                <w:rFonts w:ascii="Arial" w:cs="Arial" w:eastAsia="Arial" w:hAnsi="Arial"/>
                <w:sz w:val="16"/>
                <w:szCs w:val="16"/>
                <w:b w:val="1"/>
                <w:bCs w:val="1"/>
                <w:color w:val="auto"/>
              </w:rPr>
              <w:t>Eliminations</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438.2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886.8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950.6</w:t>
            </w:r>
          </w:p>
        </w:tc>
        <w:tc>
          <w:tcPr>
            <w:tcW w:w="0" w:type="dxa"/>
            <w:vAlign w:val="bottom"/>
          </w:tcPr>
          <w:p>
            <w:pPr>
              <w:spacing w:after="0"/>
              <w:rPr>
                <w:sz w:val="1"/>
                <w:szCs w:val="1"/>
                <w:color w:val="auto"/>
              </w:rPr>
            </w:pPr>
          </w:p>
        </w:tc>
      </w:tr>
      <w:tr>
        <w:trPr>
          <w:trHeight w:val="237"/>
        </w:trPr>
        <w:tc>
          <w:tcPr>
            <w:tcW w:w="2580" w:type="dxa"/>
            <w:vAlign w:val="bottom"/>
          </w:tcPr>
          <w:p>
            <w:pPr>
              <w:ind w:left="2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17"/>
        </w:trPr>
        <w:tc>
          <w:tcPr>
            <w:tcW w:w="258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4"/>
              <w:spacing w:after="0"/>
              <w:rPr>
                <w:sz w:val="20"/>
                <w:szCs w:val="20"/>
                <w:color w:val="auto"/>
              </w:rPr>
            </w:pPr>
            <w:r>
              <w:rPr>
                <w:rFonts w:ascii="Arial" w:cs="Arial" w:eastAsia="Arial" w:hAnsi="Arial"/>
                <w:sz w:val="16"/>
                <w:szCs w:val="16"/>
                <w:color w:val="auto"/>
              </w:rPr>
              <w:t>670.2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4"/>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6"/>
                <w:szCs w:val="16"/>
                <w:color w:val="auto"/>
              </w:rPr>
              <w:t>710.6</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216.6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220"/>
        </w:trPr>
        <w:tc>
          <w:tcPr>
            <w:tcW w:w="258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9"/>
                <w:szCs w:val="19"/>
                <w:color w:val="auto"/>
              </w:rPr>
            </w:pPr>
          </w:p>
        </w:tc>
        <w:tc>
          <w:tcPr>
            <w:tcW w:w="880" w:type="dxa"/>
            <w:vAlign w:val="bottom"/>
            <w:vMerge w:val="restart"/>
          </w:tcPr>
          <w:p>
            <w:pPr>
              <w:jc w:val="right"/>
              <w:ind w:right="1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restart"/>
          </w:tcPr>
          <w:p>
            <w:pPr>
              <w:jc w:val="right"/>
              <w:ind w:right="54"/>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vMerge w:val="restart"/>
          </w:tcPr>
          <w:p>
            <w:pPr>
              <w:jc w:val="right"/>
              <w:ind w:right="5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2"/>
        </w:trPr>
        <w:tc>
          <w:tcPr>
            <w:tcW w:w="2580" w:type="dxa"/>
            <w:vAlign w:val="bottom"/>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 and</w:t>
            </w:r>
          </w:p>
        </w:tc>
        <w:tc>
          <w:tcPr>
            <w:tcW w:w="14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intangibles</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vMerge w:val="continue"/>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vMerge w:val="continue"/>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6"/>
                <w:szCs w:val="16"/>
                <w:color w:val="auto"/>
                <w:w w:val="94"/>
              </w:rPr>
              <w:t>Research and development expenses</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income (loss) from</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continuing operations</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37"/>
        </w:trPr>
        <w:tc>
          <w:tcPr>
            <w:tcW w:w="25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43"/>
        </w:trPr>
        <w:tc>
          <w:tcPr>
            <w:tcW w:w="2580" w:type="dxa"/>
            <w:vAlign w:val="bottom"/>
          </w:tcPr>
          <w:p>
            <w:pPr>
              <w:ind w:left="100"/>
              <w:spacing w:after="0"/>
              <w:rPr>
                <w:sz w:val="20"/>
                <w:szCs w:val="20"/>
                <w:color w:val="auto"/>
              </w:rPr>
            </w:pPr>
            <w:r>
              <w:rPr>
                <w:rFonts w:ascii="Arial" w:cs="Arial" w:eastAsia="Arial" w:hAnsi="Arial"/>
                <w:sz w:val="16"/>
                <w:szCs w:val="16"/>
                <w:color w:val="auto"/>
              </w:rPr>
              <w:t>Other income, net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w w:val="94"/>
              </w:rPr>
              <w:t>Total other income and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00"/>
        </w:trPr>
        <w:tc>
          <w:tcPr>
            <w:tcW w:w="2580" w:type="dxa"/>
            <w:vAlign w:val="bottom"/>
          </w:tcPr>
          <w:p>
            <w:pPr>
              <w:ind w:left="20"/>
              <w:spacing w:after="0"/>
              <w:rPr>
                <w:sz w:val="20"/>
                <w:szCs w:val="20"/>
                <w:color w:val="auto"/>
              </w:rPr>
            </w:pPr>
            <w:r>
              <w:rPr>
                <w:rFonts w:ascii="Arial" w:cs="Arial" w:eastAsia="Arial" w:hAnsi="Arial"/>
                <w:sz w:val="16"/>
                <w:szCs w:val="16"/>
                <w:color w:val="auto"/>
              </w:rPr>
              <w:t>Income (loss) from continuing</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80" w:type="dxa"/>
            <w:vAlign w:val="bottom"/>
          </w:tcPr>
          <w:p>
            <w:pPr>
              <w:ind w:left="20"/>
              <w:spacing w:after="0"/>
              <w:rPr>
                <w:sz w:val="20"/>
                <w:szCs w:val="20"/>
                <w:color w:val="auto"/>
              </w:rPr>
            </w:pPr>
            <w:r>
              <w:rPr>
                <w:rFonts w:ascii="Arial" w:cs="Arial" w:eastAsia="Arial" w:hAnsi="Arial"/>
                <w:sz w:val="16"/>
                <w:szCs w:val="16"/>
                <w:color w:val="auto"/>
              </w:rPr>
              <w:t>operations before income taxes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54"/>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54"/>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1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vMerge w:val="continue"/>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580" w:type="dxa"/>
            <w:vAlign w:val="bottom"/>
          </w:tcPr>
          <w:p>
            <w:pPr>
              <w:ind w:left="20"/>
              <w:spacing w:after="0"/>
              <w:rPr>
                <w:sz w:val="20"/>
                <w:szCs w:val="20"/>
                <w:color w:val="auto"/>
              </w:rPr>
            </w:pPr>
            <w:r>
              <w:rPr>
                <w:rFonts w:ascii="Arial" w:cs="Arial" w:eastAsia="Arial" w:hAnsi="Arial"/>
                <w:sz w:val="16"/>
                <w:szCs w:val="16"/>
                <w:color w:val="auto"/>
              </w:rPr>
              <w:t>Income (loss) from continuing</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8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54"/>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54"/>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discontinued</w:t>
            </w: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9"/>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vMerge w:val="continue"/>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vMerge w:val="continue"/>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80" w:type="dxa"/>
            <w:vAlign w:val="bottom"/>
          </w:tcPr>
          <w:p>
            <w:pPr>
              <w:ind w:left="20"/>
              <w:spacing w:after="0"/>
              <w:rPr>
                <w:sz w:val="20"/>
                <w:szCs w:val="20"/>
                <w:color w:val="auto"/>
              </w:rPr>
            </w:pPr>
            <w:r>
              <w:rPr>
                <w:rFonts w:ascii="Arial" w:cs="Arial" w:eastAsia="Arial" w:hAnsi="Arial"/>
                <w:sz w:val="16"/>
                <w:szCs w:val="16"/>
                <w:color w:val="auto"/>
              </w:rPr>
              <w:t>Equity in net income (loss) of</w:t>
            </w:r>
          </w:p>
        </w:tc>
        <w:tc>
          <w:tcPr>
            <w:tcW w:w="140" w:type="dxa"/>
            <w:vAlign w:val="bottom"/>
          </w:tcPr>
          <w:p>
            <w:pPr>
              <w:spacing w:after="0"/>
              <w:rPr>
                <w:sz w:val="19"/>
                <w:szCs w:val="19"/>
                <w:color w:val="auto"/>
              </w:rPr>
            </w:pPr>
          </w:p>
        </w:tc>
        <w:tc>
          <w:tcPr>
            <w:tcW w:w="880" w:type="dxa"/>
            <w:vAlign w:val="bottom"/>
            <w:vMerge w:val="restart"/>
          </w:tcPr>
          <w:p>
            <w:pPr>
              <w:jc w:val="right"/>
              <w:ind w:right="14"/>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restart"/>
          </w:tcPr>
          <w:p>
            <w:pPr>
              <w:jc w:val="right"/>
              <w:ind w:right="5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580" w:type="dxa"/>
            <w:vAlign w:val="bottom"/>
          </w:tcPr>
          <w:p>
            <w:pPr>
              <w:ind w:left="20"/>
              <w:spacing w:after="0"/>
              <w:rPr>
                <w:sz w:val="20"/>
                <w:szCs w:val="20"/>
                <w:color w:val="auto"/>
              </w:rPr>
            </w:pPr>
            <w:r>
              <w:rPr>
                <w:rFonts w:ascii="Arial" w:cs="Arial" w:eastAsia="Arial" w:hAnsi="Arial"/>
                <w:sz w:val="16"/>
                <w:szCs w:val="16"/>
                <w:color w:val="auto"/>
              </w:rPr>
              <w:t>subsidiaries</w:t>
            </w: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F-51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5" w:right="1440"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Year Ended December 25, 2011</w:t>
      </w:r>
    </w:p>
    <w:p>
      <w:pPr>
        <w:spacing w:after="0" w:line="5"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Guarantors on</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Guarantors on</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Parent</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 Combined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 Combined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Company</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58"/>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404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8"/>
              <w:spacing w:after="0"/>
              <w:rPr>
                <w:sz w:val="20"/>
                <w:szCs w:val="20"/>
                <w:color w:val="auto"/>
              </w:rPr>
            </w:pPr>
            <w:r>
              <w:rPr>
                <w:rFonts w:ascii="Arial" w:cs="Arial" w:eastAsia="Arial" w:hAnsi="Arial"/>
                <w:sz w:val="16"/>
                <w:szCs w:val="16"/>
                <w:color w:val="auto"/>
              </w:rPr>
              <w:t>5.2</w:t>
            </w:r>
          </w:p>
        </w:tc>
      </w:tr>
      <w:tr>
        <w:trPr>
          <w:trHeight w:val="33"/>
        </w:trPr>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040" w:type="dxa"/>
            <w:vAlign w:val="bottom"/>
          </w:tcPr>
          <w:p>
            <w:pPr>
              <w:ind w:left="100"/>
              <w:spacing w:after="0"/>
              <w:rPr>
                <w:sz w:val="20"/>
                <w:szCs w:val="20"/>
                <w:color w:val="auto"/>
              </w:rPr>
            </w:pPr>
            <w:r>
              <w:rPr>
                <w:rFonts w:ascii="Arial" w:cs="Arial" w:eastAsia="Arial" w:hAnsi="Arial"/>
                <w:sz w:val="16"/>
                <w:szCs w:val="16"/>
                <w:color w:val="auto"/>
              </w:rPr>
              <w:t>Cash paid for acquisitions, net of cash acquired</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(391.1)</w:t>
            </w:r>
          </w:p>
        </w:tc>
      </w:tr>
      <w:tr>
        <w:trPr>
          <w:trHeight w:val="33"/>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Decrease in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3.0</w:t>
            </w:r>
          </w:p>
        </w:tc>
      </w:tr>
      <w:tr>
        <w:trPr>
          <w:trHeight w:val="243"/>
        </w:trPr>
        <w:tc>
          <w:tcPr>
            <w:tcW w:w="4040" w:type="dxa"/>
            <w:vAlign w:val="bottom"/>
          </w:tcPr>
          <w:p>
            <w:pPr>
              <w:ind w:left="100"/>
              <w:spacing w:after="0"/>
              <w:rPr>
                <w:sz w:val="20"/>
                <w:szCs w:val="20"/>
                <w:color w:val="auto"/>
              </w:rPr>
            </w:pPr>
            <w:r>
              <w:rPr>
                <w:rFonts w:ascii="Arial" w:cs="Arial" w:eastAsia="Arial" w:hAnsi="Arial"/>
                <w:sz w:val="16"/>
                <w:szCs w:val="16"/>
                <w:color w:val="auto"/>
              </w:rPr>
              <w:t>Investment in affiliated companies</w:t>
            </w:r>
          </w:p>
        </w:tc>
        <w:tc>
          <w:tcPr>
            <w:tcW w:w="1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Capital expenditures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00"/>
        </w:trPr>
        <w:tc>
          <w:tcPr>
            <w:tcW w:w="404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 from</w:t>
            </w: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06"/>
        </w:trPr>
        <w:tc>
          <w:tcPr>
            <w:tcW w:w="4040" w:type="dxa"/>
            <w:vAlign w:val="bottom"/>
          </w:tcPr>
          <w:p>
            <w:pPr>
              <w:ind w:left="20"/>
              <w:spacing w:after="0"/>
              <w:rPr>
                <w:sz w:val="20"/>
                <w:szCs w:val="20"/>
                <w:color w:val="auto"/>
              </w:rPr>
            </w:pPr>
            <w:r>
              <w:rPr>
                <w:rFonts w:ascii="Arial" w:cs="Arial" w:eastAsia="Arial" w:hAnsi="Arial"/>
                <w:sz w:val="16"/>
                <w:szCs w:val="16"/>
                <w:color w:val="auto"/>
              </w:rPr>
              <w:t>continuing operations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(395.6)</w:t>
            </w:r>
          </w:p>
        </w:tc>
      </w:tr>
      <w:tr>
        <w:trPr>
          <w:trHeight w:val="33"/>
        </w:trPr>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040" w:type="dxa"/>
            <w:vAlign w:val="bottom"/>
          </w:tcPr>
          <w:p>
            <w:pPr>
              <w:ind w:left="100"/>
              <w:spacing w:after="0"/>
              <w:rPr>
                <w:sz w:val="20"/>
                <w:szCs w:val="20"/>
                <w:color w:val="auto"/>
              </w:rPr>
            </w:pPr>
            <w:r>
              <w:rPr>
                <w:rFonts w:ascii="Arial" w:cs="Arial" w:eastAsia="Arial" w:hAnsi="Arial"/>
                <w:sz w:val="16"/>
                <w:szCs w:val="16"/>
                <w:color w:val="auto"/>
              </w:rPr>
              <w:t>Proceeds from the issuance of common stock</w:t>
            </w:r>
          </w:p>
        </w:tc>
        <w:tc>
          <w:tcPr>
            <w:tcW w:w="1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8"/>
              <w:spacing w:after="0"/>
              <w:rPr>
                <w:sz w:val="20"/>
                <w:szCs w:val="20"/>
                <w:color w:val="auto"/>
              </w:rPr>
            </w:pPr>
            <w:r>
              <w:rPr>
                <w:rFonts w:ascii="Arial" w:cs="Arial" w:eastAsia="Arial" w:hAnsi="Arial"/>
                <w:sz w:val="16"/>
                <w:szCs w:val="16"/>
                <w:color w:val="auto"/>
              </w:rPr>
              <w:t>61.1</w:t>
            </w:r>
          </w:p>
        </w:tc>
      </w:tr>
      <w:tr>
        <w:trPr>
          <w:trHeight w:val="33"/>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the issuance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425.7</w:t>
            </w:r>
          </w:p>
        </w:tc>
      </w:tr>
      <w:tr>
        <w:trPr>
          <w:trHeight w:val="237"/>
        </w:trPr>
        <w:tc>
          <w:tcPr>
            <w:tcW w:w="4040" w:type="dxa"/>
            <w:vAlign w:val="bottom"/>
          </w:tcPr>
          <w:p>
            <w:pPr>
              <w:ind w:left="320"/>
              <w:spacing w:after="0"/>
              <w:rPr>
                <w:sz w:val="20"/>
                <w:szCs w:val="20"/>
                <w:color w:val="auto"/>
              </w:rPr>
            </w:pPr>
            <w:r>
              <w:rPr>
                <w:rFonts w:ascii="Arial" w:cs="Arial" w:eastAsia="Arial" w:hAnsi="Arial"/>
                <w:sz w:val="16"/>
                <w:szCs w:val="16"/>
                <w:color w:val="auto"/>
              </w:rPr>
              <w:t>Debt issuance costs paid</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33"/>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Purchase of treasury stock</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37"/>
        </w:trPr>
        <w:tc>
          <w:tcPr>
            <w:tcW w:w="4040" w:type="dxa"/>
            <w:vAlign w:val="bottom"/>
          </w:tcPr>
          <w:p>
            <w:pPr>
              <w:ind w:left="100"/>
              <w:spacing w:after="0"/>
              <w:rPr>
                <w:sz w:val="20"/>
                <w:szCs w:val="20"/>
                <w:color w:val="auto"/>
              </w:rPr>
            </w:pPr>
            <w:r>
              <w:rPr>
                <w:rFonts w:ascii="Arial" w:cs="Arial" w:eastAsia="Arial" w:hAnsi="Arial"/>
                <w:sz w:val="16"/>
                <w:szCs w:val="16"/>
                <w:color w:val="auto"/>
              </w:rPr>
              <w:t>Repayment of debt</w:t>
            </w:r>
          </w:p>
        </w:tc>
        <w:tc>
          <w:tcPr>
            <w:tcW w:w="1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Financing from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37"/>
        </w:trPr>
        <w:tc>
          <w:tcPr>
            <w:tcW w:w="4040" w:type="dxa"/>
            <w:vAlign w:val="bottom"/>
          </w:tcPr>
          <w:p>
            <w:pPr>
              <w:ind w:left="10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8"/>
              <w:spacing w:after="0"/>
              <w:rPr>
                <w:sz w:val="20"/>
                <w:szCs w:val="20"/>
                <w:color w:val="auto"/>
              </w:rPr>
            </w:pPr>
            <w:r>
              <w:rPr>
                <w:rFonts w:ascii="Arial" w:cs="Arial" w:eastAsia="Arial" w:hAnsi="Arial"/>
                <w:sz w:val="16"/>
                <w:szCs w:val="16"/>
                <w:color w:val="auto"/>
              </w:rPr>
              <w:t>2.0</w:t>
            </w:r>
          </w:p>
        </w:tc>
      </w:tr>
      <w:tr>
        <w:trPr>
          <w:trHeight w:val="33"/>
        </w:trPr>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 from</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9"/>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continuing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452.4</w:t>
            </w:r>
          </w:p>
        </w:tc>
      </w:tr>
      <w:tr>
        <w:trPr>
          <w:trHeight w:val="231"/>
        </w:trPr>
        <w:tc>
          <w:tcPr>
            <w:tcW w:w="4040" w:type="dxa"/>
            <w:vAlign w:val="bottom"/>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44.5</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14.9</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62.0</w:t>
            </w:r>
          </w:p>
        </w:tc>
      </w:tr>
      <w:tr>
        <w:trPr>
          <w:trHeight w:val="33"/>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cash flows from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w w:val="89"/>
              </w:rPr>
              <w:t>Effect of exchange rate changes on cash and cash equivalents</w:t>
            </w:r>
          </w:p>
        </w:tc>
        <w:tc>
          <w:tcPr>
            <w:tcW w:w="1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58.8</w:t>
            </w: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020"/>
          </w:cols>
          <w:pgMar w:left="240" w:top="125" w:right="6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Year Ended December 30, 2012</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154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Guarantors</w:t>
            </w:r>
          </w:p>
        </w:tc>
        <w:tc>
          <w:tcPr>
            <w:tcW w:w="120" w:type="dxa"/>
            <w:vAlign w:val="bottom"/>
          </w:tcPr>
          <w:p>
            <w:pPr>
              <w:spacing w:after="0"/>
              <w:rPr>
                <w:sz w:val="17"/>
                <w:szCs w:val="17"/>
                <w:color w:val="auto"/>
              </w:rPr>
            </w:pP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Non-</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on a</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Guarantors on</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Parent</w:t>
            </w: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Combined</w:t>
            </w:r>
          </w:p>
        </w:tc>
        <w:tc>
          <w:tcPr>
            <w:tcW w:w="120" w:type="dxa"/>
            <w:vAlign w:val="bottom"/>
          </w:tcPr>
          <w:p>
            <w:pPr>
              <w:spacing w:after="0"/>
              <w:rPr>
                <w:sz w:val="17"/>
                <w:szCs w:val="17"/>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 Combined</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Company</w:t>
            </w:r>
          </w:p>
        </w:tc>
        <w:tc>
          <w:tcPr>
            <w:tcW w:w="12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84"/>
              </w:rPr>
              <w:t>Basis</w:t>
            </w:r>
          </w:p>
        </w:tc>
        <w:tc>
          <w:tcPr>
            <w:tcW w:w="120" w:type="dxa"/>
            <w:vAlign w:val="bottom"/>
          </w:tcPr>
          <w:p>
            <w:pPr>
              <w:spacing w:after="0"/>
              <w:rPr>
                <w:sz w:val="18"/>
                <w:szCs w:val="18"/>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b w:val="1"/>
                <w:bCs w:val="1"/>
                <w:color w:val="auto"/>
                <w:w w:val="84"/>
              </w:rPr>
              <w:t>Basis</w:t>
            </w:r>
          </w:p>
        </w:tc>
        <w:tc>
          <w:tcPr>
            <w:tcW w:w="10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Eliminations</w:t>
            </w:r>
          </w:p>
        </w:tc>
        <w:tc>
          <w:tcPr>
            <w:tcW w:w="1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33"/>
        </w:trPr>
        <w:tc>
          <w:tcPr>
            <w:tcW w:w="3040" w:type="dxa"/>
            <w:vAlign w:val="bottom"/>
            <w:vMerge w:val="restart"/>
          </w:tcPr>
          <w:p>
            <w:pPr>
              <w:ind w:left="20"/>
              <w:spacing w:after="0"/>
              <w:rPr>
                <w:sz w:val="20"/>
                <w:szCs w:val="20"/>
                <w:color w:val="auto"/>
              </w:rPr>
            </w:pPr>
            <w:r>
              <w:rPr>
                <w:rFonts w:ascii="Arial" w:cs="Arial" w:eastAsia="Arial" w:hAnsi="Arial"/>
                <w:sz w:val="16"/>
                <w:szCs w:val="16"/>
                <w:color w:val="auto"/>
              </w:rPr>
              <w:t>Net cash provided by (used in) operating</w:t>
            </w: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6"/>
                <w:szCs w:val="16"/>
                <w:color w:val="auto"/>
              </w:rPr>
              <w:t>activities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144.5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40" w:type="dxa"/>
            <w:vAlign w:val="bottom"/>
          </w:tcPr>
          <w:p>
            <w:pPr>
              <w:ind w:left="100"/>
              <w:spacing w:after="0"/>
              <w:rPr>
                <w:sz w:val="20"/>
                <w:szCs w:val="20"/>
                <w:color w:val="auto"/>
              </w:rPr>
            </w:pPr>
            <w:r>
              <w:rPr>
                <w:rFonts w:ascii="Arial" w:cs="Arial" w:eastAsia="Arial" w:hAnsi="Arial"/>
                <w:sz w:val="16"/>
                <w:szCs w:val="16"/>
                <w:color w:val="auto"/>
              </w:rPr>
              <w:t>Cash paid for acquisitions, net of cash</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(151.7)</w:t>
            </w:r>
          </w:p>
        </w:tc>
        <w:tc>
          <w:tcPr>
            <w:tcW w:w="1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(149.4)</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Decrease in restricted cash</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24"/>
        </w:trPr>
        <w:tc>
          <w:tcPr>
            <w:tcW w:w="3040" w:type="dxa"/>
            <w:vAlign w:val="bottom"/>
          </w:tcPr>
          <w:p>
            <w:pPr>
              <w:ind w:left="100"/>
              <w:spacing w:after="0"/>
              <w:rPr>
                <w:sz w:val="20"/>
                <w:szCs w:val="20"/>
                <w:color w:val="auto"/>
              </w:rPr>
            </w:pPr>
            <w:r>
              <w:rPr>
                <w:rFonts w:ascii="Arial" w:cs="Arial" w:eastAsia="Arial" w:hAnsi="Arial"/>
                <w:sz w:val="16"/>
                <w:szCs w:val="16"/>
                <w:color w:val="auto"/>
              </w:rPr>
              <w:t>Investment in affiliated companies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Capital expenditures</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24"/>
        </w:trPr>
        <w:tc>
          <w:tcPr>
            <w:tcW w:w="3040" w:type="dxa"/>
            <w:vAlign w:val="bottom"/>
          </w:tcPr>
          <w:p>
            <w:pPr>
              <w:ind w:left="100"/>
              <w:spacing w:after="0"/>
              <w:rPr>
                <w:sz w:val="20"/>
                <w:szCs w:val="20"/>
                <w:color w:val="auto"/>
              </w:rPr>
            </w:pPr>
            <w:r>
              <w:rPr>
                <w:rFonts w:ascii="Arial" w:cs="Arial" w:eastAsia="Arial" w:hAnsi="Arial"/>
                <w:sz w:val="16"/>
                <w:szCs w:val="16"/>
                <w:color w:val="auto"/>
              </w:rPr>
              <w:t>Other, net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activities from continuing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(165.1)</w:t>
            </w:r>
          </w:p>
        </w:tc>
        <w:tc>
          <w:tcPr>
            <w:tcW w:w="0" w:type="dxa"/>
            <w:vAlign w:val="bottom"/>
          </w:tcPr>
          <w:p>
            <w:pPr>
              <w:spacing w:after="0"/>
              <w:rPr>
                <w:sz w:val="1"/>
                <w:szCs w:val="1"/>
                <w:color w:val="auto"/>
              </w:rPr>
            </w:pPr>
          </w:p>
        </w:tc>
      </w:tr>
      <w:tr>
        <w:trPr>
          <w:trHeight w:val="231"/>
        </w:trPr>
        <w:tc>
          <w:tcPr>
            <w:tcW w:w="30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the issuance of common</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224"/>
        </w:trPr>
        <w:tc>
          <w:tcPr>
            <w:tcW w:w="3040" w:type="dxa"/>
            <w:vAlign w:val="bottom"/>
          </w:tcPr>
          <w:p>
            <w:pPr>
              <w:ind w:left="100"/>
              <w:spacing w:after="0"/>
              <w:rPr>
                <w:sz w:val="20"/>
                <w:szCs w:val="20"/>
                <w:color w:val="auto"/>
              </w:rPr>
            </w:pPr>
            <w:r>
              <w:rPr>
                <w:rFonts w:ascii="Arial" w:cs="Arial" w:eastAsia="Arial" w:hAnsi="Arial"/>
                <w:sz w:val="16"/>
                <w:szCs w:val="16"/>
                <w:color w:val="auto"/>
              </w:rPr>
              <w:t>Debt issuance costs paid</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Repayment of debt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4"/>
        </w:trPr>
        <w:tc>
          <w:tcPr>
            <w:tcW w:w="3040" w:type="dxa"/>
            <w:vAlign w:val="bottom"/>
          </w:tcPr>
          <w:p>
            <w:pPr>
              <w:ind w:left="100"/>
              <w:spacing w:after="0"/>
              <w:rPr>
                <w:sz w:val="20"/>
                <w:szCs w:val="20"/>
                <w:color w:val="auto"/>
              </w:rPr>
            </w:pPr>
            <w:r>
              <w:rPr>
                <w:rFonts w:ascii="Arial" w:cs="Arial" w:eastAsia="Arial" w:hAnsi="Arial"/>
                <w:sz w:val="16"/>
                <w:szCs w:val="16"/>
                <w:color w:val="auto"/>
              </w:rPr>
              <w:t>Financings from affiliated companies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0"/>
        </w:trPr>
        <w:tc>
          <w:tcPr>
            <w:tcW w:w="3040" w:type="dxa"/>
            <w:vAlign w:val="bottom"/>
          </w:tcPr>
          <w:p>
            <w:pPr>
              <w:ind w:left="20"/>
              <w:spacing w:after="0"/>
              <w:rPr>
                <w:sz w:val="20"/>
                <w:szCs w:val="20"/>
                <w:color w:val="auto"/>
              </w:rPr>
            </w:pPr>
            <w:r>
              <w:rPr>
                <w:rFonts w:ascii="Arial" w:cs="Arial" w:eastAsia="Arial" w:hAnsi="Arial"/>
                <w:sz w:val="16"/>
                <w:szCs w:val="16"/>
                <w:color w:val="auto"/>
              </w:rPr>
              <w:t>Net cash provided by (used in) financing</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6"/>
                <w:szCs w:val="16"/>
                <w:color w:val="auto"/>
              </w:rPr>
              <w:t>activities from continuing operations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20"/>
        </w:trPr>
        <w:tc>
          <w:tcPr>
            <w:tcW w:w="3040" w:type="dxa"/>
            <w:vAlign w:val="bottom"/>
          </w:tcPr>
          <w:p>
            <w:pPr>
              <w:ind w:left="20"/>
              <w:spacing w:after="0"/>
              <w:rPr>
                <w:sz w:val="20"/>
                <w:szCs w:val="20"/>
                <w:color w:val="auto"/>
              </w:rPr>
            </w:pPr>
            <w:r>
              <w:rPr>
                <w:rFonts w:ascii="Arial" w:cs="Arial" w:eastAsia="Arial" w:hAnsi="Arial"/>
                <w:sz w:val="16"/>
                <w:szCs w:val="16"/>
                <w:color w:val="auto"/>
                <w:w w:val="98"/>
              </w:rPr>
              <w:t>Net operating cash flows from discontinued</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Effect of exchange rate changes on cash and</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040" w:type="dxa"/>
            <w:vAlign w:val="bottom"/>
          </w:tcPr>
          <w:p>
            <w:pPr>
              <w:ind w:left="20"/>
              <w:spacing w:after="0"/>
              <w:rPr>
                <w:sz w:val="20"/>
                <w:szCs w:val="20"/>
                <w:color w:val="auto"/>
              </w:rPr>
            </w:pPr>
            <w:r>
              <w:rPr>
                <w:rFonts w:ascii="Arial" w:cs="Arial" w:eastAsia="Arial" w:hAnsi="Arial"/>
                <w:sz w:val="16"/>
                <w:szCs w:val="16"/>
                <w:color w:val="auto"/>
              </w:rPr>
              <w:t>Net increase (decrease) in cash and cash</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1.1</w:t>
            </w:r>
          </w:p>
        </w:tc>
        <w:tc>
          <w:tcPr>
            <w:tcW w:w="38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24"/>
        </w:trPr>
        <w:tc>
          <w:tcPr>
            <w:tcW w:w="3040" w:type="dxa"/>
            <w:vAlign w:val="bottom"/>
          </w:tcPr>
          <w:p>
            <w:pPr>
              <w:ind w:left="20"/>
              <w:spacing w:after="0"/>
              <w:rPr>
                <w:sz w:val="20"/>
                <w:szCs w:val="20"/>
                <w:color w:val="auto"/>
              </w:rPr>
            </w:pPr>
            <w:r>
              <w:rPr>
                <w:rFonts w:ascii="Arial" w:cs="Arial" w:eastAsia="Arial" w:hAnsi="Arial"/>
                <w:sz w:val="16"/>
                <w:szCs w:val="16"/>
                <w:color w:val="auto"/>
              </w:rPr>
              <w:t>equivalents</w:t>
            </w:r>
          </w:p>
        </w:tc>
        <w:tc>
          <w:tcPr>
            <w:tcW w:w="12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F-53</w:t>
      </w:r>
    </w:p>
    <w:p>
      <w:pPr>
        <w:sectPr>
          <w:pgSz w:w="11900" w:h="16838" w:orient="portrait"/>
          <w:cols w:equalWidth="0" w:num="1">
            <w:col w:w="10219"/>
          </w:cols>
          <w:pgMar w:left="240" w:top="125" w:right="1440"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Year Ended December 29, 2013</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(in millions)</w:t>
      </w:r>
    </w:p>
    <w:p>
      <w:pPr>
        <w:spacing w:after="0" w:line="284" w:lineRule="exact"/>
        <w:rPr>
          <w:sz w:val="20"/>
          <w:szCs w:val="20"/>
          <w:color w:val="auto"/>
        </w:rPr>
      </w:pPr>
    </w:p>
    <w:tbl>
      <w:tblPr>
        <w:tblLayout w:type="fixed"/>
        <w:tblInd w:w="15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3"/>
              </w:rPr>
              <w:t>Non-</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2"/>
              </w:rPr>
              <w:t>Guarantors</w:t>
            </w:r>
          </w:p>
        </w:tc>
        <w:tc>
          <w:tcPr>
            <w:tcW w:w="1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5"/>
              </w:rPr>
              <w:t>Guarantors</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4"/>
              </w:rPr>
              <w:t>on a</w:t>
            </w:r>
          </w:p>
        </w:tc>
        <w:tc>
          <w:tcPr>
            <w:tcW w:w="1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1"/>
              </w:rPr>
              <w:t>on a</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58"/>
              <w:spacing w:after="0"/>
              <w:rPr>
                <w:sz w:val="20"/>
                <w:szCs w:val="20"/>
                <w:color w:val="auto"/>
              </w:rPr>
            </w:pPr>
            <w:r>
              <w:rPr>
                <w:rFonts w:ascii="Arial" w:cs="Arial" w:eastAsia="Arial" w:hAnsi="Arial"/>
                <w:sz w:val="16"/>
                <w:szCs w:val="16"/>
                <w:b w:val="1"/>
                <w:bCs w:val="1"/>
                <w:color w:val="auto"/>
              </w:rPr>
              <w:t>Parent</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1"/>
              </w:rPr>
              <w:t>Combined</w:t>
            </w:r>
          </w:p>
        </w:tc>
        <w:tc>
          <w:tcPr>
            <w:tcW w:w="140" w:type="dxa"/>
            <w:vAlign w:val="bottom"/>
          </w:tcPr>
          <w:p>
            <w:pPr>
              <w:spacing w:after="0"/>
              <w:rPr>
                <w:sz w:val="17"/>
                <w:szCs w:val="17"/>
                <w:color w:val="auto"/>
              </w:rPr>
            </w:pPr>
          </w:p>
        </w:tc>
        <w:tc>
          <w:tcPr>
            <w:tcW w:w="940" w:type="dxa"/>
            <w:vAlign w:val="bottom"/>
          </w:tcPr>
          <w:p>
            <w:pPr>
              <w:jc w:val="center"/>
              <w:ind w:right="18"/>
              <w:spacing w:after="0"/>
              <w:rPr>
                <w:sz w:val="20"/>
                <w:szCs w:val="20"/>
                <w:color w:val="auto"/>
              </w:rPr>
            </w:pPr>
            <w:r>
              <w:rPr>
                <w:rFonts w:ascii="Arial" w:cs="Arial" w:eastAsia="Arial" w:hAnsi="Arial"/>
                <w:sz w:val="16"/>
                <w:szCs w:val="16"/>
                <w:b w:val="1"/>
                <w:bCs w:val="1"/>
                <w:color w:val="auto"/>
                <w:w w:val="91"/>
              </w:rPr>
              <w:t>Combined</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58"/>
              <w:spacing w:after="0"/>
              <w:rPr>
                <w:sz w:val="20"/>
                <w:szCs w:val="20"/>
                <w:color w:val="auto"/>
              </w:rPr>
            </w:pPr>
            <w:r>
              <w:rPr>
                <w:rFonts w:ascii="Arial" w:cs="Arial" w:eastAsia="Arial" w:hAnsi="Arial"/>
                <w:sz w:val="16"/>
                <w:szCs w:val="16"/>
                <w:b w:val="1"/>
                <w:bCs w:val="1"/>
                <w:color w:val="auto"/>
                <w:w w:val="90"/>
              </w:rPr>
              <w:t>Company</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940" w:type="dxa"/>
            <w:vAlign w:val="bottom"/>
          </w:tcPr>
          <w:p>
            <w:pPr>
              <w:jc w:val="center"/>
              <w:ind w:right="18"/>
              <w:spacing w:after="0"/>
              <w:rPr>
                <w:sz w:val="20"/>
                <w:szCs w:val="20"/>
                <w:color w:val="auto"/>
              </w:rPr>
            </w:pPr>
            <w:r>
              <w:rPr>
                <w:rFonts w:ascii="Arial" w:cs="Arial" w:eastAsia="Arial" w:hAnsi="Arial"/>
                <w:sz w:val="16"/>
                <w:szCs w:val="16"/>
                <w:b w:val="1"/>
                <w:bCs w:val="1"/>
                <w:color w:val="auto"/>
                <w:w w:val="84"/>
              </w:rPr>
              <w:t>Basis</w:t>
            </w:r>
          </w:p>
        </w:tc>
        <w:tc>
          <w:tcPr>
            <w:tcW w:w="1100" w:type="dxa"/>
            <w:vAlign w:val="bottom"/>
            <w:gridSpan w:val="2"/>
          </w:tcPr>
          <w:p>
            <w:pPr>
              <w:jc w:val="right"/>
              <w:ind w:right="18"/>
              <w:spacing w:after="0"/>
              <w:rPr>
                <w:sz w:val="20"/>
                <w:szCs w:val="20"/>
                <w:color w:val="auto"/>
              </w:rPr>
            </w:pPr>
            <w:r>
              <w:rPr>
                <w:rFonts w:ascii="Arial" w:cs="Arial" w:eastAsia="Arial" w:hAnsi="Arial"/>
                <w:sz w:val="16"/>
                <w:szCs w:val="16"/>
                <w:b w:val="1"/>
                <w:bCs w:val="1"/>
                <w:color w:val="auto"/>
              </w:rPr>
              <w:t>Eliminations</w:t>
            </w:r>
          </w:p>
        </w:tc>
        <w:tc>
          <w:tcPr>
            <w:tcW w:w="120" w:type="dxa"/>
            <w:vAlign w:val="bottom"/>
          </w:tcPr>
          <w:p>
            <w:pPr>
              <w:spacing w:after="0"/>
              <w:rPr>
                <w:sz w:val="18"/>
                <w:szCs w:val="18"/>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b w:val="1"/>
                <w:bCs w:val="1"/>
                <w:color w:val="auto"/>
                <w:w w:val="86"/>
              </w:rPr>
              <w:t>Consolidated</w:t>
            </w:r>
          </w:p>
        </w:tc>
        <w:tc>
          <w:tcPr>
            <w:tcW w:w="0" w:type="dxa"/>
            <w:vAlign w:val="bottom"/>
          </w:tcPr>
          <w:p>
            <w:pPr>
              <w:spacing w:after="0"/>
              <w:rPr>
                <w:sz w:val="1"/>
                <w:szCs w:val="1"/>
                <w:color w:val="auto"/>
              </w:rPr>
            </w:pPr>
          </w:p>
        </w:tc>
      </w:tr>
      <w:tr>
        <w:trPr>
          <w:trHeight w:val="33"/>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87.5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31"/>
        </w:trPr>
        <w:tc>
          <w:tcPr>
            <w:tcW w:w="300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paid for acquisitions, net of cash</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2.2</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4"/>
        </w:trPr>
        <w:tc>
          <w:tcPr>
            <w:tcW w:w="3000" w:type="dxa"/>
            <w:vAlign w:val="bottom"/>
          </w:tcPr>
          <w:p>
            <w:pPr>
              <w:ind w:left="100"/>
              <w:spacing w:after="0"/>
              <w:rPr>
                <w:sz w:val="20"/>
                <w:szCs w:val="20"/>
                <w:color w:val="auto"/>
              </w:rPr>
            </w:pPr>
            <w:r>
              <w:rPr>
                <w:rFonts w:ascii="Arial" w:cs="Arial" w:eastAsia="Arial" w:hAnsi="Arial"/>
                <w:sz w:val="16"/>
                <w:szCs w:val="16"/>
                <w:color w:val="auto"/>
              </w:rPr>
              <w:t>Decrease in restricted cash</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the sale of discontinued</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4"/>
        </w:trPr>
        <w:tc>
          <w:tcPr>
            <w:tcW w:w="3000" w:type="dxa"/>
            <w:vAlign w:val="bottom"/>
          </w:tcPr>
          <w:p>
            <w:pPr>
              <w:ind w:left="100"/>
              <w:spacing w:after="0"/>
              <w:rPr>
                <w:sz w:val="20"/>
                <w:szCs w:val="20"/>
                <w:color w:val="auto"/>
              </w:rPr>
            </w:pPr>
            <w:r>
              <w:rPr>
                <w:rFonts w:ascii="Arial" w:cs="Arial" w:eastAsia="Arial" w:hAnsi="Arial"/>
                <w:sz w:val="16"/>
                <w:szCs w:val="16"/>
                <w:color w:val="auto"/>
              </w:rPr>
              <w:t>Investment in affiliated companies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(74.8)</w:t>
            </w:r>
          </w:p>
        </w:tc>
        <w:tc>
          <w:tcPr>
            <w:tcW w:w="14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Capital Expenditures</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0"/>
        </w:trPr>
        <w:tc>
          <w:tcPr>
            <w:tcW w:w="3000" w:type="dxa"/>
            <w:vAlign w:val="bottom"/>
          </w:tcPr>
          <w:p>
            <w:pPr>
              <w:ind w:left="20"/>
              <w:spacing w:after="0"/>
              <w:rPr>
                <w:sz w:val="20"/>
                <w:szCs w:val="20"/>
                <w:color w:val="auto"/>
              </w:rPr>
            </w:pPr>
            <w:r>
              <w:rPr>
                <w:rFonts w:ascii="Arial" w:cs="Arial" w:eastAsia="Arial" w:hAnsi="Arial"/>
                <w:sz w:val="16"/>
                <w:szCs w:val="16"/>
                <w:color w:val="auto"/>
              </w:rPr>
              <w:t>Net cash provided by (used in) investing</w:t>
            </w: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tcPr>
          <w:p>
            <w:pPr>
              <w:ind w:left="20"/>
              <w:spacing w:after="0"/>
              <w:rPr>
                <w:sz w:val="20"/>
                <w:szCs w:val="20"/>
                <w:color w:val="auto"/>
              </w:rPr>
            </w:pPr>
            <w:r>
              <w:rPr>
                <w:rFonts w:ascii="Arial" w:cs="Arial" w:eastAsia="Arial" w:hAnsi="Arial"/>
                <w:sz w:val="16"/>
                <w:szCs w:val="16"/>
                <w:color w:val="auto"/>
              </w:rPr>
              <w:t>activities from continuing operations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(83.2)</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3"/>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00" w:type="dxa"/>
            <w:vAlign w:val="bottom"/>
          </w:tcPr>
          <w:p>
            <w:pPr>
              <w:ind w:left="100"/>
              <w:spacing w:after="0"/>
              <w:rPr>
                <w:sz w:val="20"/>
                <w:szCs w:val="20"/>
                <w:color w:val="auto"/>
              </w:rPr>
            </w:pPr>
            <w:r>
              <w:rPr>
                <w:rFonts w:ascii="Arial" w:cs="Arial" w:eastAsia="Arial" w:hAnsi="Arial"/>
                <w:sz w:val="16"/>
                <w:szCs w:val="16"/>
                <w:color w:val="auto"/>
              </w:rPr>
              <w:t>Cash paid for contingent acquisition</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00" w:type="dxa"/>
            <w:vAlign w:val="bottom"/>
          </w:tcPr>
          <w:p>
            <w:pPr>
              <w:ind w:left="20"/>
              <w:spacing w:after="0"/>
              <w:rPr>
                <w:sz w:val="20"/>
                <w:szCs w:val="20"/>
                <w:color w:val="auto"/>
              </w:rPr>
            </w:pPr>
            <w:r>
              <w:rPr>
                <w:rFonts w:ascii="Arial" w:cs="Arial" w:eastAsia="Arial" w:hAnsi="Arial"/>
                <w:sz w:val="16"/>
                <w:szCs w:val="16"/>
                <w:color w:val="auto"/>
              </w:rPr>
              <w:t>consideration</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7"/>
                <w:szCs w:val="17"/>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Repayment of debt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4"/>
        </w:trPr>
        <w:tc>
          <w:tcPr>
            <w:tcW w:w="3000" w:type="dxa"/>
            <w:vAlign w:val="bottom"/>
          </w:tcPr>
          <w:p>
            <w:pPr>
              <w:ind w:left="100"/>
              <w:spacing w:after="0"/>
              <w:rPr>
                <w:sz w:val="20"/>
                <w:szCs w:val="20"/>
                <w:color w:val="auto"/>
              </w:rPr>
            </w:pPr>
            <w:r>
              <w:rPr>
                <w:rFonts w:ascii="Arial" w:cs="Arial" w:eastAsia="Arial" w:hAnsi="Arial"/>
                <w:sz w:val="16"/>
                <w:szCs w:val="16"/>
                <w:color w:val="auto"/>
              </w:rPr>
              <w:t>Purchase of ESPP shares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Financings from affiliated companies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3.7</w:t>
            </w: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000" w:type="dxa"/>
            <w:vAlign w:val="bottom"/>
          </w:tcPr>
          <w:p>
            <w:pPr>
              <w:ind w:left="100"/>
              <w:spacing w:after="0"/>
              <w:rPr>
                <w:sz w:val="20"/>
                <w:szCs w:val="20"/>
                <w:color w:val="auto"/>
              </w:rPr>
            </w:pPr>
            <w:r>
              <w:rPr>
                <w:rFonts w:ascii="Arial" w:cs="Arial" w:eastAsia="Arial" w:hAnsi="Arial"/>
                <w:sz w:val="16"/>
                <w:szCs w:val="16"/>
                <w:color w:val="auto"/>
              </w:rPr>
              <w:t>Other, net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activities from continuing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2.7</w:t>
            </w: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3000" w:type="dxa"/>
            <w:vAlign w:val="bottom"/>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2.2</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0.8</w:t>
            </w:r>
          </w:p>
        </w:tc>
        <w:tc>
          <w:tcPr>
            <w:tcW w:w="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Net operating cash flows from discontinued</w:t>
            </w:r>
          </w:p>
        </w:tc>
        <w:tc>
          <w:tcPr>
            <w:tcW w:w="1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9"/>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vMerge w:val="continue"/>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00" w:type="dxa"/>
            <w:vAlign w:val="bottom"/>
          </w:tcPr>
          <w:p>
            <w:pPr>
              <w:ind w:left="20"/>
              <w:spacing w:after="0"/>
              <w:rPr>
                <w:sz w:val="20"/>
                <w:szCs w:val="20"/>
                <w:color w:val="auto"/>
              </w:rPr>
            </w:pPr>
            <w:r>
              <w:rPr>
                <w:rFonts w:ascii="Arial" w:cs="Arial" w:eastAsia="Arial" w:hAnsi="Arial"/>
                <w:sz w:val="16"/>
                <w:szCs w:val="16"/>
                <w:color w:val="auto"/>
                <w:w w:val="92"/>
              </w:rPr>
              <w:t>Effect of exchange rate changes on cash and</w:t>
            </w:r>
          </w:p>
        </w:tc>
        <w:tc>
          <w:tcPr>
            <w:tcW w:w="12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vMerge w:val="restart"/>
          </w:tcPr>
          <w:p>
            <w:pPr>
              <w:jc w:val="right"/>
              <w:ind w:right="1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vMerge w:val="restart"/>
          </w:tcPr>
          <w:p>
            <w:pPr>
              <w:jc w:val="right"/>
              <w:ind w:right="38"/>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0.9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38"/>
              <w:spacing w:after="0"/>
              <w:rPr>
                <w:sz w:val="20"/>
                <w:szCs w:val="20"/>
                <w:color w:val="auto"/>
              </w:rPr>
            </w:pPr>
            <w:r>
              <w:rPr>
                <w:rFonts w:ascii="Arial" w:cs="Arial" w:eastAsia="Arial" w:hAnsi="Arial"/>
                <w:sz w:val="16"/>
                <w:szCs w:val="16"/>
                <w:color w:val="auto"/>
              </w:rPr>
              <w:t>0.9</w:t>
            </w:r>
          </w:p>
        </w:tc>
        <w:tc>
          <w:tcPr>
            <w:tcW w:w="40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9"/>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equivalents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F-54</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5"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3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Ai Metrix, Inc.</w:t>
            </w:r>
          </w:p>
        </w:tc>
        <w:tc>
          <w:tcPr>
            <w:tcW w:w="53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Airorlite Communications,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New Jersey</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Avtec Systems,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Charleston Marine Containers,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Composite Engineering,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Systems and Solutions,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Dallastown Realty I, LLC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Dallastown Realty II, LLC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Defense Systems, Incorporated</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DEI Services Corporation</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Digital Fusion Solutions,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Digital Fusion,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Diversified Security Solutions,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DTI Associates,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EW Simulation Technology Ltd.</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General Microwave Israel (1987) Ltd.</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Israel</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General Microwave Israel Corporation</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General Microwave Corporation</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Gichner Europe Limited</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Gichner Systems Group,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Gichner Systems International,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Haverstick Consulting,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Indiana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Haverstick Government Solutions,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Ohio</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Henry Bros. Electronics,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Henry Bros. Electronics,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Henry Bros. Electronics,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Henry Bros. Electronics,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New Jersey</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Henry Bros. Electronics,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Henry Bros. Electronics, LLC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Arizona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Herley GMI Eyal Ltd.</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Israel</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Herley Industries,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Herley-CTI,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Herley-RSS,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HGS Holdings,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Indiana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Integral Systems Europe Ltd.</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Integral Systems Europe S.A.S.</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France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JMA Associates,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KPSS Government Solutions,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80"/>
          </w:cols>
          <w:pgMar w:left="580" w:top="378" w:right="239" w:bottom="1440" w:gutter="0" w:footer="0" w:header="0"/>
        </w:sectPr>
      </w:pPr>
    </w:p>
    <w:bookmarkStart w:id="129" w:name="page130"/>
    <w:bookmarkEnd w:id="1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3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Defense &amp; Rocket Support Services, Inc.</w:t>
            </w:r>
          </w:p>
        </w:tc>
        <w:tc>
          <w:tcPr>
            <w:tcW w:w="53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Integral Holdings, LLC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Maryland</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Integral Systems International,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Networks,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Public Safety &amp; Security Solutions,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Southeast,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Georgia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Southwest L.P.</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Texas</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Technology &amp; Training Solutions,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Texas,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Texas</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Unmanned Systems Solutions,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Carlsbad ISI,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Maryland</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LVDM,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Nevada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Madison Research Corporation</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Alabama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Micro Systems,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MSI Acquisition Corp.</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National Safe of California,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Polexis,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Reality Based IT Services Ltd.</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Maryland</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RealTime Logic,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Rocket Support Services, LLC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Indiana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SAT Corporation</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SCT Acquisition, LLC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SCT Real Estate, LLC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SecureInfo Corporation</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Shadow I,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Shadow II,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Stapor Research, Inc.</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Summit Research Corporation</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Alabama</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WFI NMC Corp.</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580" w:top="498" w:right="65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747678"/>
        </w:rPr>
        <w:t>Exhibit 23.1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26" w:lineRule="exact"/>
        <w:rPr>
          <w:sz w:val="20"/>
          <w:szCs w:val="20"/>
          <w:color w:val="auto"/>
        </w:rPr>
      </w:pPr>
    </w:p>
    <w:p>
      <w:pPr>
        <w:ind w:right="60"/>
        <w:spacing w:after="0" w:line="292" w:lineRule="auto"/>
        <w:rPr>
          <w:sz w:val="20"/>
          <w:szCs w:val="20"/>
          <w:color w:val="auto"/>
        </w:rPr>
      </w:pPr>
      <w:r>
        <w:rPr>
          <w:rFonts w:ascii="Arial" w:cs="Arial" w:eastAsia="Arial" w:hAnsi="Arial"/>
          <w:sz w:val="19"/>
          <w:szCs w:val="19"/>
          <w:color w:val="auto"/>
        </w:rPr>
        <w:t>We consent to the incorporation by reference in Registration Statement Nos. 333-173099, 333-74108, 333-71618, and 333-53014 on Form S-3, Registration Statement Nos. 333-150165, 333-155604, 333-167840, 333-174745, 333-174760, and 333-177493 on Form S-4, and Registration Statement Nos. 333-90455, 333-54818, 333-71702, 333-91852, 333-116903, 333-124957, 333-127060, 333-155317, 333-157826, 333-167839, 333-171257, 333-173383, 333-177494, 333-179977, 333-182910, and 333-191156 on Form S-8 of our report dated March 11, 2014, relating to the financial statements of Kratos Defense &amp; Security Solutions, Inc. and subsidiaries (the “Company”), and the effectiveness of the Company's internal control over financial reporting, appearing in this Annual Report on Form 10-K of the Company for the year ended December 29, 2013.</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 DELOITTE &amp; TOUCHE LLP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San Diego, California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March 11, 2014</w:t>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36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have issued our report dated March 12, 2013, with respect to the consolidated financial statements for the years ended December 25, 2011 and December 30, 2012 included in the Annual Report of Kratos Defense &amp; Security Solutions, Inc. on Form 10-K for the year ended December 29, 2013. We hereby consent to the incorporation by reference of said reports in the Registration Statements of Kratos Defense &amp; Security Solutions, Inc. on Forms S-3 (File No. 333-53014, effective December 29, 2000, File No. 333-71618, effective October 15, 2001, File No. 333-74108, effective November 28, 2001 and File No. 333-173099, effective April 15, 2011), on Forms S-4 (File No. 333-150165, effective May 22, 2008, File No. 333-155604, effective December 4, 2008, File No. 333-167840, effective July 12, 2010, File No. 333-174745, effective June 20, 2011, File No. 333-174760, effective June 28, 2011 and File No. 333-177493, effective November 1, 2011) and on Forms S-8 (File No. 333-90455, effective November 5, 1999, File No. 333-54818, effective February 1, 2001, File No. 333-71702, effective October 17, 2001, File No. 333-91852, effective July 2, 2002, File No. 333-116903, effective June 28, 2004, File No. 333-124957, effective May 16, 2005, File No. 333-127060, effective August 1, 2005, File No. 333-155317, effective November 12, 2008, File No. 333-157826, effective March 10, 2009, File No. 333-167839, effective June 28, 2010, File No. 333-171257, effective December 17, 2010, File No. 333-173383, effective April 8, 2011 and File No. 333-177494, effective October 25, 2011, File No. 333-333-179977, effective March 8, 2012, File No. 333-182910, effective July 27, 2012 and File No. 333-191156, effective September 13, 2013).</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San Diego, California</w:t>
      </w:r>
    </w:p>
    <w:p>
      <w:pPr>
        <w:spacing w:after="0"/>
        <w:rPr>
          <w:sz w:val="20"/>
          <w:szCs w:val="20"/>
          <w:color w:val="auto"/>
        </w:rPr>
      </w:pPr>
      <w:r>
        <w:rPr>
          <w:rFonts w:ascii="Arial" w:cs="Arial" w:eastAsia="Arial" w:hAnsi="Arial"/>
          <w:sz w:val="20"/>
          <w:szCs w:val="20"/>
          <w:color w:val="auto"/>
        </w:rPr>
        <w:t>March 11, 2014</w:t>
      </w:r>
    </w:p>
    <w:p>
      <w:pPr>
        <w:sectPr>
          <w:pgSz w:w="11900" w:h="16838" w:orient="portrait"/>
          <w:cols w:equalWidth="0" w:num="1">
            <w:col w:w="11420"/>
          </w:cols>
          <w:pgMar w:left="240" w:top="634"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March 11, 2014</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6"/>
          <w:szCs w:val="16"/>
          <w:color w:val="auto"/>
        </w:rPr>
        <w:t>I have reviewed this Annual report on Form 10-K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59"/>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March 11, 2014</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420"/>
          </w:cols>
          <w:pgMar w:left="240" w:top="58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In connection with the accompanying Annual Report of Kratos Defense &amp; Security Solutions, Inc. (the “Company”) on Form 10-K for the year ended December 29, 2013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March 11, 2014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In connection with the accompanying Annual Report of Kratos Defense &amp; Security Solutions, Inc. (the “Company”) on Form 10-K for the year ended December 29, 2013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March 11, 2014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lowerLetter"/>
      <w:start w:val="3"/>
    </w:lvl>
  </w:abstractNum>
  <w:abstractNum w:abstractNumId="22">
    <w:nsid w:val="70A64E2A"/>
    <w:multiLevelType w:val="hybridMultilevel"/>
    <w:lvl w:ilvl="0">
      <w:lvlJc w:val="left"/>
      <w:lvlText w:val="(%1)"/>
      <w:numFmt w:val="lowerLetter"/>
      <w:start w:val="1"/>
    </w:lvl>
  </w:abstractNum>
  <w:abstractNum w:abstractNumId="23">
    <w:nsid w:val="6A2342EC"/>
    <w:multiLevelType w:val="hybridMultilevel"/>
    <w:lvl w:ilvl="0">
      <w:lvlJc w:val="left"/>
      <w:lvlText w:val="%1)"/>
      <w:numFmt w:val="lowerLetter"/>
      <w:start w:val="2"/>
    </w:lvl>
  </w:abstractNum>
  <w:abstractNum w:abstractNumId="24">
    <w:nsid w:val="2A487CB0"/>
    <w:multiLevelType w:val="hybridMultilevel"/>
    <w:lvl w:ilvl="0">
      <w:lvlJc w:val="left"/>
      <w:lvlText w:val="(%1)"/>
      <w:numFmt w:val="lowerLetter"/>
      <w:start w:val="4"/>
    </w:lvl>
  </w:abstractNum>
  <w:abstractNum w:abstractNumId="25">
    <w:nsid w:val="1D4ED43B"/>
    <w:multiLevelType w:val="hybridMultilevel"/>
    <w:lvl w:ilvl="0">
      <w:lvlJc w:val="left"/>
      <w:lvlText w:val="(%1)"/>
      <w:numFmt w:val="lowerLetter"/>
      <w:start w:val="5"/>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4"/>
    </w:lvl>
  </w:abstractNum>
  <w:abstractNum w:abstractNumId="28">
    <w:nsid w:val="57E4CCAF"/>
    <w:multiLevelType w:val="hybridMultilevel"/>
    <w:lvl w:ilvl="0">
      <w:lvlJc w:val="left"/>
      <w:lvlText w:val="(%1)"/>
      <w:numFmt w:val="lowerLetter"/>
      <w:start w:val="6"/>
    </w:lvl>
  </w:abstractNum>
  <w:abstractNum w:abstractNumId="29">
    <w:nsid w:val="7A6D8D3C"/>
    <w:multiLevelType w:val="hybridMultilevel"/>
    <w:lvl w:ilvl="0">
      <w:lvlJc w:val="left"/>
      <w:lvlText w:val="(%1)"/>
      <w:numFmt w:val="lowerLetter"/>
      <w:start w:val="7"/>
    </w:lvl>
  </w:abstractNum>
  <w:abstractNum w:abstractNumId="30">
    <w:nsid w:val="4B588F54"/>
    <w:multiLevelType w:val="hybridMultilevel"/>
    <w:lvl w:ilvl="0">
      <w:lvlJc w:val="left"/>
      <w:lvlText w:val="(%1)"/>
      <w:numFmt w:val="lowerLetter"/>
      <w:start w:val="8"/>
    </w:lvl>
  </w:abstractNum>
  <w:abstractNum w:abstractNumId="31">
    <w:nsid w:val="542289EC"/>
    <w:multiLevelType w:val="hybridMultilevel"/>
    <w:lvl w:ilvl="0">
      <w:lvlJc w:val="left"/>
      <w:lvlText w:val="(%1)"/>
      <w:numFmt w:val="lowerRoman"/>
      <w:start w:val="1"/>
    </w:lvl>
  </w:abstractNum>
  <w:abstractNum w:abstractNumId="32">
    <w:nsid w:val="6DE91B18"/>
    <w:multiLevelType w:val="hybridMultilevel"/>
    <w:lvl w:ilvl="0">
      <w:lvlJc w:val="left"/>
      <w:lvlText w:val="(%1)"/>
      <w:numFmt w:val="lowerLetter"/>
      <w:start w:val="11"/>
    </w:lvl>
  </w:abstractNum>
  <w:abstractNum w:abstractNumId="33">
    <w:nsid w:val="38437FDB"/>
    <w:multiLevelType w:val="hybridMultilevel"/>
    <w:lvl w:ilvl="0">
      <w:lvlJc w:val="left"/>
      <w:lvlText w:val="(%1)"/>
      <w:numFmt w:val="lowerLetter"/>
      <w:start w:val="12"/>
    </w:lvl>
  </w:abstractNum>
  <w:abstractNum w:abstractNumId="34">
    <w:nsid w:val="7644A45C"/>
    <w:multiLevelType w:val="hybridMultilevel"/>
    <w:lvl w:ilvl="0">
      <w:lvlJc w:val="left"/>
      <w:lvlText w:val="(%1)"/>
      <w:numFmt w:val="lowerLetter"/>
      <w:start w:val="13"/>
    </w:lvl>
  </w:abstractNum>
  <w:abstractNum w:abstractNumId="35">
    <w:nsid w:val="32FFF902"/>
    <w:multiLevelType w:val="hybridMultilevel"/>
    <w:lvl w:ilvl="0">
      <w:lvlJc w:val="left"/>
      <w:lvlText w:val="(%1)"/>
      <w:numFmt w:val="lowerLetter"/>
      <w:start w:val="14"/>
    </w:lvl>
  </w:abstractNum>
  <w:abstractNum w:abstractNumId="36">
    <w:nsid w:val="684A481A"/>
    <w:multiLevelType w:val="hybridMultilevel"/>
    <w:lvl w:ilvl="0">
      <w:lvlJc w:val="left"/>
      <w:lvlText w:val="(%1)"/>
      <w:numFmt w:val="lowerLetter"/>
      <w:start w:val="15"/>
    </w:lvl>
  </w:abstractNum>
  <w:abstractNum w:abstractNumId="37">
    <w:nsid w:val="579478FE"/>
    <w:multiLevelType w:val="hybridMultilevel"/>
    <w:lvl w:ilvl="0">
      <w:lvlJc w:val="left"/>
      <w:lvlText w:val="(%1)"/>
      <w:numFmt w:val="lowerLetter"/>
      <w:start w:val="16"/>
    </w:lvl>
  </w:abstractNum>
  <w:abstractNum w:abstractNumId="38">
    <w:nsid w:val="749ABB43"/>
    <w:multiLevelType w:val="hybridMultilevel"/>
    <w:lvl w:ilvl="0">
      <w:lvlJc w:val="left"/>
      <w:lvlText w:val="(%1)"/>
      <w:numFmt w:val="lowerLetter"/>
      <w:start w:val="17"/>
    </w:lvl>
  </w:abstractNum>
  <w:abstractNum w:abstractNumId="39">
    <w:nsid w:val="3DC240FB"/>
    <w:multiLevelType w:val="hybridMultilevel"/>
    <w:lvl w:ilvl="0">
      <w:lvlJc w:val="left"/>
      <w:lvlText w:val="(%1)"/>
      <w:numFmt w:val="lowerLetter"/>
      <w:start w:val="18"/>
    </w:lvl>
  </w:abstractNum>
  <w:abstractNum w:abstractNumId="40">
    <w:nsid w:val="1BA026FA"/>
    <w:multiLevelType w:val="hybridMultilevel"/>
    <w:lvl w:ilvl="0">
      <w:lvlJc w:val="left"/>
      <w:lvlText w:val="(%1)"/>
      <w:numFmt w:val="lowerLetter"/>
      <w:start w:val="20"/>
    </w:lvl>
  </w:abstractNum>
  <w:abstractNum w:abstractNumId="41">
    <w:nsid w:val="79A1DEAA"/>
    <w:multiLevelType w:val="hybridMultilevel"/>
    <w:lvl w:ilvl="0">
      <w:lvlJc w:val="left"/>
      <w:lvlText w:val="(%1)"/>
      <w:numFmt w:val="lowerRoman"/>
      <w:start w:val="5"/>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1)"/>
      <w:numFmt w:val="lowerLetter"/>
      <w:start w:val="2"/>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2"/>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3"/>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lowerLetter"/>
      <w:start w:val="4"/>
    </w:lvl>
  </w:abstractNum>
  <w:abstractNum w:abstractNumId="53">
    <w:nsid w:val="180115BE"/>
    <w:multiLevelType w:val="hybridMultilevel"/>
    <w:lvl w:ilvl="0">
      <w:lvlJc w:val="left"/>
      <w:lvlText w:val="(%1)"/>
      <w:numFmt w:val="decimal"/>
      <w:start w:val="3"/>
    </w:lvl>
  </w:abstractNum>
  <w:abstractNum w:abstractNumId="54">
    <w:nsid w:val="235BA861"/>
    <w:multiLevelType w:val="hybridMultilevel"/>
    <w:lvl w:ilvl="0">
      <w:lvlJc w:val="left"/>
      <w:lvlText w:val="(%1)"/>
      <w:numFmt w:val="lowerLetter"/>
      <w:start w:val="5"/>
    </w:lvl>
  </w:abstractNum>
  <w:abstractNum w:abstractNumId="55">
    <w:nsid w:val="47398C89"/>
    <w:multiLevelType w:val="hybridMultilevel"/>
    <w:lvl w:ilvl="0">
      <w:lvlJc w:val="left"/>
      <w:lvlText w:val="(%1)"/>
      <w:numFmt w:val="lowerLetter"/>
      <w:start w:val="2"/>
    </w:lvl>
  </w:abstractNum>
  <w:abstractNum w:abstractNumId="56">
    <w:nsid w:val="354FE9F9"/>
    <w:multiLevelType w:val="hybridMultilevel"/>
    <w:lvl w:ilvl="0">
      <w:lvlJc w:val="left"/>
      <w:lvlText w:val="(%1)"/>
      <w:numFmt w:val="lowerLetter"/>
      <w:start w:val="3"/>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2019-12-06T20:13:14Z</dcterms:created>
  <dcterms:modified xsi:type="dcterms:W3CDTF">2019-12-06T20:13:14Z</dcterms:modified>
</cp:coreProperties>
</file>