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400685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426085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107315</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75"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27, 2021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40"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rFonts w:ascii="MS PGothic" w:cs="MS PGothic" w:eastAsia="MS PGothic" w:hAnsi="MS PGothic"/>
          <w:sz w:val="24"/>
          <w:szCs w:val="24"/>
          <w:color w:val="auto"/>
        </w:rPr>
      </w:pPr>
    </w:p>
    <w:p>
      <w:pPr>
        <w:ind w:left="3500"/>
        <w:spacing w:after="0"/>
        <w:rPr>
          <w:rFonts w:ascii="MS PGothic" w:cs="MS PGothic" w:eastAsia="MS PGothic" w:hAnsi="MS PGothic"/>
          <w:sz w:val="24"/>
          <w:szCs w:val="24"/>
          <w:color w:val="auto"/>
        </w:rPr>
      </w:pPr>
      <w:r>
        <w:rPr>
          <w:rFonts w:ascii="Arial" w:cs="Arial" w:eastAsia="Arial" w:hAnsi="Arial"/>
          <w:sz w:val="18"/>
          <w:szCs w:val="18"/>
          <w:color w:val="auto"/>
        </w:rPr>
        <w:t>For the transition period from __________ to __________</w:t>
      </w:r>
    </w:p>
    <w:p>
      <w:pPr>
        <w:spacing w:after="0" w:line="7" w:lineRule="exact"/>
        <w:rPr>
          <w:rFonts w:ascii="MS PGothic" w:cs="MS PGothic" w:eastAsia="MS PGothic" w:hAnsi="MS PGothic"/>
          <w:sz w:val="24"/>
          <w:szCs w:val="24"/>
          <w:color w:val="auto"/>
        </w:rPr>
      </w:pPr>
    </w:p>
    <w:p>
      <w:pPr>
        <w:ind w:left="4260"/>
        <w:spacing w:after="0"/>
        <w:rPr>
          <w:rFonts w:ascii="MS PGothic" w:cs="MS PGothic" w:eastAsia="MS PGothic" w:hAnsi="MS PGothic"/>
          <w:sz w:val="24"/>
          <w:szCs w:val="24"/>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117475</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233" w:right="359" w:bottom="1440" w:gutter="0" w:footer="0" w:header="0"/>
        </w:sectPr>
      </w:pPr>
    </w:p>
    <w:p>
      <w:pPr>
        <w:spacing w:after="0" w:line="124"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50" w:lineRule="exact"/>
        <w:rPr>
          <w:sz w:val="24"/>
          <w:szCs w:val="24"/>
          <w:color w:val="auto"/>
        </w:rPr>
      </w:pPr>
    </w:p>
    <w:p>
      <w:pPr>
        <w:sectPr>
          <w:pgSz w:w="11900" w:h="16838" w:orient="portrait"/>
          <w:cols w:equalWidth="0" w:num="2">
            <w:col w:w="7260" w:space="720"/>
            <w:col w:w="3240"/>
          </w:cols>
          <w:pgMar w:left="320" w:top="233" w:right="35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97" w:lineRule="exact"/>
        <w:rPr>
          <w:sz w:val="24"/>
          <w:szCs w:val="24"/>
          <w:color w:val="auto"/>
        </w:rPr>
      </w:pPr>
    </w:p>
    <w:p>
      <w:pPr>
        <w:sectPr>
          <w:pgSz w:w="11900" w:h="16838" w:orient="portrait"/>
          <w:cols w:equalWidth="0" w:num="2">
            <w:col w:w="6400" w:space="720"/>
            <w:col w:w="4100"/>
          </w:cols>
          <w:pgMar w:left="320" w:top="233" w:right="359" w:bottom="1440" w:gutter="0" w:footer="0" w:header="0"/>
          <w:type w:val="continuous"/>
        </w:sectPr>
      </w:pPr>
    </w:p>
    <w:p>
      <w:pPr>
        <w:ind w:left="4580"/>
        <w:spacing w:after="0"/>
        <w:rPr>
          <w:sz w:val="20"/>
          <w:szCs w:val="20"/>
          <w:color w:val="auto"/>
        </w:rPr>
      </w:pPr>
      <w:r>
        <w:rPr>
          <w:rFonts w:ascii="Arial" w:cs="Arial" w:eastAsia="Arial" w:hAnsi="Arial"/>
          <w:sz w:val="18"/>
          <w:szCs w:val="18"/>
          <w:b w:val="1"/>
          <w:bCs w:val="1"/>
          <w:color w:val="auto"/>
        </w:rPr>
        <w:t>1 Chisholm Trail</w:t>
      </w:r>
      <w:r>
        <w:rPr>
          <w:rFonts w:ascii="Arial" w:cs="Arial" w:eastAsia="Arial" w:hAnsi="Arial"/>
          <w:sz w:val="16"/>
          <w:szCs w:val="16"/>
          <w:b w:val="1"/>
          <w:bCs w:val="1"/>
          <w:color w:val="auto"/>
        </w:rPr>
        <w:t>, Suite 3200</w:t>
      </w:r>
    </w:p>
    <w:p>
      <w:pPr>
        <w:spacing w:after="0" w:line="2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Round Rock</w:t>
      </w:r>
      <w:r>
        <w:rPr>
          <w:rFonts w:ascii="Arial" w:cs="Arial" w:eastAsia="Arial" w:hAnsi="Arial"/>
          <w:sz w:val="16"/>
          <w:szCs w:val="16"/>
          <w:b w:val="1"/>
          <w:bCs w:val="1"/>
          <w:color w:val="auto"/>
        </w:rPr>
        <w:t>, TX</w:t>
      </w:r>
      <w:r>
        <w:rPr>
          <w:rFonts w:ascii="Arial" w:cs="Arial" w:eastAsia="Arial" w:hAnsi="Arial"/>
          <w:sz w:val="18"/>
          <w:szCs w:val="18"/>
          <w:b w:val="1"/>
          <w:bCs w:val="1"/>
          <w:color w:val="auto"/>
        </w:rPr>
        <w:t xml:space="preserve"> 78681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(512) 238-9840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area code, of registrant’s principal executive offices)</w:t>
      </w:r>
    </w:p>
    <w:p>
      <w:pPr>
        <w:spacing w:after="0" w:line="29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9"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gridSpan w:val="2"/>
          </w:tcPr>
          <w:p>
            <w:pPr>
              <w:ind w:left="1180"/>
              <w:spacing w:after="0"/>
              <w:rPr>
                <w:sz w:val="20"/>
                <w:szCs w:val="20"/>
                <w:color w:val="auto"/>
              </w:rPr>
            </w:pPr>
            <w:r>
              <w:rPr>
                <w:rFonts w:ascii="Arial" w:cs="Arial" w:eastAsia="Arial" w:hAnsi="Arial"/>
                <w:sz w:val="18"/>
                <w:szCs w:val="18"/>
                <w:b w:val="1"/>
                <w:bCs w:val="1"/>
                <w:color w:val="auto"/>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74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2"/>
              </w:rPr>
              <w:t>Name of each exchange on which registered</w:t>
            </w:r>
          </w:p>
        </w:tc>
      </w:tr>
      <w:tr>
        <w:trPr>
          <w:trHeight w:val="223"/>
        </w:trPr>
        <w:tc>
          <w:tcPr>
            <w:tcW w:w="3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KTOS</w:t>
            </w:r>
          </w:p>
        </w:tc>
        <w:tc>
          <w:tcPr>
            <w:tcW w:w="3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The NASDAQ Global Select Market</w:t>
            </w:r>
          </w:p>
        </w:tc>
      </w:tr>
      <w:tr>
        <w:trPr>
          <w:trHeight w:val="155"/>
        </w:trPr>
        <w:tc>
          <w:tcPr>
            <w:tcW w:w="26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680" w:type="dxa"/>
            <w:vAlign w:val="bottom"/>
          </w:tcPr>
          <w:p>
            <w:pPr>
              <w:spacing w:after="0"/>
              <w:rPr>
                <w:sz w:val="13"/>
                <w:szCs w:val="13"/>
                <w:color w:val="auto"/>
              </w:rPr>
            </w:pPr>
          </w:p>
        </w:tc>
      </w:tr>
    </w:tbl>
    <w:p>
      <w:pPr>
        <w:spacing w:after="0" w:line="296"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4"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ind w:right="1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33" w:right="359" w:bottom="1440" w:gutter="0" w:footer="0" w:header="0"/>
          <w:type w:val="continuous"/>
        </w:sectPr>
      </w:pPr>
    </w:p>
    <w:p>
      <w:pPr>
        <w:spacing w:after="0" w:line="305"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05" w:lineRule="exact"/>
        <w:rPr>
          <w:sz w:val="24"/>
          <w:szCs w:val="24"/>
          <w:color w:val="auto"/>
        </w:rPr>
      </w:pPr>
    </w:p>
    <w:p>
      <w:pPr>
        <w:sectPr>
          <w:pgSz w:w="11900" w:h="16838" w:orient="portrait"/>
          <w:cols w:equalWidth="0" w:num="4">
            <w:col w:w="4120" w:space="720"/>
            <w:col w:w="1720" w:space="720"/>
            <w:col w:w="2600" w:space="720"/>
            <w:col w:w="620"/>
          </w:cols>
          <w:pgMar w:left="320" w:top="233" w:right="359" w:bottom="1440" w:gutter="0" w:footer="0" w:header="0"/>
          <w:type w:val="continuous"/>
        </w:sectPr>
      </w:pPr>
    </w:p>
    <w:p>
      <w:pPr>
        <w:spacing w:after="0" w:line="224"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11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4120" w:space="720"/>
            <w:col w:w="1320" w:space="720"/>
            <w:col w:w="2880" w:space="720"/>
            <w:col w:w="740"/>
          </w:cols>
          <w:pgMar w:left="320" w:top="233" w:right="359" w:bottom="1440" w:gutter="0" w:footer="0" w:header="0"/>
          <w:type w:val="continuous"/>
        </w:sectPr>
      </w:pPr>
    </w:p>
    <w:p>
      <w:pPr>
        <w:spacing w:after="0" w:line="181" w:lineRule="exact"/>
        <w:rPr>
          <w:sz w:val="24"/>
          <w:szCs w:val="24"/>
          <w:color w:val="auto"/>
        </w:rPr>
      </w:pPr>
    </w:p>
    <w:p>
      <w:pPr>
        <w:ind w:left="68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405" w:lineRule="exact"/>
        <w:rPr>
          <w:sz w:val="24"/>
          <w:szCs w:val="24"/>
          <w:color w:val="auto"/>
        </w:rPr>
      </w:pPr>
    </w:p>
    <w:p>
      <w:pPr>
        <w:sectPr>
          <w:pgSz w:w="11900" w:h="16838" w:orient="portrait"/>
          <w:cols w:equalWidth="0" w:num="2">
            <w:col w:w="9760" w:space="720"/>
            <w:col w:w="740"/>
          </w:cols>
          <w:pgMar w:left="320" w:top="233" w:right="359" w:bottom="1440" w:gutter="0" w:footer="0" w:header="0"/>
          <w:type w:val="continuous"/>
        </w:sectPr>
      </w:pPr>
    </w:p>
    <w:p>
      <w:pPr>
        <w:spacing w:after="0" w:line="89"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6" w:lineRule="exact"/>
        <w:rPr>
          <w:sz w:val="24"/>
          <w:szCs w:val="24"/>
          <w:color w:val="auto"/>
        </w:rPr>
      </w:pPr>
    </w:p>
    <w:p>
      <w:pPr>
        <w:ind w:left="340" w:right="1560"/>
        <w:spacing w:after="0" w:line="33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r>
        <w:rPr>
          <w:rFonts w:ascii="Arial" w:cs="Arial" w:eastAsia="Arial" w:hAnsi="Arial"/>
          <w:sz w:val="18"/>
          <w:szCs w:val="18"/>
          <w:color w:val="auto"/>
        </w:rPr>
        <w:t xml:space="preserve"> As of July 30, 2021, 123,957,536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121285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27,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0" w:type="dxa"/>
            <w:vAlign w:val="bottom"/>
            <w:gridSpan w:val="14"/>
          </w:tcPr>
          <w:p>
            <w:pPr>
              <w:jc w:val="center"/>
              <w:ind w:right="2340"/>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00" w:type="dxa"/>
            <w:vAlign w:val="bottom"/>
            <w:gridSpan w:val="2"/>
          </w:tcPr>
          <w:p>
            <w:pPr>
              <w:spacing w:after="0"/>
              <w:rPr>
                <w:sz w:val="24"/>
                <w:szCs w:val="24"/>
                <w:color w:val="auto"/>
              </w:rPr>
            </w:pPr>
          </w:p>
        </w:tc>
        <w:tc>
          <w:tcPr>
            <w:tcW w:w="1500" w:type="dxa"/>
            <w:vAlign w:val="bottom"/>
            <w:gridSpan w:val="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1820" w:type="dxa"/>
            <w:vAlign w:val="bottom"/>
            <w:gridSpan w:val="3"/>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340" w:type="dxa"/>
            <w:vAlign w:val="bottom"/>
            <w:gridSpan w:val="7"/>
          </w:tcPr>
          <w:p>
            <w:pPr>
              <w:spacing w:after="0"/>
              <w:rPr>
                <w:sz w:val="24"/>
                <w:szCs w:val="24"/>
                <w:color w:val="auto"/>
              </w:rPr>
            </w:pPr>
          </w:p>
        </w:tc>
        <w:tc>
          <w:tcPr>
            <w:tcW w:w="5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at June </w:t>
              </w:r>
            </w:hyperlink>
            <w:r>
              <w:rPr>
                <w:rFonts w:ascii="Arial" w:cs="Arial" w:eastAsia="Arial" w:hAnsi="Arial"/>
                <w:sz w:val="18"/>
                <w:szCs w:val="18"/>
                <w:color w:val="0000FF"/>
              </w:rPr>
              <w:t xml:space="preserve">27, </w:t>
            </w:r>
            <w:hyperlink w:anchor="page3">
              <w:r>
                <w:rPr>
                  <w:rFonts w:ascii="Arial" w:cs="Arial" w:eastAsia="Arial" w:hAnsi="Arial"/>
                  <w:sz w:val="18"/>
                  <w:szCs w:val="18"/>
                  <w:color w:val="0000FF"/>
                </w:rPr>
                <w:t>2021 (unaudited) and December 27, 2020</w:t>
              </w:r>
            </w:hyperlink>
          </w:p>
        </w:tc>
        <w:tc>
          <w:tcPr>
            <w:tcW w:w="5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Condensed Consolidated Statements of Operations for the Three and Six Months Ended June </w:t>
              </w:r>
            </w:hyperlink>
            <w:r>
              <w:rPr>
                <w:rFonts w:ascii="Arial" w:cs="Arial" w:eastAsia="Arial" w:hAnsi="Arial"/>
                <w:sz w:val="18"/>
                <w:szCs w:val="18"/>
                <w:color w:val="0000FF"/>
                <w:w w:val="89"/>
              </w:rPr>
              <w:t xml:space="preserve">27, </w:t>
            </w:r>
            <w:hyperlink w:anchor="page4">
              <w:r>
                <w:rPr>
                  <w:rFonts w:ascii="Arial" w:cs="Arial" w:eastAsia="Arial" w:hAnsi="Arial"/>
                  <w:sz w:val="18"/>
                  <w:szCs w:val="18"/>
                  <w:color w:val="0000FF"/>
                  <w:w w:val="89"/>
                </w:rPr>
                <w:t xml:space="preserve">2021 and June </w:t>
              </w:r>
            </w:hyperlink>
            <w:r>
              <w:rPr>
                <w:rFonts w:ascii="Arial" w:cs="Arial" w:eastAsia="Arial" w:hAnsi="Arial"/>
                <w:sz w:val="18"/>
                <w:szCs w:val="18"/>
                <w:color w:val="0000FF"/>
                <w:w w:val="89"/>
              </w:rPr>
              <w:t xml:space="preserve">28, </w:t>
            </w:r>
            <w:hyperlink w:anchor="page4">
              <w:r>
                <w:rPr>
                  <w:rFonts w:ascii="Arial" w:cs="Arial" w:eastAsia="Arial" w:hAnsi="Arial"/>
                  <w:sz w:val="18"/>
                  <w:szCs w:val="18"/>
                  <w:color w:val="0000FF"/>
                  <w:w w:val="89"/>
                </w:rPr>
                <w:t>2020 (unaudited)</w:t>
              </w:r>
            </w:hyperlink>
          </w:p>
        </w:tc>
        <w:tc>
          <w:tcPr>
            <w:tcW w:w="120" w:type="dxa"/>
            <w:vAlign w:val="bottom"/>
          </w:tcPr>
          <w:p>
            <w:pPr>
              <w:spacing w:after="0"/>
              <w:rPr>
                <w:sz w:val="24"/>
                <w:szCs w:val="24"/>
                <w:color w:val="auto"/>
              </w:rPr>
            </w:pPr>
          </w:p>
        </w:tc>
        <w:tc>
          <w:tcPr>
            <w:tcW w:w="5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 xml:space="preserve">Condensed Consolidated Statements of Comprehensive Income (Loss) for the Three and Six Months Ended June </w:t>
              </w:r>
            </w:hyperlink>
            <w:r>
              <w:rPr>
                <w:rFonts w:ascii="Arial" w:cs="Arial" w:eastAsia="Arial" w:hAnsi="Arial"/>
                <w:sz w:val="18"/>
                <w:szCs w:val="18"/>
                <w:color w:val="0000FF"/>
                <w:w w:val="90"/>
              </w:rPr>
              <w:t xml:space="preserve">27, </w:t>
            </w:r>
            <w:hyperlink w:anchor="page5">
              <w:r>
                <w:rPr>
                  <w:rFonts w:ascii="Arial" w:cs="Arial" w:eastAsia="Arial" w:hAnsi="Arial"/>
                  <w:sz w:val="18"/>
                  <w:szCs w:val="18"/>
                  <w:color w:val="0000FF"/>
                  <w:w w:val="90"/>
                </w:rPr>
                <w:t>2021 and June</w:t>
              </w:r>
            </w:hyperlink>
          </w:p>
        </w:tc>
        <w:tc>
          <w:tcPr>
            <w:tcW w:w="120" w:type="dxa"/>
            <w:vAlign w:val="bottom"/>
          </w:tcPr>
          <w:p>
            <w:pPr>
              <w:spacing w:after="0"/>
              <w:rPr>
                <w:sz w:val="24"/>
                <w:szCs w:val="24"/>
                <w:color w:val="auto"/>
              </w:rPr>
            </w:pPr>
          </w:p>
        </w:tc>
        <w:tc>
          <w:tcPr>
            <w:tcW w:w="58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Borders>
              <w:top w:val="single" w:sz="8" w:color="0000FF"/>
            </w:tcBorders>
            <w:gridSpan w:val="5"/>
          </w:tcPr>
          <w:p>
            <w:pPr>
              <w:spacing w:after="0" w:line="156" w:lineRule="exact"/>
              <w:rPr>
                <w:rFonts w:ascii="Arial" w:cs="Arial" w:eastAsia="Arial" w:hAnsi="Arial"/>
                <w:sz w:val="18"/>
                <w:szCs w:val="18"/>
                <w:color w:val="0000FF"/>
                <w:w w:val="89"/>
              </w:rPr>
            </w:pPr>
            <w:r>
              <w:rPr>
                <w:rFonts w:ascii="Arial" w:cs="Arial" w:eastAsia="Arial" w:hAnsi="Arial"/>
                <w:sz w:val="18"/>
                <w:szCs w:val="18"/>
                <w:color w:val="0000FF"/>
                <w:w w:val="89"/>
              </w:rPr>
              <w:t xml:space="preserve">28, </w:t>
            </w:r>
            <w:hyperlink w:anchor="page5">
              <w:r>
                <w:rPr>
                  <w:rFonts w:ascii="Arial" w:cs="Arial" w:eastAsia="Arial" w:hAnsi="Arial"/>
                  <w:sz w:val="18"/>
                  <w:szCs w:val="18"/>
                  <w:color w:val="0000FF"/>
                  <w:w w:val="89"/>
                </w:rPr>
                <w:t>2020 (unaudited)</w:t>
              </w:r>
            </w:hyperlink>
          </w:p>
        </w:tc>
        <w:tc>
          <w:tcPr>
            <w:tcW w:w="7980" w:type="dxa"/>
            <w:vAlign w:val="bottom"/>
            <w:tcBorders>
              <w:top w:val="single" w:sz="8" w:color="0000FF"/>
            </w:tcBorders>
            <w:gridSpan w:val="14"/>
          </w:tcPr>
          <w:p>
            <w:pPr>
              <w:spacing w:after="0"/>
              <w:rPr>
                <w:sz w:val="13"/>
                <w:szCs w:val="13"/>
                <w:color w:val="auto"/>
              </w:rPr>
            </w:pPr>
          </w:p>
        </w:tc>
        <w:tc>
          <w:tcPr>
            <w:tcW w:w="240" w:type="dxa"/>
            <w:vAlign w:val="bottom"/>
            <w:gridSpan w:val="2"/>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Condensed Consolidated Statements of Stockholders’ Equity for the Three and Six Months Ended June 27, 2021 and June 28, 2020</w:t>
              </w:r>
            </w:hyperlink>
          </w:p>
        </w:tc>
        <w:tc>
          <w:tcPr>
            <w:tcW w:w="580" w:type="dxa"/>
            <w:vAlign w:val="bottom"/>
            <w:gridSpan w:val="4"/>
            <w:vMerge w:val="restart"/>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Borders>
              <w:top w:val="single" w:sz="8" w:color="0000FF"/>
            </w:tcBorders>
            <w:gridSpan w:val="2"/>
          </w:tcPr>
          <w:p>
            <w:pPr>
              <w:spacing w:after="0" w:line="156"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(unaudited)</w:t>
              </w:r>
            </w:hyperlink>
          </w:p>
        </w:tc>
        <w:tc>
          <w:tcPr>
            <w:tcW w:w="8640" w:type="dxa"/>
            <w:vAlign w:val="bottom"/>
            <w:tcBorders>
              <w:top w:val="single" w:sz="8" w:color="0000FF"/>
            </w:tcBorders>
            <w:gridSpan w:val="16"/>
          </w:tcPr>
          <w:p>
            <w:pPr>
              <w:spacing w:after="0"/>
              <w:rPr>
                <w:sz w:val="13"/>
                <w:szCs w:val="13"/>
                <w:color w:val="auto"/>
              </w:rPr>
            </w:pPr>
          </w:p>
        </w:tc>
        <w:tc>
          <w:tcPr>
            <w:tcW w:w="260" w:type="dxa"/>
            <w:vAlign w:val="bottom"/>
            <w:gridSpan w:val="3"/>
          </w:tcPr>
          <w:p>
            <w:pPr>
              <w:spacing w:after="0"/>
              <w:rPr>
                <w:sz w:val="13"/>
                <w:szCs w:val="13"/>
                <w:color w:val="auto"/>
              </w:rPr>
            </w:pPr>
          </w:p>
        </w:tc>
        <w:tc>
          <w:tcPr>
            <w:tcW w:w="5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w w:val="97"/>
              </w:rPr>
            </w:pPr>
            <w:hyperlink w:anchor="page9">
              <w:r>
                <w:rPr>
                  <w:rFonts w:ascii="Arial" w:cs="Arial" w:eastAsia="Arial" w:hAnsi="Arial"/>
                  <w:sz w:val="18"/>
                  <w:szCs w:val="18"/>
                  <w:color w:val="0000FF"/>
                  <w:w w:val="97"/>
                </w:rPr>
                <w:t xml:space="preserve">Condensed Consolidated Statements of Cash Flows for the Six Months Ended June </w:t>
              </w:r>
            </w:hyperlink>
            <w:r>
              <w:rPr>
                <w:rFonts w:ascii="Arial" w:cs="Arial" w:eastAsia="Arial" w:hAnsi="Arial"/>
                <w:sz w:val="18"/>
                <w:szCs w:val="18"/>
                <w:color w:val="0000FF"/>
                <w:w w:val="97"/>
              </w:rPr>
              <w:t xml:space="preserve">27, </w:t>
            </w:r>
            <w:hyperlink w:anchor="page9">
              <w:r>
                <w:rPr>
                  <w:rFonts w:ascii="Arial" w:cs="Arial" w:eastAsia="Arial" w:hAnsi="Arial"/>
                  <w:sz w:val="18"/>
                  <w:szCs w:val="18"/>
                  <w:color w:val="0000FF"/>
                  <w:w w:val="97"/>
                </w:rPr>
                <w:t xml:space="preserve">2021 and June </w:t>
              </w:r>
            </w:hyperlink>
            <w:r>
              <w:rPr>
                <w:rFonts w:ascii="Arial" w:cs="Arial" w:eastAsia="Arial" w:hAnsi="Arial"/>
                <w:sz w:val="18"/>
                <w:szCs w:val="18"/>
                <w:color w:val="0000FF"/>
                <w:w w:val="97"/>
              </w:rPr>
              <w:t xml:space="preserve">28, </w:t>
            </w:r>
            <w:hyperlink w:anchor="page9">
              <w:r>
                <w:rPr>
                  <w:rFonts w:ascii="Arial" w:cs="Arial" w:eastAsia="Arial" w:hAnsi="Arial"/>
                  <w:sz w:val="18"/>
                  <w:szCs w:val="18"/>
                  <w:color w:val="0000FF"/>
                  <w:w w:val="97"/>
                </w:rPr>
                <w:t>2020 (unaudited)</w:t>
              </w:r>
            </w:hyperlink>
          </w:p>
        </w:tc>
        <w:tc>
          <w:tcPr>
            <w:tcW w:w="58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Condensed Consolidated Financial Statements (unaudited)</w:t>
              </w:r>
            </w:hyperlink>
          </w:p>
        </w:tc>
        <w:tc>
          <w:tcPr>
            <w:tcW w:w="4020" w:type="dxa"/>
            <w:vAlign w:val="bottom"/>
            <w:gridSpan w:val="5"/>
          </w:tcPr>
          <w:p>
            <w:pPr>
              <w:spacing w:after="0"/>
              <w:rPr>
                <w:sz w:val="24"/>
                <w:szCs w:val="24"/>
                <w:color w:val="auto"/>
              </w:rPr>
            </w:pPr>
          </w:p>
        </w:tc>
        <w:tc>
          <w:tcPr>
            <w:tcW w:w="84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2.</w:t>
              </w:r>
            </w:hyperlink>
          </w:p>
        </w:tc>
        <w:tc>
          <w:tcPr>
            <w:tcW w:w="2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3.</w:t>
              </w:r>
            </w:hyperlink>
          </w:p>
        </w:tc>
        <w:tc>
          <w:tcPr>
            <w:tcW w:w="1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4"/>
          </w:tcPr>
          <w:p>
            <w:pPr>
              <w:spacing w:after="0"/>
              <w:rPr>
                <w:sz w:val="24"/>
                <w:szCs w:val="24"/>
                <w:color w:val="auto"/>
              </w:rPr>
            </w:pPr>
          </w:p>
        </w:tc>
        <w:tc>
          <w:tcPr>
            <w:tcW w:w="328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4.</w:t>
              </w:r>
            </w:hyperlink>
          </w:p>
        </w:tc>
        <w:tc>
          <w:tcPr>
            <w:tcW w:w="9720" w:type="dxa"/>
            <w:vAlign w:val="bottom"/>
            <w:gridSpan w:val="21"/>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5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2"/>
          </w:tcPr>
          <w:p>
            <w:pPr>
              <w:jc w:val="center"/>
              <w:ind w:right="3500"/>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 OTHER INFORMATION</w:t>
              </w:r>
            </w:hyperlink>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1.</w:t>
              </w:r>
            </w:hyperlink>
          </w:p>
        </w:tc>
        <w:tc>
          <w:tcPr>
            <w:tcW w:w="280" w:type="dxa"/>
            <w:vAlign w:val="bottom"/>
          </w:tcPr>
          <w:p>
            <w:pPr>
              <w:spacing w:after="0"/>
              <w:rPr>
                <w:sz w:val="24"/>
                <w:szCs w:val="24"/>
                <w:color w:val="auto"/>
              </w:rPr>
            </w:pPr>
          </w:p>
        </w:tc>
        <w:tc>
          <w:tcPr>
            <w:tcW w:w="3460" w:type="dxa"/>
            <w:vAlign w:val="bottom"/>
            <w:gridSpan w:val="9"/>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2760" w:type="dxa"/>
            <w:vAlign w:val="bottom"/>
            <w:tcBorders>
              <w:top w:val="single" w:sz="8" w:color="0000FF"/>
            </w:tcBorders>
            <w:gridSpan w:val="4"/>
          </w:tcPr>
          <w:p>
            <w:pPr>
              <w:spacing w:after="0"/>
              <w:rPr>
                <w:sz w:val="24"/>
                <w:szCs w:val="24"/>
                <w:color w:val="auto"/>
              </w:rPr>
            </w:pPr>
          </w:p>
        </w:tc>
        <w:tc>
          <w:tcPr>
            <w:tcW w:w="3500" w:type="dxa"/>
            <w:vAlign w:val="bottom"/>
            <w:gridSpan w:val="8"/>
          </w:tcPr>
          <w:p>
            <w:pPr>
              <w:spacing w:after="0"/>
              <w:rPr>
                <w:sz w:val="24"/>
                <w:szCs w:val="24"/>
                <w:color w:val="auto"/>
              </w:rPr>
            </w:pPr>
          </w:p>
        </w:tc>
        <w:tc>
          <w:tcPr>
            <w:tcW w:w="56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1A.</w:t>
              </w:r>
            </w:hyperlink>
          </w:p>
        </w:tc>
        <w:tc>
          <w:tcPr>
            <w:tcW w:w="9720" w:type="dxa"/>
            <w:vAlign w:val="bottom"/>
            <w:gridSpan w:val="2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56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Unregistered Sales of Equity Securities and Use of Proceeds</w:t>
              </w:r>
            </w:hyperlink>
          </w:p>
        </w:tc>
        <w:tc>
          <w:tcPr>
            <w:tcW w:w="538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3.</w:t>
              </w:r>
            </w:hyperlink>
          </w:p>
        </w:tc>
        <w:tc>
          <w:tcPr>
            <w:tcW w:w="400" w:type="dxa"/>
            <w:vAlign w:val="bottom"/>
            <w:gridSpan w:val="2"/>
          </w:tcPr>
          <w:p>
            <w:pPr>
              <w:spacing w:after="0"/>
              <w:rPr>
                <w:sz w:val="24"/>
                <w:szCs w:val="24"/>
                <w:color w:val="auto"/>
              </w:rPr>
            </w:pPr>
          </w:p>
        </w:tc>
        <w:tc>
          <w:tcPr>
            <w:tcW w:w="232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Defaults Upon Senior Securities</w:t>
              </w:r>
            </w:hyperlink>
          </w:p>
        </w:tc>
        <w:tc>
          <w:tcPr>
            <w:tcW w:w="7400" w:type="dxa"/>
            <w:vAlign w:val="bottom"/>
            <w:gridSpan w:val="14"/>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tcBorders>
              <w:bottom w:val="single" w:sz="8" w:color="0000FF"/>
            </w:tcBorders>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4.</w:t>
              </w:r>
            </w:hyperlink>
          </w:p>
        </w:tc>
        <w:tc>
          <w:tcPr>
            <w:tcW w:w="176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Mine Safety Disclosures</w:t>
              </w:r>
            </w:hyperlink>
          </w:p>
        </w:tc>
        <w:tc>
          <w:tcPr>
            <w:tcW w:w="7960" w:type="dxa"/>
            <w:vAlign w:val="bottom"/>
            <w:gridSpan w:val="15"/>
          </w:tcPr>
          <w:p>
            <w:pPr>
              <w:spacing w:after="0"/>
              <w:rPr>
                <w:sz w:val="24"/>
                <w:szCs w:val="24"/>
                <w:color w:val="auto"/>
              </w:rPr>
            </w:pPr>
          </w:p>
        </w:tc>
        <w:tc>
          <w:tcPr>
            <w:tcW w:w="56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5.</w:t>
              </w:r>
            </w:hyperlink>
          </w:p>
        </w:tc>
        <w:tc>
          <w:tcPr>
            <w:tcW w:w="400" w:type="dxa"/>
            <w:vAlign w:val="bottom"/>
            <w:gridSpan w:val="2"/>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Other Information</w:t>
              </w:r>
            </w:hyperlink>
          </w:p>
        </w:tc>
        <w:tc>
          <w:tcPr>
            <w:tcW w:w="56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6.</w:t>
              </w:r>
            </w:hyperlink>
          </w:p>
        </w:tc>
        <w:tc>
          <w:tcPr>
            <w:tcW w:w="400" w:type="dxa"/>
            <w:vAlign w:val="bottom"/>
            <w:gridSpan w:val="2"/>
          </w:tcPr>
          <w:p>
            <w:pPr>
              <w:spacing w:after="0"/>
              <w:rPr>
                <w:sz w:val="24"/>
                <w:szCs w:val="24"/>
                <w:color w:val="auto"/>
              </w:rPr>
            </w:pP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Exhibits</w:t>
              </w:r>
            </w:hyperlink>
          </w:p>
        </w:tc>
        <w:tc>
          <w:tcPr>
            <w:tcW w:w="720" w:type="dxa"/>
            <w:vAlign w:val="bottom"/>
            <w:tcBorders>
              <w:top w:val="single" w:sz="8" w:color="0000FF"/>
            </w:tcBorders>
            <w:gridSpan w:val="3"/>
          </w:tcPr>
          <w:p>
            <w:pPr>
              <w:spacing w:after="0"/>
              <w:rPr>
                <w:sz w:val="24"/>
                <w:szCs w:val="24"/>
                <w:color w:val="auto"/>
              </w:rPr>
            </w:pPr>
          </w:p>
        </w:tc>
        <w:tc>
          <w:tcPr>
            <w:tcW w:w="8400" w:type="dxa"/>
            <w:vAlign w:val="bottom"/>
            <w:gridSpan w:val="17"/>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12"/>
          </w:tcPr>
          <w:p>
            <w:pPr>
              <w:ind w:left="464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right"/>
        <w:ind w:right="297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ind w:left="3860"/>
              <w:spacing w:after="0"/>
              <w:rPr>
                <w:sz w:val="20"/>
                <w:szCs w:val="20"/>
                <w:color w:val="auto"/>
              </w:rPr>
            </w:pPr>
            <w:r>
              <w:rPr>
                <w:rFonts w:ascii="Arial" w:cs="Arial" w:eastAsia="Arial" w:hAnsi="Arial"/>
                <w:sz w:val="16"/>
                <w:szCs w:val="16"/>
                <w:b w:val="1"/>
                <w:bCs w:val="1"/>
                <w:color w:val="auto"/>
                <w:w w:val="94"/>
              </w:rPr>
              <w:t>(in millions, except par value and number of shares)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27, 2021</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9"/>
                <w:szCs w:val="19"/>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27, 2020</w:t>
            </w:r>
          </w:p>
        </w:tc>
        <w:tc>
          <w:tcPr>
            <w:tcW w:w="0" w:type="dxa"/>
            <w:vAlign w:val="bottom"/>
          </w:tcPr>
          <w:p>
            <w:pPr>
              <w:spacing w:after="0"/>
              <w:rPr>
                <w:sz w:val="1"/>
                <w:szCs w:val="1"/>
                <w:color w:val="auto"/>
              </w:rPr>
            </w:pP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Unbilled receivables,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Inventoried costs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7"/>
        </w:trPr>
        <w:tc>
          <w:tcPr>
            <w:tcW w:w="760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768.7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764.8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483.9</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7"/>
                <w:szCs w:val="17"/>
                <w:color w:val="auto"/>
              </w:rPr>
              <w:t>’</w:t>
            </w:r>
            <w:r>
              <w:rPr>
                <w:rFonts w:ascii="Arial" w:cs="Arial" w:eastAsia="Arial" w:hAnsi="Arial"/>
                <w:sz w:val="16"/>
                <w:szCs w:val="16"/>
                <w:b w:val="1"/>
                <w:bCs w:val="1"/>
                <w:color w:val="auto"/>
              </w:rPr>
              <w:t xml:space="preserve"> Equity</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liabilities of discontinued operations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301.0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622.7</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3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600" w:type="dxa"/>
            <w:vAlign w:val="bottom"/>
          </w:tcPr>
          <w:p>
            <w:pPr>
              <w:ind w:left="140"/>
              <w:spacing w:after="0" w:line="166" w:lineRule="exact"/>
              <w:rPr>
                <w:sz w:val="20"/>
                <w:szCs w:val="20"/>
                <w:color w:val="auto"/>
              </w:rPr>
            </w:pPr>
            <w:r>
              <w:rPr>
                <w:rFonts w:ascii="Arial" w:cs="Arial" w:eastAsia="Arial" w:hAnsi="Arial"/>
                <w:sz w:val="16"/>
                <w:szCs w:val="16"/>
                <w:color w:val="auto"/>
                <w:w w:val="97"/>
              </w:rPr>
              <w:t>Preferred stock, $0.001 par value, 5,000,000 shares authorized, 0 shares outstanding at June 27, 2021 and</w:t>
            </w:r>
          </w:p>
        </w:tc>
        <w:tc>
          <w:tcPr>
            <w:tcW w:w="260" w:type="dxa"/>
            <w:vAlign w:val="bottom"/>
          </w:tcPr>
          <w:p>
            <w:pPr>
              <w:spacing w:after="0"/>
              <w:rPr>
                <w:sz w:val="14"/>
                <w:szCs w:val="14"/>
                <w:color w:val="auto"/>
              </w:rPr>
            </w:pPr>
          </w:p>
        </w:tc>
        <w:tc>
          <w:tcPr>
            <w:tcW w:w="16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00" w:type="dxa"/>
            <w:vAlign w:val="bottom"/>
          </w:tcPr>
          <w:p>
            <w:pPr>
              <w:ind w:left="140"/>
              <w:spacing w:after="0"/>
              <w:rPr>
                <w:sz w:val="20"/>
                <w:szCs w:val="20"/>
                <w:color w:val="auto"/>
              </w:rPr>
            </w:pPr>
            <w:r>
              <w:rPr>
                <w:rFonts w:ascii="Arial" w:cs="Arial" w:eastAsia="Arial" w:hAnsi="Arial"/>
                <w:sz w:val="16"/>
                <w:szCs w:val="16"/>
                <w:color w:val="auto"/>
              </w:rPr>
              <w:t>December 27, 2020</w:t>
            </w:r>
          </w:p>
        </w:tc>
        <w:tc>
          <w:tcPr>
            <w:tcW w:w="2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0"/>
              </w:rPr>
              <w:t>Common stock, $0.001 par value, 195,000,000 shares authorized; 123,807,616 and 123,047,147 shares issued and</w:t>
            </w:r>
          </w:p>
        </w:tc>
        <w:tc>
          <w:tcPr>
            <w:tcW w:w="26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outstanding at June 27, 2021 and December 27, 2020, respectively</w:t>
            </w:r>
          </w:p>
        </w:tc>
        <w:tc>
          <w:tcPr>
            <w:tcW w:w="26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1,563.1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1,556.3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(632.4)</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925.3</w:t>
            </w:r>
          </w:p>
        </w:tc>
        <w:tc>
          <w:tcPr>
            <w:tcW w:w="0" w:type="dxa"/>
            <w:vAlign w:val="bottom"/>
          </w:tcPr>
          <w:p>
            <w:pPr>
              <w:spacing w:after="0"/>
              <w:rPr>
                <w:sz w:val="1"/>
                <w:szCs w:val="1"/>
                <w:color w:val="auto"/>
              </w:rPr>
            </w:pPr>
          </w:p>
        </w:tc>
      </w:tr>
      <w:tr>
        <w:trPr>
          <w:trHeight w:val="210"/>
        </w:trPr>
        <w:tc>
          <w:tcPr>
            <w:tcW w:w="7600" w:type="dxa"/>
            <w:vAlign w:val="bottom"/>
          </w:tcPr>
          <w:p>
            <w:pPr>
              <w:ind w:left="36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1,562.8</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49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June 27, 2021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June 28, 2020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40" w:type="dxa"/>
            <w:vAlign w:val="bottom"/>
          </w:tcPr>
          <w:p>
            <w:pPr>
              <w:spacing w:after="0"/>
              <w:rPr>
                <w:sz w:val="16"/>
                <w:szCs w:val="16"/>
                <w:color w:val="auto"/>
              </w:rPr>
            </w:pPr>
          </w:p>
        </w:tc>
        <w:tc>
          <w:tcPr>
            <w:tcW w:w="1120" w:type="dxa"/>
            <w:vAlign w:val="bottom"/>
          </w:tcPr>
          <w:p>
            <w:pPr>
              <w:jc w:val="right"/>
              <w:ind w:right="139"/>
              <w:spacing w:after="0"/>
              <w:rPr>
                <w:sz w:val="20"/>
                <w:szCs w:val="20"/>
                <w:color w:val="auto"/>
              </w:rPr>
            </w:pPr>
            <w:r>
              <w:rPr>
                <w:rFonts w:ascii="Arial" w:cs="Arial" w:eastAsia="Arial" w:hAnsi="Arial"/>
                <w:sz w:val="14"/>
                <w:szCs w:val="14"/>
                <w:b w:val="1"/>
                <w:bCs w:val="1"/>
                <w:color w:val="auto"/>
                <w:w w:val="96"/>
              </w:rPr>
              <w:t>June 28, 2020</w:t>
            </w:r>
          </w:p>
        </w:tc>
      </w:tr>
      <w:tr>
        <w:trPr>
          <w:trHeight w:val="211"/>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1300" w:type="dxa"/>
            <w:vAlign w:val="bottom"/>
            <w:tcBorders>
              <w:top w:val="single" w:sz="8" w:color="auto"/>
            </w:tcBorders>
            <w:shd w:val="clear" w:color="auto" w:fill="CCEEFF"/>
          </w:tcPr>
          <w:p>
            <w:pPr>
              <w:jc w:val="right"/>
              <w:ind w:right="112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20"/>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Product sales</w:t>
            </w:r>
          </w:p>
        </w:tc>
        <w:tc>
          <w:tcPr>
            <w:tcW w:w="1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147.1</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107.5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w:t>
            </w:r>
          </w:p>
        </w:tc>
      </w:tr>
      <w:tr>
        <w:trPr>
          <w:trHeight w:val="212"/>
        </w:trPr>
        <w:tc>
          <w:tcPr>
            <w:tcW w:w="4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1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205.1</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170.4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339.3</w:t>
            </w:r>
          </w:p>
        </w:tc>
      </w:tr>
      <w:tr>
        <w:trPr>
          <w:trHeight w:val="207"/>
        </w:trPr>
        <w:tc>
          <w:tcPr>
            <w:tcW w:w="490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1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1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111.8</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156.1</w:t>
            </w:r>
          </w:p>
        </w:tc>
      </w:tr>
      <w:tr>
        <w:trPr>
          <w:trHeight w:val="207"/>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costs</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153.1</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124.4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247.5</w:t>
            </w:r>
          </w:p>
        </w:tc>
      </w:tr>
      <w:tr>
        <w:trPr>
          <w:trHeight w:val="212"/>
        </w:trPr>
        <w:tc>
          <w:tcPr>
            <w:tcW w:w="49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Gross profit</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70.9</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 and acquisition expenses</w:t>
            </w: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and other</w:t>
            </w:r>
          </w:p>
        </w:tc>
        <w:tc>
          <w:tcPr>
            <w:tcW w:w="1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7"/>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Operating income</w:t>
            </w: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490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1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9"/>
        </w:trPr>
        <w:tc>
          <w:tcPr>
            <w:tcW w:w="4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13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7"/>
        </w:trPr>
        <w:tc>
          <w:tcPr>
            <w:tcW w:w="49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other expense, net</w:t>
            </w:r>
          </w:p>
        </w:tc>
        <w:tc>
          <w:tcPr>
            <w:tcW w:w="13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 from continuing operations</w:t>
            </w:r>
          </w:p>
        </w:tc>
        <w:tc>
          <w:tcPr>
            <w:tcW w:w="1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12"/>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(loss) from continuing operations</w:t>
            </w:r>
          </w:p>
        </w:tc>
        <w:tc>
          <w:tcPr>
            <w:tcW w:w="1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193"/>
        </w:trPr>
        <w:tc>
          <w:tcPr>
            <w:tcW w:w="4900" w:type="dxa"/>
            <w:vAlign w:val="bottom"/>
          </w:tcPr>
          <w:p>
            <w:pPr>
              <w:ind w:left="20"/>
              <w:spacing w:after="0"/>
              <w:rPr>
                <w:sz w:val="20"/>
                <w:szCs w:val="20"/>
                <w:color w:val="auto"/>
              </w:rPr>
            </w:pPr>
            <w:r>
              <w:rPr>
                <w:rFonts w:ascii="Arial" w:cs="Arial" w:eastAsia="Arial" w:hAnsi="Arial"/>
                <w:sz w:val="16"/>
                <w:szCs w:val="16"/>
                <w:color w:val="auto"/>
              </w:rPr>
              <w:t>Discontinued operations:</w:t>
            </w: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4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discontinued operations before income taxes</w:t>
            </w: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3"/>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 benefit</w:t>
            </w:r>
          </w:p>
        </w:tc>
        <w:tc>
          <w:tcPr>
            <w:tcW w:w="1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w:t>
            </w:r>
          </w:p>
        </w:tc>
        <w:tc>
          <w:tcPr>
            <w:tcW w:w="1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6"/>
        </w:trPr>
        <w:tc>
          <w:tcPr>
            <w:tcW w:w="490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1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loss attributable to noncontrolling interest</w:t>
            </w:r>
          </w:p>
        </w:tc>
        <w:tc>
          <w:tcPr>
            <w:tcW w:w="1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4900" w:type="dxa"/>
            <w:vAlign w:val="bottom"/>
          </w:tcPr>
          <w:p>
            <w:pPr>
              <w:ind w:left="220"/>
              <w:spacing w:after="0"/>
              <w:rPr>
                <w:sz w:val="20"/>
                <w:szCs w:val="20"/>
                <w:color w:val="auto"/>
              </w:rPr>
            </w:pPr>
            <w:r>
              <w:rPr>
                <w:rFonts w:ascii="Arial" w:cs="Arial" w:eastAsia="Arial" w:hAnsi="Arial"/>
                <w:sz w:val="16"/>
                <w:szCs w:val="16"/>
                <w:color w:val="auto"/>
              </w:rPr>
              <w:t>Net income (loss) attributable to Kratos</w:t>
            </w:r>
          </w:p>
        </w:tc>
        <w:tc>
          <w:tcPr>
            <w:tcW w:w="1300" w:type="dxa"/>
            <w:vAlign w:val="bottom"/>
            <w:tcBorders>
              <w:bottom w:val="single" w:sz="8" w:color="auto"/>
            </w:tcBorders>
          </w:tcPr>
          <w:p>
            <w:pPr>
              <w:jc w:val="right"/>
              <w:ind w:right="112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12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income (loss) per common share attributable to Kratos:</w:t>
            </w: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4900" w:type="dxa"/>
            <w:vAlign w:val="bottom"/>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1300" w:type="dxa"/>
            <w:vAlign w:val="bottom"/>
          </w:tcPr>
          <w:p>
            <w:pPr>
              <w:jc w:val="right"/>
              <w:ind w:right="112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300" w:type="dxa"/>
            <w:vAlign w:val="bottom"/>
          </w:tcPr>
          <w:p>
            <w:pPr>
              <w:jc w:val="right"/>
              <w:ind w:right="112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5"/>
              </w:rPr>
              <w:t>(0.01)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discontinued operations</w:t>
            </w:r>
          </w:p>
        </w:tc>
        <w:tc>
          <w:tcPr>
            <w:tcW w:w="1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13"/>
        </w:trPr>
        <w:tc>
          <w:tcPr>
            <w:tcW w:w="4900" w:type="dxa"/>
            <w:vAlign w:val="bottom"/>
          </w:tcPr>
          <w:p>
            <w:pPr>
              <w:ind w:left="560"/>
              <w:spacing w:after="0"/>
              <w:rPr>
                <w:sz w:val="20"/>
                <w:szCs w:val="20"/>
                <w:color w:val="auto"/>
              </w:rPr>
            </w:pPr>
            <w:r>
              <w:rPr>
                <w:rFonts w:ascii="Arial" w:cs="Arial" w:eastAsia="Arial" w:hAnsi="Arial"/>
                <w:sz w:val="16"/>
                <w:szCs w:val="16"/>
                <w:color w:val="auto"/>
              </w:rPr>
              <w:t>Net income (loss) per common share</w:t>
            </w:r>
          </w:p>
        </w:tc>
        <w:tc>
          <w:tcPr>
            <w:tcW w:w="1300" w:type="dxa"/>
            <w:vAlign w:val="bottom"/>
            <w:tcBorders>
              <w:top w:val="single" w:sz="8" w:color="auto"/>
              <w:bottom w:val="single" w:sz="8" w:color="auto"/>
            </w:tcBorders>
          </w:tcPr>
          <w:p>
            <w:pPr>
              <w:jc w:val="right"/>
              <w:ind w:right="112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1120"/>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(0.01)</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income (loss) per common share attributable to Kratos:</w:t>
            </w: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3"/>
        </w:trPr>
        <w:tc>
          <w:tcPr>
            <w:tcW w:w="4900" w:type="dxa"/>
            <w:vAlign w:val="bottom"/>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1300" w:type="dxa"/>
            <w:vAlign w:val="bottom"/>
          </w:tcPr>
          <w:p>
            <w:pPr>
              <w:jc w:val="right"/>
              <w:ind w:right="112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300" w:type="dxa"/>
            <w:vAlign w:val="bottom"/>
          </w:tcPr>
          <w:p>
            <w:pPr>
              <w:jc w:val="right"/>
              <w:ind w:right="112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5"/>
              </w:rPr>
              <w:t>(0.01)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discontinued operations</w:t>
            </w:r>
          </w:p>
        </w:tc>
        <w:tc>
          <w:tcPr>
            <w:tcW w:w="1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13"/>
        </w:trPr>
        <w:tc>
          <w:tcPr>
            <w:tcW w:w="4900" w:type="dxa"/>
            <w:vAlign w:val="bottom"/>
          </w:tcPr>
          <w:p>
            <w:pPr>
              <w:ind w:left="560"/>
              <w:spacing w:after="0"/>
              <w:rPr>
                <w:sz w:val="20"/>
                <w:szCs w:val="20"/>
                <w:color w:val="auto"/>
              </w:rPr>
            </w:pPr>
            <w:r>
              <w:rPr>
                <w:rFonts w:ascii="Arial" w:cs="Arial" w:eastAsia="Arial" w:hAnsi="Arial"/>
                <w:sz w:val="16"/>
                <w:szCs w:val="16"/>
                <w:color w:val="auto"/>
              </w:rPr>
              <w:t>Net income (loss) per common share</w:t>
            </w:r>
          </w:p>
        </w:tc>
        <w:tc>
          <w:tcPr>
            <w:tcW w:w="1300" w:type="dxa"/>
            <w:vAlign w:val="bottom"/>
            <w:tcBorders>
              <w:top w:val="single" w:sz="8" w:color="auto"/>
              <w:bottom w:val="single" w:sz="8" w:color="auto"/>
            </w:tcBorders>
          </w:tcPr>
          <w:p>
            <w:pPr>
              <w:jc w:val="right"/>
              <w:ind w:right="112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1120"/>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(0.01)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5"/>
        </w:trPr>
        <w:tc>
          <w:tcPr>
            <w:tcW w:w="49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4"/>
        </w:trPr>
        <w:tc>
          <w:tcPr>
            <w:tcW w:w="4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3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124.7</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900" w:type="dxa"/>
            <w:vAlign w:val="bottom"/>
          </w:tcPr>
          <w:p>
            <w:pPr>
              <w:ind w:left="220"/>
              <w:spacing w:after="0"/>
              <w:rPr>
                <w:sz w:val="20"/>
                <w:szCs w:val="20"/>
                <w:color w:val="auto"/>
              </w:rPr>
            </w:pPr>
            <w:r>
              <w:rPr>
                <w:rFonts w:ascii="Arial" w:cs="Arial" w:eastAsia="Arial" w:hAnsi="Arial"/>
                <w:sz w:val="16"/>
                <w:szCs w:val="16"/>
                <w:color w:val="auto"/>
              </w:rPr>
              <w:t>Diluted</w:t>
            </w:r>
          </w:p>
        </w:tc>
        <w:tc>
          <w:tcPr>
            <w:tcW w:w="1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127.7</w:t>
            </w: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108.3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w:t>
            </w:r>
          </w:p>
        </w:tc>
      </w:tr>
      <w:tr>
        <w:trPr>
          <w:trHeight w:val="21"/>
        </w:trPr>
        <w:tc>
          <w:tcPr>
            <w:tcW w:w="4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COMPREHENSIVE INCOME (LOSS) (in millions, except per share amounts)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41"/>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5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June 28, 2020</w:t>
            </w:r>
          </w:p>
        </w:tc>
      </w:tr>
      <w:tr>
        <w:trPr>
          <w:trHeight w:val="211"/>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center"/>
              <w:ind w:left="782"/>
              <w:spacing w:after="0"/>
              <w:rPr>
                <w:sz w:val="20"/>
                <w:szCs w:val="20"/>
                <w:color w:val="auto"/>
              </w:rPr>
            </w:pPr>
            <w:r>
              <w:rPr>
                <w:rFonts w:ascii="Arial" w:cs="Arial" w:eastAsia="Arial" w:hAnsi="Arial"/>
                <w:sz w:val="16"/>
                <w:szCs w:val="16"/>
                <w:color w:val="auto"/>
                <w:w w:val="89"/>
              </w:rPr>
              <w:t>0.9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center"/>
              <w:ind w:left="822"/>
              <w:spacing w:after="0"/>
              <w:rPr>
                <w:sz w:val="20"/>
                <w:szCs w:val="20"/>
                <w:color w:val="auto"/>
              </w:rPr>
            </w:pPr>
            <w:r>
              <w:rPr>
                <w:rFonts w:ascii="Arial" w:cs="Arial" w:eastAsia="Arial" w:hAnsi="Arial"/>
                <w:sz w:val="16"/>
                <w:szCs w:val="16"/>
                <w:color w:val="auto"/>
                <w:w w:val="89"/>
              </w:rPr>
              <w:t>2.8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 in cumulative translation adjustment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82"/>
              <w:spacing w:after="0"/>
              <w:rPr>
                <w:sz w:val="20"/>
                <w:szCs w:val="20"/>
                <w:color w:val="auto"/>
              </w:rPr>
            </w:pPr>
            <w:r>
              <w:rPr>
                <w:rFonts w:ascii="Arial" w:cs="Arial" w:eastAsia="Arial" w:hAnsi="Arial"/>
                <w:sz w:val="16"/>
                <w:szCs w:val="16"/>
                <w:color w:val="auto"/>
                <w:w w:val="89"/>
              </w:rPr>
              <w:t>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822"/>
              <w:spacing w:after="0"/>
              <w:rPr>
                <w:sz w:val="20"/>
                <w:szCs w:val="20"/>
                <w:color w:val="auto"/>
              </w:rPr>
            </w:pPr>
            <w:r>
              <w:rPr>
                <w:rFonts w:ascii="Arial" w:cs="Arial" w:eastAsia="Arial" w:hAnsi="Arial"/>
                <w:sz w:val="16"/>
                <w:szCs w:val="16"/>
                <w:color w:val="auto"/>
                <w:w w:val="89"/>
              </w:rPr>
              <w:t>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782"/>
              <w:spacing w:after="0"/>
              <w:rPr>
                <w:sz w:val="20"/>
                <w:szCs w:val="20"/>
                <w:color w:val="auto"/>
              </w:rPr>
            </w:pPr>
            <w:r>
              <w:rPr>
                <w:rFonts w:ascii="Arial" w:cs="Arial" w:eastAsia="Arial" w:hAnsi="Arial"/>
                <w:sz w:val="16"/>
                <w:szCs w:val="16"/>
                <w:color w:val="auto"/>
                <w:w w:val="89"/>
              </w:rPr>
              <w:t>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822"/>
              <w:spacing w:after="0"/>
              <w:rPr>
                <w:sz w:val="20"/>
                <w:szCs w:val="20"/>
                <w:color w:val="auto"/>
              </w:rPr>
            </w:pPr>
            <w:r>
              <w:rPr>
                <w:rFonts w:ascii="Arial" w:cs="Arial" w:eastAsia="Arial" w:hAnsi="Arial"/>
                <w:sz w:val="16"/>
                <w:szCs w:val="16"/>
                <w:color w:val="auto"/>
                <w:w w:val="89"/>
              </w:rPr>
              <w:t>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7"/>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Comprehensive loss attributable to noncontrolling interest</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762"/>
              <w:spacing w:after="0"/>
              <w:rPr>
                <w:sz w:val="20"/>
                <w:szCs w:val="20"/>
                <w:color w:val="auto"/>
              </w:rPr>
            </w:pPr>
            <w:r>
              <w:rPr>
                <w:rFonts w:ascii="Arial" w:cs="Arial" w:eastAsia="Arial" w:hAnsi="Arial"/>
                <w:sz w:val="16"/>
                <w:szCs w:val="16"/>
                <w:color w:val="auto"/>
                <w:w w:val="91"/>
              </w:rPr>
              <w:t>(0.2)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left="782"/>
              <w:spacing w:after="0"/>
              <w:rPr>
                <w:sz w:val="20"/>
                <w:szCs w:val="20"/>
                <w:color w:val="auto"/>
              </w:rPr>
            </w:pPr>
            <w:r>
              <w:rPr>
                <w:rFonts w:ascii="Arial" w:cs="Arial" w:eastAsia="Arial" w:hAnsi="Arial"/>
                <w:sz w:val="16"/>
                <w:szCs w:val="16"/>
                <w:color w:val="auto"/>
                <w:w w:val="97"/>
              </w:rPr>
              <w:t>(0.2)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3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Kratos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center"/>
              <w:ind w:left="782"/>
              <w:spacing w:after="0"/>
              <w:rPr>
                <w:sz w:val="20"/>
                <w:szCs w:val="20"/>
                <w:color w:val="auto"/>
              </w:rPr>
            </w:pPr>
            <w:r>
              <w:rPr>
                <w:rFonts w:ascii="Arial" w:cs="Arial" w:eastAsia="Arial" w:hAnsi="Arial"/>
                <w:sz w:val="16"/>
                <w:szCs w:val="16"/>
                <w:color w:val="auto"/>
                <w:w w:val="89"/>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center"/>
              <w:ind w:left="822"/>
              <w:spacing w:after="0"/>
              <w:rPr>
                <w:sz w:val="20"/>
                <w:szCs w:val="20"/>
                <w:color w:val="auto"/>
              </w:rPr>
            </w:pPr>
            <w:r>
              <w:rPr>
                <w:rFonts w:ascii="Arial" w:cs="Arial" w:eastAsia="Arial" w:hAnsi="Arial"/>
                <w:sz w:val="16"/>
                <w:szCs w:val="16"/>
                <w:color w:val="auto"/>
                <w:w w:val="89"/>
              </w:rPr>
              <w:t>3.8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left="340" w:right="2660"/>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STOCKHOLDERS’ EQUITY For the three months ended June 27, 2021 and June 28, 2020</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37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vMerge w:val="restart"/>
          </w:tcPr>
          <w:p>
            <w:pPr>
              <w:jc w:val="center"/>
              <w:ind w:right="86"/>
              <w:spacing w:after="0"/>
              <w:rPr>
                <w:sz w:val="20"/>
                <w:szCs w:val="20"/>
                <w:color w:val="auto"/>
              </w:rPr>
            </w:pPr>
            <w:r>
              <w:rPr>
                <w:rFonts w:ascii="Arial" w:cs="Arial" w:eastAsia="Arial" w:hAnsi="Arial"/>
                <w:sz w:val="14"/>
                <w:szCs w:val="14"/>
                <w:b w:val="1"/>
                <w:bCs w:val="1"/>
                <w:color w:val="auto"/>
                <w:w w:val="89"/>
              </w:rPr>
              <w:t>Redeemable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Additional Paid-</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5"/>
              </w:rPr>
              <w:t>Accumulated Other</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right w:val="single" w:sz="8" w:color="auto"/>
            </w:tcBorders>
          </w:tcPr>
          <w:p>
            <w:pPr>
              <w:jc w:val="center"/>
              <w:ind w:right="106"/>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4"/>
              </w:rPr>
              <w:t>Interest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In Capital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Comprehensive Loss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9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29,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right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15.0</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1,292.6</w:t>
            </w: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(712.2)</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580.2</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2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Issuance of common stock for cash</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2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comprehensive loss, net of tax</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3"/>
        </w:trPr>
        <w:tc>
          <w:tcPr>
            <w:tcW w:w="296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June 28,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4"/>
                <w:szCs w:val="14"/>
                <w:color w:val="auto"/>
              </w:rPr>
              <w:t>14.9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122.5</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1,537.9</w:t>
            </w: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(0.5)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(712.9)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824.5</w:t>
            </w:r>
          </w:p>
        </w:tc>
        <w:tc>
          <w:tcPr>
            <w:tcW w:w="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spacing w:after="0"/>
              <w:rPr>
                <w:sz w:val="12"/>
                <w:szCs w:val="12"/>
                <w:color w:val="auto"/>
              </w:rPr>
            </w:pPr>
          </w:p>
        </w:tc>
        <w:tc>
          <w:tcPr>
            <w:tcW w:w="164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89"/>
              </w:rPr>
              <w:t>Redeemable</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Accumulated Other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right w:val="single" w:sz="8" w:color="auto"/>
            </w:tcBorders>
          </w:tcPr>
          <w:p>
            <w:pPr>
              <w:jc w:val="center"/>
              <w:ind w:right="106"/>
              <w:spacing w:after="0" w:line="115" w:lineRule="exact"/>
              <w:rPr>
                <w:sz w:val="20"/>
                <w:szCs w:val="20"/>
                <w:color w:val="auto"/>
              </w:rPr>
            </w:pPr>
            <w:r>
              <w:rPr>
                <w:rFonts w:ascii="Arial" w:cs="Arial" w:eastAsia="Arial" w:hAnsi="Arial"/>
                <w:sz w:val="13"/>
                <w:szCs w:val="13"/>
                <w:b w:val="1"/>
                <w:bCs w:val="1"/>
                <w:color w:val="auto"/>
                <w:w w:val="99"/>
              </w:rPr>
              <w:t>Noncontrolling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60" w:type="dxa"/>
            <w:vAlign w:val="bottom"/>
          </w:tcPr>
          <w:p>
            <w:pPr>
              <w:spacing w:after="0"/>
              <w:rPr>
                <w:sz w:val="10"/>
                <w:szCs w:val="10"/>
                <w:color w:val="auto"/>
              </w:rPr>
            </w:pPr>
          </w:p>
        </w:tc>
        <w:tc>
          <w:tcPr>
            <w:tcW w:w="1140" w:type="dxa"/>
            <w:vAlign w:val="bottom"/>
            <w:gridSpan w:val="4"/>
          </w:tcPr>
          <w:p>
            <w:pPr>
              <w:jc w:val="center"/>
              <w:ind w:right="40"/>
              <w:spacing w:after="0" w:line="115" w:lineRule="exact"/>
              <w:rPr>
                <w:sz w:val="20"/>
                <w:szCs w:val="20"/>
                <w:color w:val="auto"/>
              </w:rPr>
            </w:pPr>
            <w:r>
              <w:rPr>
                <w:rFonts w:ascii="Arial" w:cs="Arial" w:eastAsia="Arial" w:hAnsi="Arial"/>
                <w:sz w:val="13"/>
                <w:szCs w:val="13"/>
                <w:b w:val="1"/>
                <w:bCs w:val="1"/>
                <w:color w:val="auto"/>
              </w:rPr>
              <w:t>Additional Paid-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22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gridSpan w:val="2"/>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 Capital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28, 2021</w:t>
            </w: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right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14.8</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1,557.9</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4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6"/>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1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6"/>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4"/>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 net of tax</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right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June 27, 2021</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46"/>
              <w:spacing w:after="0"/>
              <w:rPr>
                <w:sz w:val="20"/>
                <w:szCs w:val="20"/>
                <w:color w:val="auto"/>
              </w:rPr>
            </w:pPr>
            <w:r>
              <w:rPr>
                <w:rFonts w:ascii="Arial" w:cs="Arial" w:eastAsia="Arial" w:hAnsi="Arial"/>
                <w:sz w:val="14"/>
                <w:szCs w:val="14"/>
                <w:color w:val="auto"/>
              </w:rPr>
              <w:t>14.6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123.8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1,563.1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(629.4)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935.9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STOCKHOLDERS’ EQUITY For the six months ended June 27, 2021 and June 28, 2020</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Redeemable</w:t>
            </w: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right w:val="single" w:sz="8" w:color="auto"/>
            </w:tcBorders>
          </w:tcPr>
          <w:p>
            <w:pPr>
              <w:jc w:val="center"/>
              <w:ind w:right="148"/>
              <w:spacing w:after="0" w:line="108" w:lineRule="exact"/>
              <w:rPr>
                <w:sz w:val="20"/>
                <w:szCs w:val="20"/>
                <w:color w:val="auto"/>
              </w:rPr>
            </w:pPr>
            <w:r>
              <w:rPr>
                <w:rFonts w:ascii="Arial" w:cs="Arial" w:eastAsia="Arial" w:hAnsi="Arial"/>
                <w:sz w:val="12"/>
                <w:szCs w:val="12"/>
                <w:b w:val="1"/>
                <w:bCs w:val="1"/>
                <w:color w:val="auto"/>
              </w:rPr>
              <w:t>Noncontrolling</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w:t>
            </w:r>
          </w:p>
        </w:tc>
        <w:tc>
          <w:tcPr>
            <w:tcW w:w="40" w:type="dxa"/>
            <w:vAlign w:val="bottom"/>
          </w:tcPr>
          <w:p>
            <w:pPr>
              <w:spacing w:after="0"/>
              <w:rPr>
                <w:sz w:val="9"/>
                <w:szCs w:val="9"/>
                <w:color w:val="auto"/>
              </w:rPr>
            </w:pPr>
          </w:p>
        </w:tc>
        <w:tc>
          <w:tcPr>
            <w:tcW w:w="1160" w:type="dxa"/>
            <w:vAlign w:val="bottom"/>
            <w:gridSpan w:val="4"/>
          </w:tcPr>
          <w:p>
            <w:pPr>
              <w:spacing w:after="0" w:line="108" w:lineRule="exact"/>
              <w:rPr>
                <w:sz w:val="20"/>
                <w:szCs w:val="20"/>
                <w:color w:val="auto"/>
              </w:rPr>
            </w:pPr>
            <w:r>
              <w:rPr>
                <w:rFonts w:ascii="Arial" w:cs="Arial" w:eastAsia="Arial" w:hAnsi="Arial"/>
                <w:sz w:val="12"/>
                <w:szCs w:val="12"/>
                <w:b w:val="1"/>
                <w:bCs w:val="1"/>
                <w:color w:val="auto"/>
              </w:rPr>
              <w:t>Additional Paid-</w:t>
            </w:r>
          </w:p>
        </w:tc>
        <w:tc>
          <w:tcPr>
            <w:tcW w:w="40" w:type="dxa"/>
            <w:vAlign w:val="bottom"/>
          </w:tcPr>
          <w:p>
            <w:pPr>
              <w:spacing w:after="0"/>
              <w:rPr>
                <w:sz w:val="9"/>
                <w:szCs w:val="9"/>
                <w:color w:val="auto"/>
              </w:rPr>
            </w:pPr>
          </w:p>
        </w:tc>
        <w:tc>
          <w:tcPr>
            <w:tcW w:w="1380" w:type="dxa"/>
            <w:vAlign w:val="bottom"/>
            <w:gridSpan w:val="4"/>
          </w:tcPr>
          <w:p>
            <w:pPr>
              <w:ind w:left="20"/>
              <w:spacing w:after="0" w:line="108" w:lineRule="exact"/>
              <w:rPr>
                <w:sz w:val="20"/>
                <w:szCs w:val="20"/>
                <w:color w:val="auto"/>
              </w:rPr>
            </w:pPr>
            <w:r>
              <w:rPr>
                <w:rFonts w:ascii="Arial" w:cs="Arial" w:eastAsia="Arial" w:hAnsi="Arial"/>
                <w:sz w:val="12"/>
                <w:szCs w:val="12"/>
                <w:b w:val="1"/>
                <w:bCs w:val="1"/>
                <w:color w:val="auto"/>
              </w:rPr>
              <w:t>Accumulated Other</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tcPr>
          <w:p>
            <w:pPr>
              <w:jc w:val="center"/>
              <w:ind w:right="240"/>
              <w:spacing w:after="0" w:line="108" w:lineRule="exact"/>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In Capital</w:t>
            </w: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96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Balance, December 29, 2019</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center"/>
              <w:ind w:left="416"/>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(712.0)</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9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7"/>
              </w:rPr>
              <w:t>Issuance of common stock for employee stock</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9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purchase plan, options and warrants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common stock for cash</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 net of tax</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Balance, June 28, 2020</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14.9</w:t>
            </w:r>
          </w:p>
        </w:tc>
        <w:tc>
          <w:tcPr>
            <w:tcW w:w="40" w:type="dxa"/>
            <w:vAlign w:val="bottom"/>
          </w:tcPr>
          <w:p>
            <w:pPr>
              <w:spacing w:after="0"/>
              <w:rPr>
                <w:sz w:val="15"/>
                <w:szCs w:val="15"/>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122.5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center"/>
              <w:ind w:left="416"/>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(712.9)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7"/>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29"/>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Redeemable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Borders>
              <w:bottom w:val="single" w:sz="8" w:color="auto"/>
            </w:tcBorders>
            <w:gridSpan w:val="7"/>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right w:val="single" w:sz="8" w:color="auto"/>
            </w:tcBorders>
          </w:tcPr>
          <w:p>
            <w:pPr>
              <w:jc w:val="center"/>
              <w:ind w:right="68"/>
              <w:spacing w:after="0" w:line="115" w:lineRule="exact"/>
              <w:rPr>
                <w:sz w:val="20"/>
                <w:szCs w:val="20"/>
                <w:color w:val="auto"/>
              </w:rPr>
            </w:pPr>
            <w:r>
              <w:rPr>
                <w:rFonts w:ascii="Arial" w:cs="Arial" w:eastAsia="Arial" w:hAnsi="Arial"/>
                <w:sz w:val="13"/>
                <w:szCs w:val="13"/>
                <w:b w:val="1"/>
                <w:bCs w:val="1"/>
                <w:color w:val="auto"/>
                <w:w w:val="99"/>
              </w:rPr>
              <w:t>Noncontrolling</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Amounts</w:t>
            </w:r>
          </w:p>
        </w:tc>
        <w:tc>
          <w:tcPr>
            <w:tcW w:w="40" w:type="dxa"/>
            <w:vAlign w:val="bottom"/>
          </w:tcPr>
          <w:p>
            <w:pPr>
              <w:spacing w:after="0"/>
              <w:rPr>
                <w:sz w:val="10"/>
                <w:szCs w:val="10"/>
                <w:color w:val="auto"/>
              </w:rPr>
            </w:pPr>
          </w:p>
        </w:tc>
        <w:tc>
          <w:tcPr>
            <w:tcW w:w="1160" w:type="dxa"/>
            <w:vAlign w:val="bottom"/>
            <w:gridSpan w:val="4"/>
          </w:tcPr>
          <w:p>
            <w:pPr>
              <w:jc w:val="center"/>
              <w:ind w:right="100"/>
              <w:spacing w:after="0" w:line="115" w:lineRule="exact"/>
              <w:rPr>
                <w:sz w:val="20"/>
                <w:szCs w:val="20"/>
                <w:color w:val="auto"/>
              </w:rPr>
            </w:pPr>
            <w:r>
              <w:rPr>
                <w:rFonts w:ascii="Arial" w:cs="Arial" w:eastAsia="Arial" w:hAnsi="Arial"/>
                <w:sz w:val="13"/>
                <w:szCs w:val="13"/>
                <w:b w:val="1"/>
                <w:bCs w:val="1"/>
                <w:color w:val="auto"/>
              </w:rPr>
              <w:t>Additional Paid-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tcPr>
          <w:p>
            <w:pPr>
              <w:jc w:val="center"/>
              <w:ind w:right="220"/>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200"/>
              <w:spacing w:after="0" w:line="115"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In Capital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4"/>
        </w:trPr>
        <w:tc>
          <w:tcPr>
            <w:tcW w:w="3000" w:type="dxa"/>
            <w:vAlign w:val="bottom"/>
            <w:tcBorders>
              <w:top w:val="single" w:sz="8" w:color="CCEEFF"/>
            </w:tcBorders>
            <w:gridSpan w:val="2"/>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Balance, December 27, 2020</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1,556.3</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(632.4)</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925.3</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29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8"/>
              </w:rPr>
              <w:t>Issuance of common stock for employee stock</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3"/>
            <w:vMerge w:val="restart"/>
            <w:shd w:val="clear" w:color="auto" w:fill="CCEEFF"/>
          </w:tcPr>
          <w:p>
            <w:pPr>
              <w:jc w:val="center"/>
              <w:ind w:left="336"/>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2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plan, options and warrants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tcBorders>
              <w:right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Restricted stock issued and related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 (loss)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center"/>
              <w:ind w:left="336"/>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960" w:type="dxa"/>
            <w:vAlign w:val="bottom"/>
          </w:tcPr>
          <w:p>
            <w:pPr>
              <w:ind w:left="100"/>
              <w:spacing w:after="0"/>
              <w:rPr>
                <w:sz w:val="20"/>
                <w:szCs w:val="20"/>
                <w:color w:val="auto"/>
              </w:rPr>
            </w:pPr>
            <w:r>
              <w:rPr>
                <w:rFonts w:ascii="Arial" w:cs="Arial" w:eastAsia="Arial" w:hAnsi="Arial"/>
                <w:sz w:val="14"/>
                <w:szCs w:val="14"/>
                <w:color w:val="auto"/>
              </w:rPr>
              <w:t>Other comprehensive income, net of tax</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right w:val="single" w:sz="8" w:color="auto"/>
            </w:tcBorders>
          </w:tcPr>
          <w:p>
            <w:pPr>
              <w:jc w:val="right"/>
              <w:ind w:right="28"/>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center"/>
              <w:ind w:left="33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27, 2021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(629.4)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6"/>
                <w:szCs w:val="16"/>
                <w:color w:val="auto"/>
              </w:rPr>
            </w:pPr>
          </w:p>
        </w:tc>
      </w:tr>
      <w:tr>
        <w:trPr>
          <w:trHeight w:val="187"/>
        </w:trPr>
        <w:tc>
          <w:tcPr>
            <w:tcW w:w="76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27, 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28, 2020</w:t>
            </w:r>
          </w:p>
        </w:tc>
        <w:tc>
          <w:tcPr>
            <w:tcW w:w="440" w:type="dxa"/>
            <w:vAlign w:val="bottom"/>
            <w:tcBorders>
              <w:bottom w:val="single" w:sz="8" w:color="auto"/>
            </w:tcBorders>
          </w:tcPr>
          <w:p>
            <w:pPr>
              <w:spacing w:after="0"/>
              <w:rPr>
                <w:sz w:val="16"/>
                <w:szCs w:val="16"/>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1320" w:type="dxa"/>
            <w:vAlign w:val="bottom"/>
          </w:tcPr>
          <w:p>
            <w:pPr>
              <w:jc w:val="right"/>
              <w:ind w:right="114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320" w:type="dxa"/>
            <w:vAlign w:val="bottom"/>
          </w:tcPr>
          <w:p>
            <w:pPr>
              <w:jc w:val="right"/>
              <w:ind w:right="114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from discontinued operations</w:t>
            </w:r>
          </w:p>
        </w:tc>
        <w:tc>
          <w:tcPr>
            <w:tcW w:w="13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7"/>
        </w:trPr>
        <w:tc>
          <w:tcPr>
            <w:tcW w:w="7600" w:type="dxa"/>
            <w:vAlign w:val="bottom"/>
          </w:tcPr>
          <w:p>
            <w:pPr>
              <w:ind w:left="140"/>
              <w:spacing w:after="0"/>
              <w:rPr>
                <w:sz w:val="20"/>
                <w:szCs w:val="20"/>
                <w:color w:val="auto"/>
              </w:rPr>
            </w:pPr>
            <w:r>
              <w:rPr>
                <w:rFonts w:ascii="Arial" w:cs="Arial" w:eastAsia="Arial" w:hAnsi="Arial"/>
                <w:sz w:val="16"/>
                <w:szCs w:val="16"/>
                <w:color w:val="auto"/>
              </w:rPr>
              <w:t>Income (loss) from continuing operations</w:t>
            </w:r>
          </w:p>
        </w:tc>
        <w:tc>
          <w:tcPr>
            <w:tcW w:w="1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169"/>
        </w:trPr>
        <w:tc>
          <w:tcPr>
            <w:tcW w:w="76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6"/>
              </w:rPr>
              <w:t>Adjustments to reconcile income (loss) from continuing operations to net cash provided by operating activities</w:t>
            </w: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from continuing operations: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Amortization of lease right-of-use assets</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Amortization of deferred financing costs</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(recovery of) doubtful accounts</w:t>
            </w: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Changes in assets and liabilities, net of acquisitions:</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Accounts receivable</w:t>
            </w: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Unbilled receivables</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Inventoried costs</w:t>
            </w: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Prepaid expenses and other assets</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5"/>
              </w:rPr>
              <w:t>(10.8)</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lease liabilities</w:t>
            </w: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Accrued expenses</w:t>
            </w: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Accrued compensation</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7600" w:type="dxa"/>
            <w:vAlign w:val="bottom"/>
          </w:tcPr>
          <w:p>
            <w:pPr>
              <w:ind w:left="560"/>
              <w:spacing w:after="0"/>
              <w:rPr>
                <w:sz w:val="20"/>
                <w:szCs w:val="20"/>
                <w:color w:val="auto"/>
              </w:rPr>
            </w:pPr>
            <w:r>
              <w:rPr>
                <w:rFonts w:ascii="Arial" w:cs="Arial" w:eastAsia="Arial" w:hAnsi="Arial"/>
                <w:sz w:val="16"/>
                <w:szCs w:val="16"/>
                <w:color w:val="auto"/>
              </w:rPr>
              <w:t>Income tax receivable and payable</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76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liabilities</w:t>
            </w:r>
          </w:p>
        </w:tc>
        <w:tc>
          <w:tcPr>
            <w:tcW w:w="13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7"/>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1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Cash paid for acquisitions, net of cash acquired</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5"/>
              </w:rPr>
              <w:t>(15.5)</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assets</w:t>
            </w:r>
          </w:p>
        </w:tc>
        <w:tc>
          <w:tcPr>
            <w:tcW w:w="13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Capital expenditures</w:t>
            </w: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(20.5)</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(14.1)</w:t>
            </w:r>
          </w:p>
        </w:tc>
      </w:tr>
      <w:tr>
        <w:trPr>
          <w:trHeight w:val="213"/>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(26.7)</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(29.5)</w:t>
            </w: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issuance of common stock, net of issuance costs</w:t>
            </w:r>
          </w:p>
        </w:tc>
        <w:tc>
          <w:tcPr>
            <w:tcW w:w="13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240.5</w:t>
            </w: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Repayment of debt</w:t>
            </w:r>
          </w:p>
        </w:tc>
        <w:tc>
          <w:tcPr>
            <w:tcW w:w="13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under finance leases</w:t>
            </w: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29"/>
        </w:trPr>
        <w:tc>
          <w:tcPr>
            <w:tcW w:w="7600" w:type="dxa"/>
            <w:vAlign w:val="bottom"/>
          </w:tcPr>
          <w:p>
            <w:pPr>
              <w:ind w:left="140"/>
              <w:spacing w:after="0"/>
              <w:rPr>
                <w:sz w:val="20"/>
                <w:szCs w:val="20"/>
                <w:color w:val="auto"/>
              </w:rPr>
            </w:pPr>
            <w:r>
              <w:rPr>
                <w:rFonts w:ascii="Arial" w:cs="Arial" w:eastAsia="Arial" w:hAnsi="Arial"/>
                <w:sz w:val="16"/>
                <w:szCs w:val="16"/>
                <w:color w:val="auto"/>
              </w:rPr>
              <w:t>Payments of employee taxes withheld from share-based awards</w:t>
            </w:r>
          </w:p>
        </w:tc>
        <w:tc>
          <w:tcPr>
            <w:tcW w:w="1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shares issued under equity plans</w:t>
            </w: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6"/>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(used in) financing activities from continuing operations</w:t>
            </w:r>
          </w:p>
        </w:tc>
        <w:tc>
          <w:tcPr>
            <w:tcW w:w="1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241.5</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(11.1)</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222.8</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operating cash flows of discontinued operations</w:t>
            </w: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3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5"/>
              </w:rPr>
              <w:t>(12.2)</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224.6</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381.5</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172.6</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320" w:type="dxa"/>
            <w:vAlign w:val="bottom"/>
            <w:tcBorders>
              <w:bottom w:val="single" w:sz="8" w:color="auto"/>
            </w:tcBorders>
          </w:tcPr>
          <w:p>
            <w:pPr>
              <w:jc w:val="right"/>
              <w:ind w:right="114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369.3</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114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397.2</w:t>
            </w:r>
          </w:p>
        </w:tc>
      </w:tr>
      <w:tr>
        <w:trPr>
          <w:trHeight w:val="20"/>
        </w:trPr>
        <w:tc>
          <w:tcPr>
            <w:tcW w:w="76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56" w:lineRule="exact"/>
        <w:rPr>
          <w:sz w:val="20"/>
          <w:szCs w:val="20"/>
          <w:color w:val="auto"/>
        </w:rPr>
      </w:pPr>
    </w:p>
    <w:p>
      <w:pPr>
        <w:ind w:firstLine="690"/>
        <w:spacing w:after="0" w:line="269" w:lineRule="auto"/>
        <w:rPr>
          <w:sz w:val="20"/>
          <w:szCs w:val="20"/>
          <w:color w:val="auto"/>
        </w:rPr>
      </w:pPr>
      <w:r>
        <w:rPr>
          <w:rFonts w:ascii="Arial" w:cs="Arial" w:eastAsia="Arial" w:hAnsi="Arial"/>
          <w:sz w:val="17"/>
          <w:szCs w:val="17"/>
          <w:color w:val="auto"/>
        </w:rPr>
        <w:t>The information as of June 27, 2021 and for the three and six months ended June 27, 2021 and June 28, 2020 is unaudited. The condensed consolidated balance sheet as of December 27, 2020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27, 2020, included in the Company’s Annual Report on Form 10-K filed with the U.S. Securities and Exchange Commission (the “SEC”) on February 25, 2021 (the “Form 10-K”). Interim operating results are not necessarily indicative of operating results expected in subsequent periods or for the year as a whole.</w:t>
      </w:r>
    </w:p>
    <w:p>
      <w:pPr>
        <w:spacing w:after="0" w:line="2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Principles of Consolidation</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condensed consolidated financial statements include the accounts of the Company, its 100% owned subsidiaries and its majority owned subsidiaries, FTT Inc. and FTT Core (each as defined below), each of which is 80.1% owned. All inter-company transactions have been eliminated in consolidation. Noncontrolling interest consists of the remaining 19.9% interest in FTT Inc. and FTT Core. See Note 12 for further information related to the redeemable noncontrolling interest.</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Company has a 52/53 week fiscal year ending on the last Sunday of the calendar year. The three month periods ended June 27, 2021 and June 28, 2020 consisted of 13-week periods. The six month periods ended June 27, 2021 and June 28, 2020 consisted of 26-week periods. There are 52 calendar weeks in the fiscal years ending on December 26, 2021 and December 27, 2020.</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5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six months ended June 27, 2021 as compared to the accounting estimates described in the Form 10-K.</w:t>
      </w:r>
    </w:p>
    <w:p>
      <w:pPr>
        <w:spacing w:after="0" w:line="19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43" w:lineRule="exact"/>
        <w:rPr>
          <w:sz w:val="20"/>
          <w:szCs w:val="20"/>
          <w:color w:val="auto"/>
        </w:rPr>
      </w:pPr>
    </w:p>
    <w:p>
      <w:pPr>
        <w:ind w:right="20" w:firstLine="648"/>
        <w:spacing w:after="0" w:line="242" w:lineRule="auto"/>
        <w:rPr>
          <w:sz w:val="20"/>
          <w:szCs w:val="20"/>
          <w:color w:val="auto"/>
        </w:rPr>
      </w:pPr>
      <w:r>
        <w:rPr>
          <w:rFonts w:ascii="Arial" w:cs="Arial" w:eastAsia="Arial" w:hAnsi="Arial"/>
          <w:sz w:val="17"/>
          <w:szCs w:val="17"/>
          <w:color w:val="auto"/>
        </w:rPr>
        <w:t xml:space="preserve">In December 2019, the Financial Accounting Standards Board (“FASB”) issued ASU No. 2019-12 (“ASU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ASU 2019-12, in an effort to reduce the complexity in accounting for income taxes, removes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exceptions for measuring intraperiod tax allocations, foreign subsidiary equity method investments and interim period tax losses. ASU 2019-12 is effective for fiscal years beginning after December 15, 2020. The Company adopted ASU 2019-12 effective December 28, 2020. The implementation of this guidance did not have a material effect on its unaudited condensed consolidated financial statements.</w:t>
      </w:r>
    </w:p>
    <w:p>
      <w:pPr>
        <w:spacing w:after="0" w:line="21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June 27, 2021 and December 27, 2020 are presented in Note 10. The carrying value of all other financial instruments, including cash equivalents, accounts receivable, unbilled receivables, accounts payable,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accrued expenses, billings in excess of cost and earnings on uncompleted contracts, income taxes payable and short-term debt, approximated their estimated fair values at June 27, 2021 and December 27, 2020 due to the short-term nature of these instruments.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Directions, Inc.</w:t>
      </w:r>
    </w:p>
    <w:p>
      <w:pPr>
        <w:spacing w:after="0" w:line="25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6"/>
          <w:szCs w:val="16"/>
          <w:color w:val="auto"/>
        </w:rPr>
        <w:t>On February 24, 2020, the Company acquired Technical Directions, Inc. (“TDI”), a turbine technology company focused on tactical unmanned aerial drones, missile and other systems for approximately $10.5 million in cash, subject to adjustments for transaction expenses, indebtedness, cash on</w:t>
      </w:r>
    </w:p>
    <w:p>
      <w:pPr>
        <w:spacing w:after="0" w:line="245" w:lineRule="auto"/>
        <w:rPr>
          <w:sz w:val="20"/>
          <w:szCs w:val="20"/>
          <w:color w:val="auto"/>
        </w:rPr>
      </w:pPr>
      <w:r>
        <w:rPr>
          <w:rFonts w:ascii="Arial" w:cs="Arial" w:eastAsia="Arial" w:hAnsi="Arial"/>
          <w:sz w:val="18"/>
          <w:szCs w:val="18"/>
          <w:color w:val="auto"/>
        </w:rPr>
        <w:t>hand, and post-closing working capital adjustments. Working capital adjustments of $0.3 million were settled in the third quarter of 2020. The operating results of the acquisition have been included in the Company’s results of operations from the effective acquisition date. Had the acquisition occurred as of December 30, 2019, net sales, net loss from consolidated operations, net loss attributable to Kratos, and basic and diluted net loss per share attributable to Kratos on a pro forma basis for the six months ended June 28, 2020 would not have been materially different than the reported amounts. TDI is included in the Kratos Unmanned Systems (“US”)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Optimized Performance Machining, Inc.</w:t>
      </w:r>
    </w:p>
    <w:p>
      <w:pPr>
        <w:spacing w:after="0" w:line="239" w:lineRule="exact"/>
        <w:rPr>
          <w:sz w:val="20"/>
          <w:szCs w:val="20"/>
          <w:color w:val="auto"/>
        </w:rPr>
      </w:pPr>
    </w:p>
    <w:p>
      <w:pPr>
        <w:ind w:right="100" w:firstLine="648"/>
        <w:spacing w:after="0" w:line="282" w:lineRule="auto"/>
        <w:rPr>
          <w:sz w:val="20"/>
          <w:szCs w:val="20"/>
          <w:color w:val="auto"/>
        </w:rPr>
      </w:pPr>
      <w:r>
        <w:rPr>
          <w:rFonts w:ascii="Arial" w:cs="Arial" w:eastAsia="Arial" w:hAnsi="Arial"/>
          <w:sz w:val="16"/>
          <w:szCs w:val="16"/>
          <w:color w:val="auto"/>
        </w:rPr>
        <w:t>On April 17, 2020, the Company acquired Optimized Performance Machining, Inc. (“OPM”), a company that primarily operates in the industrial machinery and equipment repair business industry for approximately $1.8 million in cash, subject to adjustments for transaction expenses, indebtedness,</w:t>
      </w:r>
    </w:p>
    <w:p>
      <w:pPr>
        <w:ind w:right="100"/>
        <w:spacing w:after="0" w:line="245" w:lineRule="auto"/>
        <w:rPr>
          <w:sz w:val="20"/>
          <w:szCs w:val="20"/>
          <w:color w:val="auto"/>
        </w:rPr>
      </w:pPr>
      <w:r>
        <w:rPr>
          <w:rFonts w:ascii="Arial" w:cs="Arial" w:eastAsia="Arial" w:hAnsi="Arial"/>
          <w:sz w:val="18"/>
          <w:szCs w:val="18"/>
          <w:color w:val="auto"/>
        </w:rPr>
        <w:t>cash on hand, and post-closing working capital adjustments. Working capital adjustments of $0.03 million were settled in the third quarter of 2020. The operating results of the acquisition have been included in the Company’s results of operations from the effective acquisition date. Had the acquisition occurred as of December 30, 2019, net sales, net loss from consolidated operations, net loss attributable to Kratos, and basic and diluted net loss per share attributable to Kratos on a pro forma basis for the six months ended June 28, 2020 would not have been materially different than the reported amounts. OPM is included in the Kratos US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CPI ASC Signal Division, Inc.</w:t>
      </w:r>
    </w:p>
    <w:p>
      <w:pPr>
        <w:spacing w:after="0" w:line="239"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On June 15, 2020, Kratos Integral Holdings, LLC entered into a Stock Purchase Agreement to acquire CPI ASC Signal Division, Inc. (“ASC Signal”) from Communications &amp; Power Industries LLC for approximately $35 million in cash, subject to adjustments for transaction expenses, indebtedness, cash on hand, and working capital adjustments. ASC Signal is a manufacturer of high-performance, highly engineered antenna systems for satellite communications, radar, electronic warfare, and high frequency applications. On June 30, 2020, the acquisition was completed following the satisfaction of all closing conditions, including receipt of regulatory approval from all required government authorities. The adjustments for transaction expenses, indebtedness, cash on hand and working capital were settled by the parties in January 2021, resulting in a net payment due to the Company of approximately $1.4 million. ASC Signal is included in the Kratos Space, Training and Cyber, (“KSTC”) Division of the Kratos Government Solutions (“KGS”) segment.</w:t>
      </w:r>
    </w:p>
    <w:p>
      <w:pPr>
        <w:spacing w:after="0" w:line="21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goodwill represents the value the Company expects to be created by integrating ASC Signal’s existing business with Kratos’ related products and customers.</w:t>
      </w:r>
    </w:p>
    <w:p>
      <w:pPr>
        <w:spacing w:after="0" w:line="21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the liabilities assumed be recognized at their fair values as of the acquisition date. The fair value measurements are based primarily on significant inputs not observable in the marketplace and thus represent Level 3</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measurements. The following table summarizes the allocation of the purchase price over the estimated fair values of the major assets acquired and liabilities assumed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9720" w:type="dxa"/>
            <w:vAlign w:val="bottom"/>
          </w:tcPr>
          <w:p>
            <w:pPr>
              <w:ind w:left="120"/>
              <w:spacing w:after="0"/>
              <w:rPr>
                <w:sz w:val="20"/>
                <w:szCs w:val="20"/>
                <w:color w:val="auto"/>
              </w:rPr>
            </w:pPr>
            <w:r>
              <w:rPr>
                <w:rFonts w:ascii="Arial" w:cs="Arial" w:eastAsia="Arial" w:hAnsi="Arial"/>
                <w:sz w:val="18"/>
                <w:szCs w:val="18"/>
                <w:color w:val="auto"/>
              </w:rPr>
              <w:t>Total identifiable net assets acquired</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9720" w:type="dxa"/>
            <w:vAlign w:val="bottom"/>
          </w:tcPr>
          <w:p>
            <w:pPr>
              <w:ind w:left="20"/>
              <w:spacing w:after="0"/>
              <w:rPr>
                <w:sz w:val="20"/>
                <w:szCs w:val="20"/>
                <w:color w:val="auto"/>
              </w:rPr>
            </w:pPr>
            <w:r>
              <w:rPr>
                <w:rFonts w:ascii="Arial" w:cs="Arial" w:eastAsia="Arial" w:hAnsi="Arial"/>
                <w:sz w:val="18"/>
                <w:szCs w:val="18"/>
                <w:color w:val="auto"/>
              </w:rPr>
              <w:t>Net assets acquired, excluding cash</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1"/>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Based on the Company’s estimate of fair value, as of June 30, 2020, net liabilities included $9.1 million of current liabilities. The identifiable intangible assets include trade names of $0.1 million with a remaining useful life of 1 year, customer relationships of $2.0 million with remaining useful lives of 5 years, and developed technology of $2.2 million with a remaining useful life of 7 years. The Company also established a deferred tax liability of $1.1 million for the difference between the financial statement basis and tax basis of the acquired assets of ASC Signal and a corresponding increase in goodwill. The goodwill recorded in this transaction is not expected to be tax-deductible.</w:t>
      </w:r>
    </w:p>
    <w:p>
      <w:pPr>
        <w:spacing w:after="0" w:line="20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amounts of revenue and operating income of ASC Signal included in the Company's condensed consolidated statement of operations for the six months ended June 27, 2021 were $20.4 million and $0.7 million,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660"/>
              <w:spacing w:after="0"/>
              <w:rPr>
                <w:sz w:val="20"/>
                <w:szCs w:val="20"/>
                <w:color w:val="auto"/>
              </w:rPr>
            </w:pPr>
            <w:r>
              <w:rPr>
                <w:rFonts w:ascii="Arial" w:cs="Arial" w:eastAsia="Arial" w:hAnsi="Arial"/>
                <w:sz w:val="18"/>
                <w:szCs w:val="18"/>
                <w:color w:val="auto"/>
              </w:rPr>
              <w:t>A summary of the consideration paid for the acquired ownership in ASC Signal is as follows:</w:t>
            </w: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08"/>
        </w:trPr>
        <w:tc>
          <w:tcPr>
            <w:tcW w:w="9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34.9</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acquired</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7"/>
              </w:rPr>
              <w:t>(2.0)</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32.9</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 Forma Financial Information</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tables summarize the supplemental condensed consolidated statements of operations information on an unaudited pro forma basis as if the acquisition of ASC Signal occurred on December 30, 2019 and include adjustments that were directly attributable to the foregoing transaction. There are no material, nonrecurring pro forma adjustments directly attributable to the business combination included in the reported pro forma revenues and loss.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rPr>
              <w:t>For the six months ended June 28, 2020 (all amounts, except per share amounts, are in millions):</w:t>
            </w:r>
          </w:p>
        </w:tc>
        <w:tc>
          <w:tcPr>
            <w:tcW w:w="16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21"/>
        </w:trPr>
        <w:tc>
          <w:tcPr>
            <w:tcW w:w="86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revenues</w:t>
            </w:r>
          </w:p>
        </w:tc>
        <w:tc>
          <w:tcPr>
            <w:tcW w:w="1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Pro forma net loss before tax</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w:t>
            </w:r>
          </w:p>
        </w:tc>
        <w:tc>
          <w:tcPr>
            <w:tcW w:w="1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Pro forma net loss attributable to Kratos</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86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Basic pro forma loss per share attributable to Kratos</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pro forma loss per share attributable to Kratos</w:t>
            </w:r>
          </w:p>
        </w:tc>
        <w:tc>
          <w:tcPr>
            <w:tcW w:w="1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i w:val="1"/>
          <w:iCs w:val="1"/>
          <w:color w:val="auto"/>
        </w:rPr>
        <w:t>-D Systems, Inc.</w:t>
      </w:r>
    </w:p>
    <w:p>
      <w:pPr>
        <w:spacing w:after="0" w:line="256"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On November 18, 2020, the Company acquired 5-D Systems, Inc. (“5-D Systems”), a leading National Security Solutions provider and industry-leading provider of high-performance, jet-powered unmanned aerial systems for an aggregate of approximately $10.0 million. The purchase price was $5.0 million in cash, subject to adjustments for transaction expenses, indebtedness, cash on hand, and post-closing working capital adjustments, and 250,374 shares of common stock (with a value of approximately $5.0 million).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Had the acquisition occurred as of December 30, 2019, net sales, net loss from consolidated operations, net loss attributable to Kratos, and basic and diluted net loss per share attributable to Kratos on a pro forma basis for six months ended June 28, 2020 would not have been materially different than the reported amounts. 5-D Systems is included in the Kratos US segment.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Effective January 1, 2018, the Company adopted the FASB ASU 2014-09, Revenue from Contracts with Customers, and the related amendments, which are codified into Accounting Standards Codification (“ASC”) 606 (“ASC 606”).</w:t>
      </w:r>
    </w:p>
    <w:p>
      <w:pPr>
        <w:spacing w:after="0" w:line="19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2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 the majority of contracts, the Company satisfies the underlying performance obligations over time as the customer obtains control or receives benefits as work is performed on the contract. As a result, under ASC 606 revenue is recognized over a time using the cost-to-cost method (cost incurred relative to total estimated cost at completion).</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The Company calculates revenues from remaining performance obligations as the dollar value of the remaining performance obligations on executed contracts. On June 27, 2021, the Company had approximately $865.6 million of remaining performance obligations. The Company expects to recognize approximately 39% of the remaining performance obligations as revenue in 2021, an additional 27% in 2022, and the balance thereafter.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0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1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three and six-month periods ended June 27, 2021, and June 28, 2020. Likewise, total cumulative catch-up adjustments were not material for the three and six-month periods ended June 27, 2021, and June 28, 2020.</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financing component as the underlying advance payments received are generally utilized to pay for contract costs within a one-year period or are used to ensure the customer meets contractual requirements.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and liabilities are as follows (in millions):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27, 2021</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27, 2020</w:t>
            </w:r>
          </w:p>
        </w:tc>
        <w:tc>
          <w:tcPr>
            <w:tcW w:w="1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b w:val="1"/>
                <w:bCs w:val="1"/>
                <w:color w:val="auto"/>
              </w:rPr>
              <w:t>Net Change</w:t>
            </w:r>
          </w:p>
        </w:tc>
      </w:tr>
      <w:tr>
        <w:trPr>
          <w:trHeight w:val="226"/>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center"/>
              <w:ind w:left="592"/>
              <w:spacing w:after="0"/>
              <w:rPr>
                <w:sz w:val="20"/>
                <w:szCs w:val="20"/>
                <w:color w:val="auto"/>
              </w:rPr>
            </w:pPr>
            <w:r>
              <w:rPr>
                <w:rFonts w:ascii="Arial" w:cs="Arial" w:eastAsia="Arial" w:hAnsi="Arial"/>
                <w:sz w:val="18"/>
                <w:szCs w:val="18"/>
                <w:color w:val="auto"/>
                <w:w w:val="87"/>
              </w:rPr>
              <w:t>8.0</w:t>
            </w:r>
          </w:p>
        </w:tc>
      </w:tr>
      <w:tr>
        <w:trPr>
          <w:trHeight w:val="223"/>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liabilities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592"/>
              <w:spacing w:after="0"/>
              <w:rPr>
                <w:sz w:val="20"/>
                <w:szCs w:val="20"/>
                <w:color w:val="auto"/>
              </w:rPr>
            </w:pPr>
            <w:r>
              <w:rPr>
                <w:rFonts w:ascii="Arial" w:cs="Arial" w:eastAsia="Arial" w:hAnsi="Arial"/>
                <w:sz w:val="18"/>
                <w:szCs w:val="18"/>
                <w:color w:val="auto"/>
                <w:w w:val="87"/>
              </w:rPr>
              <w:t>9.5</w:t>
            </w:r>
          </w:p>
        </w:tc>
      </w:tr>
      <w:tr>
        <w:trPr>
          <w:trHeight w:val="248"/>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572"/>
              <w:spacing w:after="0"/>
              <w:rPr>
                <w:sz w:val="20"/>
                <w:szCs w:val="20"/>
                <w:color w:val="auto"/>
              </w:rPr>
            </w:pPr>
            <w:r>
              <w:rPr>
                <w:rFonts w:ascii="Arial" w:cs="Arial" w:eastAsia="Arial" w:hAnsi="Arial"/>
                <w:sz w:val="18"/>
                <w:szCs w:val="18"/>
                <w:color w:val="auto"/>
                <w:w w:val="97"/>
              </w:rPr>
              <w:t>(1.5)</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Contract assets increased $8.0 million during the six months ended June 27, 2021, primarily due to the recognition of revenue related to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satisfaction or partial satisfaction of performance obligations for which the Company has not yet billed the customers. There were no significant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impairment losses related to any receivables or contract assets arising from the Company’s contracts with customers during the six months ended June 27,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2021. Contract liabilities increased $9.5 million during the six months ended June 27, 2021, primarily due to payments received in excess of revenue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recognized on these performance obligations. For the three and six months ended June 27, 2021 the Company recognized revenue of $5.9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$22.9 million, respectively, that was previously included in the contract liabilities that existed at December 27, 2020. For the three and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28, 2020 the Company recognized revenue of $5.7 million and $20.0 million, respectively, that was previously included in the contract liabilities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existed at December 29, 2019.</w:t>
      </w:r>
    </w:p>
    <w:p>
      <w:pPr>
        <w:spacing w:after="0" w:line="23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 June 27, 2021, approximately $11.5 million in unbilled receivables remained outstanding on this project. In addition, the Company is currently in dispute with an international customer in the US segment over approximately $10.0 million in unbilled receivables outstanding as of June 27, 2021. The dispute with the international customer concerns the completion of certain system requirements and certain contractual milestones. The Company alleges breach of contract, as well as other claims against the customer, and seeks damages and other equitable relief. The customer has asserted counterclaims seeking liquidated damages and additional relief. Management has evaluated the present facts of the matters and performed a reassessment of the contractual amounts due and has determined that no adjustment to previously recognized revenue, or the corresponding unbilled receivables, is necessary at June 27, 2021.</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series of tables presents the Company’s revenue disaggregated by several categories. For the majority of contracts, revenue is recognized over time as work is performed on the contract. Revenue by contract type was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June 27, 2021</w:t>
            </w:r>
          </w:p>
        </w:tc>
        <w:tc>
          <w:tcPr>
            <w:tcW w:w="40" w:type="dxa"/>
            <w:vAlign w:val="bottom"/>
          </w:tcPr>
          <w:p>
            <w:pPr>
              <w:spacing w:after="0"/>
              <w:rPr>
                <w:sz w:val="16"/>
                <w:szCs w:val="16"/>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June 28, 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27, 2021</w:t>
            </w: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June 28, 2020</w:t>
            </w:r>
          </w:p>
        </w:tc>
        <w:tc>
          <w:tcPr>
            <w:tcW w:w="0" w:type="dxa"/>
            <w:vAlign w:val="bottom"/>
          </w:tcPr>
          <w:p>
            <w:pPr>
              <w:spacing w:after="0"/>
              <w:rPr>
                <w:sz w:val="1"/>
                <w:szCs w:val="1"/>
                <w:color w:val="auto"/>
              </w:rPr>
            </w:pPr>
          </w:p>
        </w:tc>
      </w:tr>
      <w:tr>
        <w:trPr>
          <w:trHeight w:val="211"/>
        </w:trPr>
        <w:tc>
          <w:tcPr>
            <w:tcW w:w="65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Kratos Government Solutions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80"/>
              <w:spacing w:after="0"/>
              <w:rPr>
                <w:sz w:val="20"/>
                <w:szCs w:val="20"/>
                <w:color w:val="auto"/>
              </w:rPr>
            </w:pPr>
            <w:r>
              <w:rPr>
                <w:rFonts w:ascii="Arial" w:cs="Arial" w:eastAsia="Arial" w:hAnsi="Arial"/>
                <w:sz w:val="18"/>
                <w:szCs w:val="18"/>
                <w:color w:val="auto"/>
              </w:rPr>
              <w:t>Fixed price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422"/>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plus fee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Time and materials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30"/>
        </w:trPr>
        <w:tc>
          <w:tcPr>
            <w:tcW w:w="6520" w:type="dxa"/>
            <w:vAlign w:val="bottom"/>
          </w:tcPr>
          <w:p>
            <w:pPr>
              <w:ind w:left="100"/>
              <w:spacing w:after="0"/>
              <w:rPr>
                <w:sz w:val="20"/>
                <w:szCs w:val="20"/>
                <w:color w:val="auto"/>
              </w:rPr>
            </w:pPr>
            <w:r>
              <w:rPr>
                <w:rFonts w:ascii="Arial" w:cs="Arial" w:eastAsia="Arial" w:hAnsi="Arial"/>
                <w:sz w:val="18"/>
                <w:szCs w:val="18"/>
                <w:color w:val="auto"/>
              </w:rPr>
              <w:t>Unmanned Systems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price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9"/>
        </w:trPr>
        <w:tc>
          <w:tcPr>
            <w:tcW w:w="6520" w:type="dxa"/>
            <w:vAlign w:val="bottom"/>
          </w:tcPr>
          <w:p>
            <w:pPr>
              <w:ind w:left="180"/>
              <w:spacing w:after="0"/>
              <w:rPr>
                <w:sz w:val="20"/>
                <w:szCs w:val="20"/>
                <w:color w:val="auto"/>
              </w:rPr>
            </w:pPr>
            <w:r>
              <w:rPr>
                <w:rFonts w:ascii="Arial" w:cs="Arial" w:eastAsia="Arial" w:hAnsi="Arial"/>
                <w:sz w:val="18"/>
                <w:szCs w:val="18"/>
                <w:color w:val="auto"/>
              </w:rPr>
              <w:t>Cost plus fee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and materials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Unmanned Systems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ind w:right="42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Revenue by customer was as follows (in millions):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6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27, 2021</w:t>
            </w:r>
          </w:p>
        </w:tc>
        <w:tc>
          <w:tcPr>
            <w:tcW w:w="40" w:type="dxa"/>
            <w:vAlign w:val="bottom"/>
          </w:tcPr>
          <w:p>
            <w:pPr>
              <w:spacing w:after="0"/>
              <w:rPr>
                <w:sz w:val="16"/>
                <w:szCs w:val="16"/>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June 28, 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27, 2021</w:t>
            </w:r>
          </w:p>
        </w:tc>
        <w:tc>
          <w:tcPr>
            <w:tcW w:w="120" w:type="dxa"/>
            <w:vAlign w:val="bottom"/>
          </w:tcPr>
          <w:p>
            <w:pPr>
              <w:spacing w:after="0"/>
              <w:rPr>
                <w:sz w:val="16"/>
                <w:szCs w:val="16"/>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June 28, 2020</w:t>
            </w:r>
          </w:p>
        </w:tc>
        <w:tc>
          <w:tcPr>
            <w:tcW w:w="0" w:type="dxa"/>
            <w:vAlign w:val="bottom"/>
          </w:tcPr>
          <w:p>
            <w:pPr>
              <w:spacing w:after="0"/>
              <w:rPr>
                <w:sz w:val="1"/>
                <w:szCs w:val="1"/>
                <w:color w:val="auto"/>
              </w:rPr>
            </w:pPr>
          </w:p>
        </w:tc>
      </w:tr>
      <w:tr>
        <w:trPr>
          <w:trHeight w:val="211"/>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38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Commercial and other customers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128.4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0"/>
        </w:trPr>
        <w:tc>
          <w:tcPr>
            <w:tcW w:w="65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Commercial and other customers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Unmanned Systems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2100" w:firstLine="8"/>
        <w:spacing w:after="0" w:line="332" w:lineRule="auto"/>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73" w:lineRule="exact"/>
        <w:rPr>
          <w:rFonts w:ascii="Arial" w:cs="Arial" w:eastAsia="Arial" w:hAnsi="Arial"/>
          <w:sz w:val="16"/>
          <w:szCs w:val="16"/>
          <w:color w:val="auto"/>
          <w:vertAlign w:val="superscript"/>
        </w:rPr>
      </w:pPr>
    </w:p>
    <w:p>
      <w:pPr>
        <w:ind w:right="2040" w:firstLine="8"/>
        <w:spacing w:after="0" w:line="302" w:lineRule="auto"/>
        <w:tabs>
          <w:tab w:leader="none" w:pos="15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5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On February 28, 2018, the Company entered into a Stock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closing net working capital adjustment (the “Transaction”). To date, the Company has received approximately $70 million of aggregate net cash proceeds from the Transaction, after taking into account amounts that were paid by the Company pursuant to a negotiated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transaction services agreement between the Company and the Buyer, receipt of approximately $6.9 million in net working capital retained by the Company, and associated transaction fees and expenses, excluding the impact of the final settlement and determination of the closing net working capital adjustment. The Company and the Buyer are currently in a dispute regarding the closing net working capital adjustment. The amount in dispute is approximately</w:t>
      </w:r>
    </w:p>
    <w:p>
      <w:pPr>
        <w:spacing w:after="0" w:line="2"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$8 million. The Company has recorded a net break-even on the sale of the PSS business which includes the aggregate net proceeds described above that have been collected, excluding the impact of the final settlement and determination of the closing net working capital adjustment. The resolution of the ongoing dispute will be recorded in future periods when resolved.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carrying amounts of goodwill as of June 27, 2021 and December 27, 2020 by reportable segment are as follows (in millions):</w:t>
      </w:r>
    </w:p>
    <w:p>
      <w:pPr>
        <w:spacing w:after="0" w:line="145" w:lineRule="exact"/>
        <w:rPr>
          <w:sz w:val="20"/>
          <w:szCs w:val="20"/>
          <w:color w:val="auto"/>
        </w:rPr>
      </w:pPr>
    </w:p>
    <w:p>
      <w:pPr>
        <w:ind w:left="8900"/>
        <w:spacing w:after="0"/>
        <w:rPr>
          <w:sz w:val="20"/>
          <w:szCs w:val="20"/>
          <w:color w:val="auto"/>
        </w:rPr>
      </w:pPr>
      <w:r>
        <w:rPr>
          <w:rFonts w:ascii="Arial" w:cs="Arial" w:eastAsia="Arial" w:hAnsi="Arial"/>
          <w:sz w:val="16"/>
          <w:szCs w:val="16"/>
          <w:b w:val="1"/>
          <w:bCs w:val="1"/>
          <w:color w:val="auto"/>
        </w:rPr>
        <w:t>As of June 27,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KGS</w:t>
            </w: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US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Total</w:t>
            </w:r>
          </w:p>
        </w:tc>
      </w:tr>
      <w:tr>
        <w:trPr>
          <w:trHeight w:val="224"/>
        </w:trPr>
        <w:tc>
          <w:tcPr>
            <w:tcW w:w="7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value</w:t>
            </w: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737.0</w:t>
            </w:r>
          </w:p>
        </w:tc>
      </w:tr>
      <w:tr>
        <w:trPr>
          <w:trHeight w:val="229"/>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impairment</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4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565"/>
        </w:trPr>
        <w:tc>
          <w:tcPr>
            <w:tcW w:w="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0"/>
          </w:tcPr>
          <w:p>
            <w:pPr>
              <w:jc w:val="right"/>
              <w:spacing w:after="0"/>
              <w:rPr>
                <w:sz w:val="20"/>
                <w:szCs w:val="20"/>
                <w:color w:val="auto"/>
              </w:rPr>
            </w:pPr>
            <w:r>
              <w:rPr>
                <w:rFonts w:ascii="Arial" w:cs="Arial" w:eastAsia="Arial" w:hAnsi="Arial"/>
                <w:sz w:val="16"/>
                <w:szCs w:val="16"/>
                <w:b w:val="1"/>
                <w:bCs w:val="1"/>
                <w:color w:val="auto"/>
              </w:rPr>
              <w:t>As of December 27, 2020</w:t>
            </w:r>
          </w:p>
        </w:tc>
        <w:tc>
          <w:tcPr>
            <w:tcW w:w="720" w:type="dxa"/>
            <w:vAlign w:val="bottom"/>
            <w:tcBorders>
              <w:bottom w:val="single" w:sz="8" w:color="auto"/>
            </w:tcBorders>
          </w:tcPr>
          <w:p>
            <w:pPr>
              <w:spacing w:after="0"/>
              <w:rPr>
                <w:sz w:val="24"/>
                <w:szCs w:val="24"/>
                <w:color w:val="auto"/>
              </w:rPr>
            </w:pPr>
          </w:p>
        </w:tc>
      </w:tr>
      <w:tr>
        <w:trPr>
          <w:trHeight w:val="184"/>
        </w:trPr>
        <w:tc>
          <w:tcPr>
            <w:tcW w:w="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rPr>
              <w:t>KGS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w:t>
            </w:r>
          </w:p>
        </w:tc>
      </w:tr>
      <w:tr>
        <w:trPr>
          <w:trHeight w:val="224"/>
        </w:trPr>
        <w:tc>
          <w:tcPr>
            <w:tcW w:w="40" w:type="dxa"/>
            <w:vAlign w:val="bottom"/>
          </w:tcPr>
          <w:p>
            <w:pPr>
              <w:spacing w:after="0"/>
              <w:rPr>
                <w:sz w:val="19"/>
                <w:szCs w:val="19"/>
                <w:color w:val="auto"/>
              </w:rPr>
            </w:pPr>
          </w:p>
        </w:tc>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value</w:t>
            </w: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r>
      <w:tr>
        <w:trPr>
          <w:trHeight w:val="229"/>
        </w:trPr>
        <w:tc>
          <w:tcPr>
            <w:tcW w:w="40" w:type="dxa"/>
            <w:vAlign w:val="bottom"/>
          </w:tcPr>
          <w:p>
            <w:pPr>
              <w:spacing w:after="0"/>
              <w:rPr>
                <w:sz w:val="19"/>
                <w:szCs w:val="19"/>
                <w:color w:val="auto"/>
              </w:rPr>
            </w:pPr>
          </w:p>
        </w:tc>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impairment</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w:t>
            </w:r>
          </w:p>
        </w:tc>
      </w:tr>
      <w:tr>
        <w:trPr>
          <w:trHeight w:val="248"/>
        </w:trPr>
        <w:tc>
          <w:tcPr>
            <w:tcW w:w="4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483.9</w:t>
            </w:r>
          </w:p>
        </w:tc>
      </w:tr>
      <w:tr>
        <w:trPr>
          <w:trHeight w:val="20"/>
        </w:trPr>
        <w:tc>
          <w:tcPr>
            <w:tcW w:w="4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As of June 27, 2021</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0"/>
              </w:rPr>
              <w:t>As of December 27, 2020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1"/>
                <w:szCs w:val="11"/>
                <w:color w:val="auto"/>
              </w:rPr>
            </w:pPr>
          </w:p>
        </w:tc>
        <w:tc>
          <w:tcPr>
            <w:tcW w:w="920" w:type="dxa"/>
            <w:vAlign w:val="bottom"/>
          </w:tcPr>
          <w:p>
            <w:pPr>
              <w:jc w:val="center"/>
              <w:ind w:right="174"/>
              <w:spacing w:after="0" w:line="13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274"/>
              <w:spacing w:after="0" w:line="135"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1"/>
                <w:szCs w:val="11"/>
                <w:color w:val="auto"/>
              </w:rPr>
            </w:pPr>
          </w:p>
        </w:tc>
        <w:tc>
          <w:tcPr>
            <w:tcW w:w="920" w:type="dxa"/>
            <w:vAlign w:val="bottom"/>
          </w:tcPr>
          <w:p>
            <w:pPr>
              <w:jc w:val="right"/>
              <w:ind w:right="394"/>
              <w:spacing w:after="0" w:line="13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860" w:type="dxa"/>
            <w:vAlign w:val="bottom"/>
          </w:tcPr>
          <w:p>
            <w:pPr>
              <w:jc w:val="right"/>
              <w:ind w:right="27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 and backlog</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5"/>
        </w:trPr>
        <w:tc>
          <w:tcPr>
            <w:tcW w:w="3460" w:type="dxa"/>
            <w:vAlign w:val="bottom"/>
          </w:tcPr>
          <w:p>
            <w:pPr>
              <w:ind w:left="140"/>
              <w:spacing w:after="0" w:line="176" w:lineRule="exact"/>
              <w:rPr>
                <w:sz w:val="20"/>
                <w:szCs w:val="20"/>
                <w:color w:val="auto"/>
              </w:rPr>
            </w:pPr>
            <w:r>
              <w:rPr>
                <w:rFonts w:ascii="Arial" w:cs="Arial" w:eastAsia="Arial" w:hAnsi="Arial"/>
                <w:sz w:val="18"/>
                <w:szCs w:val="18"/>
                <w:color w:val="auto"/>
                <w:w w:val="96"/>
              </w:rPr>
              <w:t>Developed technology and technical know-</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how</w:t>
            </w: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Indefinite-lived trade names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Consolidated amortization expense related to intangible assets subject to amortization was $1.2 million and $1.8 million for the three months ended June 27, 2021 and June 28, 2020, respectively, and $2.6 million and $3.7 million for the six months ended June 27, 2021 and June 28, 2020,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27, 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7"/>
              </w:rPr>
              <w:t>December 27, 2020</w:t>
            </w:r>
          </w:p>
        </w:tc>
      </w:tr>
      <w:tr>
        <w:trPr>
          <w:trHeight w:val="22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520" w:type="dxa"/>
            <w:vAlign w:val="bottom"/>
            <w:shd w:val="clear" w:color="auto" w:fill="CCEEFF"/>
          </w:tcPr>
          <w:p>
            <w:pPr>
              <w:jc w:val="right"/>
              <w:ind w:right="1313"/>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5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140" w:type="dxa"/>
            <w:vAlign w:val="bottom"/>
          </w:tcPr>
          <w:p>
            <w:pPr>
              <w:ind w:left="220"/>
              <w:spacing w:after="0"/>
              <w:rPr>
                <w:sz w:val="20"/>
                <w:szCs w:val="20"/>
                <w:color w:val="auto"/>
              </w:rPr>
            </w:pPr>
            <w:r>
              <w:rPr>
                <w:rFonts w:ascii="Arial" w:cs="Arial" w:eastAsia="Arial" w:hAnsi="Arial"/>
                <w:sz w:val="18"/>
                <w:szCs w:val="18"/>
                <w:color w:val="auto"/>
              </w:rPr>
              <w:t>Total inventoried costs</w:t>
            </w:r>
          </w:p>
        </w:tc>
        <w:tc>
          <w:tcPr>
            <w:tcW w:w="1520" w:type="dxa"/>
            <w:vAlign w:val="bottom"/>
            <w:tcBorders>
              <w:bottom w:val="single" w:sz="8" w:color="auto"/>
            </w:tcBorders>
          </w:tcPr>
          <w:p>
            <w:pPr>
              <w:jc w:val="right"/>
              <w:ind w:right="131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r>
      <w:tr>
        <w:trPr>
          <w:trHeight w:val="20"/>
        </w:trPr>
        <w:tc>
          <w:tcPr>
            <w:tcW w:w="7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The Company calculates net income (loss) per share in accordance with FASB ASC Topic 260, </w:t>
      </w:r>
      <w:r>
        <w:rPr>
          <w:rFonts w:ascii="Arial" w:cs="Arial" w:eastAsia="Arial" w:hAnsi="Arial"/>
          <w:sz w:val="18"/>
          <w:szCs w:val="18"/>
          <w:i w:val="1"/>
          <w:iCs w:val="1"/>
          <w:color w:val="auto"/>
        </w:rPr>
        <w:t>Earnings per Share (Topic 260).</w:t>
      </w:r>
      <w:r>
        <w:rPr>
          <w:rFonts w:ascii="Arial" w:cs="Arial" w:eastAsia="Arial" w:hAnsi="Arial"/>
          <w:sz w:val="18"/>
          <w:szCs w:val="18"/>
          <w:color w:val="auto"/>
        </w:rPr>
        <w:t xml:space="preserve"> Under Topic 260, basic net income (loss) per common share attributable to the Kratos shareholders is calculated by dividing net income (loss) attributable to Kratos by the weighted-average number of common shares outstanding during the reporting period. Diluted net income (loss) per common share reflects the effects of potentially dilutive securities.</w:t>
      </w:r>
    </w:p>
    <w:p>
      <w:pPr>
        <w:spacing w:after="0" w:line="214"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Shares from stock options and awards, excluded from the calculation of diluted net loss per share because their inclusion would have been anti-dilutive, were 0.8 million and 0.8 million for the three and six months ended June 28,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5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depreciable life of lease assets and leasehold improvements is limited by the expected lease term, unless there is a transfer of title or purchase option reasonably certain of exercise.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7"/>
          </w:tcPr>
          <w:p>
            <w:pPr>
              <w:ind w:left="9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39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27, 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28, 2020</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27, 2021</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June 28, 2020</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Amortization of right of use assets - finance leases</w:t>
            </w:r>
          </w:p>
        </w:tc>
        <w:tc>
          <w:tcPr>
            <w:tcW w:w="1340" w:type="dxa"/>
            <w:vAlign w:val="bottom"/>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ind w:left="1093"/>
              <w:spacing w:after="0"/>
              <w:rPr>
                <w:sz w:val="20"/>
                <w:szCs w:val="20"/>
                <w:color w:val="auto"/>
              </w:rPr>
            </w:pPr>
            <w:r>
              <w:rPr>
                <w:rFonts w:ascii="Arial" w:cs="Arial" w:eastAsia="Arial" w:hAnsi="Arial"/>
                <w:sz w:val="18"/>
                <w:szCs w:val="18"/>
                <w:color w:val="auto"/>
                <w:w w:val="87"/>
              </w:rPr>
              <w:t>1.1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left="1112"/>
              <w:spacing w:after="0"/>
              <w:rPr>
                <w:sz w:val="20"/>
                <w:szCs w:val="20"/>
                <w:color w:val="auto"/>
              </w:rPr>
            </w:pPr>
            <w:r>
              <w:rPr>
                <w:rFonts w:ascii="Arial" w:cs="Arial" w:eastAsia="Arial" w:hAnsi="Arial"/>
                <w:sz w:val="18"/>
                <w:szCs w:val="18"/>
                <w:color w:val="auto"/>
                <w:w w:val="87"/>
              </w:rPr>
              <w:t>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Interest on lease liabilities - finance leases</w:t>
            </w:r>
          </w:p>
        </w:tc>
        <w:tc>
          <w:tcPr>
            <w:tcW w:w="13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center"/>
              <w:ind w:left="1093"/>
              <w:spacing w:after="0"/>
              <w:rPr>
                <w:sz w:val="20"/>
                <w:szCs w:val="20"/>
                <w:color w:val="auto"/>
              </w:rPr>
            </w:pPr>
            <w:r>
              <w:rPr>
                <w:rFonts w:ascii="Arial" w:cs="Arial" w:eastAsia="Arial" w:hAnsi="Arial"/>
                <w:sz w:val="18"/>
                <w:szCs w:val="18"/>
                <w:color w:val="auto"/>
                <w:w w:val="87"/>
              </w:rPr>
              <w:t>1.3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ind w:left="1112"/>
              <w:spacing w:after="0"/>
              <w:rPr>
                <w:sz w:val="20"/>
                <w:szCs w:val="20"/>
                <w:color w:val="auto"/>
              </w:rPr>
            </w:pPr>
            <w:r>
              <w:rPr>
                <w:rFonts w:ascii="Arial" w:cs="Arial" w:eastAsia="Arial" w:hAnsi="Arial"/>
                <w:sz w:val="18"/>
                <w:szCs w:val="18"/>
                <w:color w:val="auto"/>
                <w:w w:val="87"/>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1093"/>
              <w:spacing w:after="0"/>
              <w:rPr>
                <w:sz w:val="20"/>
                <w:szCs w:val="20"/>
                <w:color w:val="auto"/>
              </w:rPr>
            </w:pPr>
            <w:r>
              <w:rPr>
                <w:rFonts w:ascii="Arial" w:cs="Arial" w:eastAsia="Arial" w:hAnsi="Arial"/>
                <w:sz w:val="18"/>
                <w:szCs w:val="18"/>
                <w:color w:val="auto"/>
                <w:w w:val="87"/>
              </w:rPr>
              <w:t>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112"/>
              <w:spacing w:after="0"/>
              <w:rPr>
                <w:sz w:val="20"/>
                <w:szCs w:val="20"/>
                <w:color w:val="auto"/>
              </w:rPr>
            </w:pPr>
            <w:r>
              <w:rPr>
                <w:rFonts w:ascii="Arial" w:cs="Arial" w:eastAsia="Arial" w:hAnsi="Arial"/>
                <w:sz w:val="18"/>
                <w:szCs w:val="18"/>
                <w:color w:val="auto"/>
                <w:w w:val="87"/>
              </w:rPr>
              <w:t>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3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center"/>
              <w:ind w:left="1093"/>
              <w:spacing w:after="0"/>
              <w:rPr>
                <w:sz w:val="20"/>
                <w:szCs w:val="20"/>
                <w:color w:val="auto"/>
              </w:rPr>
            </w:pPr>
            <w:r>
              <w:rPr>
                <w:rFonts w:ascii="Arial" w:cs="Arial" w:eastAsia="Arial" w:hAnsi="Arial"/>
                <w:sz w:val="18"/>
                <w:szCs w:val="18"/>
                <w:color w:val="auto"/>
                <w:w w:val="87"/>
              </w:rPr>
              <w:t>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ind w:left="1112"/>
              <w:spacing w:after="0"/>
              <w:rPr>
                <w:sz w:val="20"/>
                <w:szCs w:val="20"/>
                <w:color w:val="auto"/>
              </w:rPr>
            </w:pPr>
            <w:r>
              <w:rPr>
                <w:rFonts w:ascii="Arial" w:cs="Arial" w:eastAsia="Arial" w:hAnsi="Arial"/>
                <w:sz w:val="18"/>
                <w:szCs w:val="18"/>
                <w:color w:val="auto"/>
                <w:w w:val="87"/>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Variable lease cost (cost excluded from lease</w:t>
            </w:r>
          </w:p>
        </w:tc>
        <w:tc>
          <w:tcPr>
            <w:tcW w:w="134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center"/>
              <w:ind w:left="1093"/>
              <w:spacing w:after="0"/>
              <w:rPr>
                <w:sz w:val="20"/>
                <w:szCs w:val="20"/>
                <w:color w:val="auto"/>
              </w:rPr>
            </w:pPr>
            <w:r>
              <w:rPr>
                <w:rFonts w:ascii="Arial" w:cs="Arial" w:eastAsia="Arial" w:hAnsi="Arial"/>
                <w:sz w:val="18"/>
                <w:szCs w:val="18"/>
                <w:color w:val="auto"/>
                <w:w w:val="87"/>
              </w:rPr>
              <w:t>0.1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center"/>
              <w:ind w:left="1112"/>
              <w:spacing w:after="0"/>
              <w:rPr>
                <w:sz w:val="20"/>
                <w:szCs w:val="20"/>
                <w:color w:val="auto"/>
              </w:rPr>
            </w:pPr>
            <w:r>
              <w:rPr>
                <w:rFonts w:ascii="Arial" w:cs="Arial" w:eastAsia="Arial" w:hAnsi="Arial"/>
                <w:sz w:val="18"/>
                <w:szCs w:val="18"/>
                <w:color w:val="auto"/>
                <w:w w:val="87"/>
              </w:rPr>
              <w:t>0.1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34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left="993"/>
              <w:spacing w:after="0"/>
              <w:rPr>
                <w:sz w:val="20"/>
                <w:szCs w:val="20"/>
                <w:color w:val="auto"/>
              </w:rPr>
            </w:pPr>
            <w:r>
              <w:rPr>
                <w:rFonts w:ascii="Arial" w:cs="Arial" w:eastAsia="Arial" w:hAnsi="Arial"/>
                <w:sz w:val="18"/>
                <w:szCs w:val="18"/>
                <w:color w:val="auto"/>
                <w:w w:val="91"/>
              </w:rPr>
              <w:t>(0.1)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left="1072"/>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lease cost</w:t>
            </w:r>
          </w:p>
        </w:tc>
        <w:tc>
          <w:tcPr>
            <w:tcW w:w="134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center"/>
              <w:ind w:left="1093"/>
              <w:spacing w:after="0"/>
              <w:rPr>
                <w:sz w:val="20"/>
                <w:szCs w:val="20"/>
                <w:color w:val="auto"/>
              </w:rPr>
            </w:pPr>
            <w:r>
              <w:rPr>
                <w:rFonts w:ascii="Arial" w:cs="Arial" w:eastAsia="Arial" w:hAnsi="Arial"/>
                <w:sz w:val="18"/>
                <w:szCs w:val="18"/>
                <w:color w:val="auto"/>
                <w:w w:val="87"/>
              </w:rPr>
              <w:t>8.5</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center"/>
              <w:ind w:left="1112"/>
              <w:spacing w:after="0"/>
              <w:rPr>
                <w:sz w:val="20"/>
                <w:szCs w:val="20"/>
                <w:color w:val="auto"/>
              </w:rPr>
            </w:pPr>
            <w:r>
              <w:rPr>
                <w:rFonts w:ascii="Arial" w:cs="Arial" w:eastAsia="Arial" w:hAnsi="Arial"/>
                <w:sz w:val="18"/>
                <w:szCs w:val="18"/>
                <w:color w:val="auto"/>
                <w:w w:val="87"/>
              </w:rPr>
              <w:t>8.2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120" w:type="dxa"/>
            <w:vAlign w:val="bottom"/>
            <w:gridSpan w:val="5"/>
          </w:tcPr>
          <w:p>
            <w:pPr>
              <w:ind w:left="660"/>
              <w:spacing w:after="0"/>
              <w:rPr>
                <w:sz w:val="20"/>
                <w:szCs w:val="20"/>
                <w:color w:val="auto"/>
              </w:rPr>
            </w:pPr>
            <w:r>
              <w:rPr>
                <w:rFonts w:ascii="Arial" w:cs="Arial" w:eastAsia="Arial" w:hAnsi="Arial"/>
                <w:sz w:val="18"/>
                <w:szCs w:val="18"/>
                <w:color w:val="auto"/>
              </w:rPr>
              <w:t>The components of leases on the balance sheet were as follows (in millions):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27, 2021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215"/>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520"/>
              <w:spacing w:after="0"/>
              <w:rPr>
                <w:sz w:val="20"/>
                <w:szCs w:val="20"/>
                <w:color w:val="auto"/>
              </w:rPr>
            </w:pPr>
            <w:r>
              <w:rPr>
                <w:rFonts w:ascii="Arial" w:cs="Arial" w:eastAsia="Arial" w:hAnsi="Arial"/>
                <w:sz w:val="18"/>
                <w:szCs w:val="18"/>
                <w:color w:val="auto"/>
              </w:rPr>
              <w:t>Operating lease right-of-use assets</w:t>
            </w: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19"/>
                <w:szCs w:val="19"/>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Current portion of operating lease liabilities</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520"/>
              <w:spacing w:after="0"/>
              <w:rPr>
                <w:sz w:val="20"/>
                <w:szCs w:val="20"/>
                <w:color w:val="auto"/>
              </w:rPr>
            </w:pPr>
            <w:r>
              <w:rPr>
                <w:rFonts w:ascii="Arial" w:cs="Arial" w:eastAsia="Arial" w:hAnsi="Arial"/>
                <w:sz w:val="18"/>
                <w:szCs w:val="18"/>
                <w:color w:val="auto"/>
              </w:rPr>
              <w:t>Operating lease liabilities, net of current portion</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9"/>
                <w:szCs w:val="19"/>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520"/>
              <w:spacing w:after="0"/>
              <w:rPr>
                <w:sz w:val="20"/>
                <w:szCs w:val="20"/>
                <w:color w:val="auto"/>
              </w:rPr>
            </w:pPr>
            <w:r>
              <w:rPr>
                <w:rFonts w:ascii="Arial" w:cs="Arial" w:eastAsia="Arial" w:hAnsi="Arial"/>
                <w:sz w:val="18"/>
                <w:szCs w:val="18"/>
                <w:color w:val="auto"/>
              </w:rPr>
              <w:t>Property, plant and equipment, net</w:t>
            </w: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33.0</w:t>
            </w:r>
          </w:p>
        </w:tc>
        <w:tc>
          <w:tcPr>
            <w:tcW w:w="60" w:type="dxa"/>
            <w:vAlign w:val="bottom"/>
          </w:tcPr>
          <w:p>
            <w:pPr>
              <w:spacing w:after="0"/>
              <w:rPr>
                <w:sz w:val="19"/>
                <w:szCs w:val="19"/>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liabilities</w:t>
            </w: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520"/>
              <w:spacing w:after="0"/>
              <w:rPr>
                <w:sz w:val="20"/>
                <w:szCs w:val="20"/>
                <w:color w:val="auto"/>
              </w:rPr>
            </w:pPr>
            <w:r>
              <w:rPr>
                <w:rFonts w:ascii="Arial" w:cs="Arial" w:eastAsia="Arial" w:hAnsi="Arial"/>
                <w:sz w:val="18"/>
                <w:szCs w:val="18"/>
                <w:color w:val="auto"/>
              </w:rPr>
              <w:t>Other long-term liabilities</w:t>
            </w: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20"/>
                <w:szCs w:val="20"/>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paid for amounts included in the measurement of lease liabilities was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ind w:left="9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11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June 27, 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June 27, 2021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June 28, 2020</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 cash paid for interest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Finance lease - financing cash flows</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lease - operating cash flows (fixed</w:t>
            </w: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5"/>
                <w:szCs w:val="15"/>
                <w:color w:val="auto"/>
              </w:rPr>
            </w:pPr>
          </w:p>
        </w:tc>
        <w:tc>
          <w:tcPr>
            <w:tcW w:w="34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00" w:type="dxa"/>
            <w:vAlign w:val="bottom"/>
            <w:gridSpan w:val="2"/>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154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5640" w:type="dxa"/>
            <w:vAlign w:val="bottom"/>
            <w:gridSpan w:val="4"/>
          </w:tcPr>
          <w:p>
            <w:pPr>
              <w:ind w:left="660"/>
              <w:spacing w:after="0"/>
              <w:rPr>
                <w:sz w:val="20"/>
                <w:szCs w:val="20"/>
                <w:color w:val="auto"/>
              </w:rPr>
            </w:pPr>
            <w:r>
              <w:rPr>
                <w:rFonts w:ascii="Arial" w:cs="Arial" w:eastAsia="Arial" w:hAnsi="Arial"/>
                <w:sz w:val="18"/>
                <w:szCs w:val="18"/>
                <w:color w:val="auto"/>
              </w:rPr>
              <w:t>Other supplemental noncash information (in millions):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8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right"/>
              <w:ind w:right="12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437"/>
              <w:spacing w:after="0"/>
              <w:rPr>
                <w:sz w:val="20"/>
                <w:szCs w:val="20"/>
                <w:color w:val="auto"/>
              </w:rPr>
            </w:pPr>
            <w:r>
              <w:rPr>
                <w:rFonts w:ascii="Arial" w:cs="Arial" w:eastAsia="Arial" w:hAnsi="Arial"/>
                <w:sz w:val="14"/>
                <w:szCs w:val="14"/>
                <w:b w:val="1"/>
                <w:bCs w:val="1"/>
                <w:color w:val="auto"/>
              </w:rPr>
              <w:t>June 27, 2021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27, 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433"/>
              <w:spacing w:after="0"/>
              <w:rPr>
                <w:sz w:val="20"/>
                <w:szCs w:val="20"/>
                <w:color w:val="auto"/>
              </w:rPr>
            </w:pPr>
            <w:r>
              <w:rPr>
                <w:rFonts w:ascii="Arial" w:cs="Arial" w:eastAsia="Arial" w:hAnsi="Arial"/>
                <w:sz w:val="14"/>
                <w:szCs w:val="14"/>
                <w:b w:val="1"/>
                <w:bCs w:val="1"/>
                <w:color w:val="auto"/>
              </w:rPr>
              <w:t>June 28, 2020</w:t>
            </w:r>
          </w:p>
        </w:tc>
        <w:tc>
          <w:tcPr>
            <w:tcW w:w="0" w:type="dxa"/>
            <w:vAlign w:val="bottom"/>
          </w:tcPr>
          <w:p>
            <w:pPr>
              <w:spacing w:after="0"/>
              <w:rPr>
                <w:sz w:val="1"/>
                <w:szCs w:val="1"/>
                <w:color w:val="auto"/>
              </w:rPr>
            </w:pPr>
          </w:p>
        </w:tc>
      </w:tr>
      <w:tr>
        <w:trPr>
          <w:trHeight w:val="157"/>
        </w:trPr>
        <w:tc>
          <w:tcPr>
            <w:tcW w:w="386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Operating lease liabilities arising from obtaining</w:t>
            </w:r>
          </w:p>
        </w:tc>
        <w:tc>
          <w:tcPr>
            <w:tcW w:w="300" w:type="dxa"/>
            <w:vAlign w:val="bottom"/>
            <w:tcBorders>
              <w:top w:val="single" w:sz="8" w:color="auto"/>
            </w:tcBorders>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auto"/>
            </w:tcBorders>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gridSpan w:val="2"/>
            <w:vMerge w:val="restart"/>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00" w:type="dxa"/>
            <w:vAlign w:val="bottom"/>
            <w:gridSpan w:val="2"/>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0"/>
              <w:spacing w:after="0" w:line="176" w:lineRule="exact"/>
              <w:rPr>
                <w:sz w:val="20"/>
                <w:szCs w:val="20"/>
                <w:color w:val="auto"/>
              </w:rPr>
            </w:pPr>
            <w:r>
              <w:rPr>
                <w:rFonts w:ascii="Arial" w:cs="Arial" w:eastAsia="Arial" w:hAnsi="Arial"/>
                <w:sz w:val="18"/>
                <w:szCs w:val="18"/>
                <w:color w:val="auto"/>
                <w:w w:val="93"/>
              </w:rPr>
              <w:t>Finance lease liabilities arising from obtaining right-</w:t>
            </w:r>
          </w:p>
        </w:tc>
        <w:tc>
          <w:tcPr>
            <w:tcW w:w="30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ind w:right="77"/>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5"/>
                <w:szCs w:val="15"/>
                <w:color w:val="auto"/>
              </w:rPr>
            </w:pPr>
          </w:p>
        </w:tc>
        <w:tc>
          <w:tcPr>
            <w:tcW w:w="154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ind w:right="170"/>
              <w:spacing w:after="0"/>
              <w:rPr>
                <w:sz w:val="20"/>
                <w:szCs w:val="20"/>
                <w:color w:val="auto"/>
              </w:rPr>
            </w:pPr>
            <w:r>
              <w:rPr>
                <w:rFonts w:ascii="Arial" w:cs="Arial" w:eastAsia="Arial" w:hAnsi="Arial"/>
                <w:sz w:val="15"/>
                <w:szCs w:val="15"/>
                <w:color w:val="auto"/>
                <w:w w:val="71"/>
              </w:rPr>
              <w:t>$</w:t>
            </w:r>
          </w:p>
        </w:tc>
        <w:tc>
          <w:tcPr>
            <w:tcW w:w="1500" w:type="dxa"/>
            <w:vAlign w:val="bottom"/>
            <w:vMerge w:val="restart"/>
          </w:tcPr>
          <w:p>
            <w:pPr>
              <w:jc w:val="right"/>
              <w:ind w:right="13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of-use assets</w:t>
            </w:r>
          </w:p>
        </w:tc>
        <w:tc>
          <w:tcPr>
            <w:tcW w:w="300" w:type="dxa"/>
            <w:vAlign w:val="bottom"/>
            <w:gridSpan w:val="2"/>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w w:val="94"/>
              </w:rPr>
              <w:t>Weighted-average remaining lease term (in years):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386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6.47 %</w:t>
            </w:r>
          </w:p>
        </w:tc>
        <w:tc>
          <w:tcPr>
            <w:tcW w:w="0" w:type="dxa"/>
            <w:vAlign w:val="bottom"/>
          </w:tcPr>
          <w:p>
            <w:pPr>
              <w:spacing w:after="0"/>
              <w:rPr>
                <w:sz w:val="1"/>
                <w:szCs w:val="1"/>
                <w:color w:val="auto"/>
              </w:rPr>
            </w:pPr>
          </w:p>
        </w:tc>
      </w:tr>
      <w:tr>
        <w:trPr>
          <w:trHeight w:val="230"/>
        </w:trPr>
        <w:tc>
          <w:tcPr>
            <w:tcW w:w="3860" w:type="dxa"/>
            <w:vAlign w:val="bottom"/>
          </w:tcPr>
          <w:p>
            <w:pPr>
              <w:ind w:left="680"/>
              <w:spacing w:after="0"/>
              <w:rPr>
                <w:sz w:val="20"/>
                <w:szCs w:val="20"/>
                <w:color w:val="auto"/>
              </w:rPr>
            </w:pPr>
            <w:r>
              <w:rPr>
                <w:rFonts w:ascii="Arial" w:cs="Arial" w:eastAsia="Arial" w:hAnsi="Arial"/>
                <w:sz w:val="18"/>
                <w:szCs w:val="18"/>
                <w:color w:val="auto"/>
              </w:rPr>
              <w:t>Finance leases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6.52 %</w:t>
            </w:r>
          </w:p>
        </w:tc>
        <w:tc>
          <w:tcPr>
            <w:tcW w:w="0" w:type="dxa"/>
            <w:vAlign w:val="bottom"/>
          </w:tcPr>
          <w:p>
            <w:pPr>
              <w:spacing w:after="0"/>
              <w:rPr>
                <w:sz w:val="1"/>
                <w:szCs w:val="1"/>
                <w:color w:val="auto"/>
              </w:rPr>
            </w:pPr>
          </w:p>
        </w:tc>
      </w:tr>
      <w:tr>
        <w:trPr>
          <w:trHeight w:val="850"/>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maturity of lease liabilities is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Finance Leases</w:t>
            </w:r>
          </w:p>
        </w:tc>
      </w:tr>
      <w:tr>
        <w:trPr>
          <w:trHeight w:val="229"/>
        </w:trPr>
        <w:tc>
          <w:tcPr>
            <w:tcW w:w="71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2021 </w:t>
            </w:r>
            <w:r>
              <w:rPr>
                <w:rFonts w:ascii="Arial" w:cs="Arial" w:eastAsia="Arial" w:hAnsi="Arial"/>
                <w:sz w:val="23"/>
                <w:szCs w:val="23"/>
                <w:color w:val="auto"/>
                <w:vertAlign w:val="superscript"/>
              </w:rPr>
              <w:t>(1)</w:t>
            </w:r>
          </w:p>
        </w:tc>
        <w:tc>
          <w:tcPr>
            <w:tcW w:w="1540" w:type="dxa"/>
            <w:vAlign w:val="bottom"/>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2022</w:t>
            </w:r>
          </w:p>
        </w:tc>
        <w:tc>
          <w:tcPr>
            <w:tcW w:w="1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11.1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2024</w:t>
            </w:r>
          </w:p>
        </w:tc>
        <w:tc>
          <w:tcPr>
            <w:tcW w:w="15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52.5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present value of lease liabilities</w:t>
            </w: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44.6</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bl>
    <w:p>
      <w:pPr>
        <w:spacing w:after="0" w:line="3" w:lineRule="exact"/>
        <w:rPr>
          <w:sz w:val="20"/>
          <w:szCs w:val="20"/>
          <w:color w:val="auto"/>
        </w:rPr>
      </w:pPr>
    </w:p>
    <w:p>
      <w:pPr>
        <w:ind w:left="180" w:hanging="154"/>
        <w:spacing w:after="0"/>
        <w:tabs>
          <w:tab w:leader="none" w:pos="18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Excludes the six months ended June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-124460</wp:posOffset>
            </wp:positionV>
            <wp:extent cx="2597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56" w:lineRule="exact"/>
        <w:rPr>
          <w:sz w:val="20"/>
          <w:szCs w:val="20"/>
          <w:color w:val="auto"/>
        </w:rPr>
      </w:pPr>
    </w:p>
    <w:p>
      <w:pPr>
        <w:ind w:right="240" w:firstLine="567"/>
        <w:spacing w:after="0" w:line="291" w:lineRule="auto"/>
        <w:rPr>
          <w:sz w:val="20"/>
          <w:szCs w:val="20"/>
          <w:color w:val="auto"/>
        </w:rPr>
      </w:pPr>
      <w:r>
        <w:rPr>
          <w:rFonts w:ascii="Arial" w:cs="Arial" w:eastAsia="Arial" w:hAnsi="Arial"/>
          <w:sz w:val="17"/>
          <w:szCs w:val="17"/>
          <w:color w:val="auto"/>
        </w:rPr>
        <w:t>A reconciliation of the total income tax benefit to the amount computed by applying the statutory federal income tax rate of 21% to income from continuing operations before income taxes for the three and six months ended June 27, 2021 and June 28, 2020 is as follows (in millions):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6"/>
                <w:szCs w:val="16"/>
                <w:color w:val="auto"/>
              </w:rPr>
            </w:pPr>
          </w:p>
        </w:tc>
        <w:tc>
          <w:tcPr>
            <w:tcW w:w="228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For the Six Months Ended</w:t>
            </w:r>
          </w:p>
        </w:tc>
      </w:tr>
      <w:tr>
        <w:trPr>
          <w:trHeight w:val="135"/>
        </w:trPr>
        <w:tc>
          <w:tcPr>
            <w:tcW w:w="6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June 27,</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53"/>
              <w:spacing w:after="0" w:line="135" w:lineRule="exact"/>
              <w:rPr>
                <w:sz w:val="20"/>
                <w:szCs w:val="20"/>
                <w:color w:val="auto"/>
              </w:rPr>
            </w:pPr>
            <w:r>
              <w:rPr>
                <w:rFonts w:ascii="Arial" w:cs="Arial" w:eastAsia="Arial" w:hAnsi="Arial"/>
                <w:sz w:val="14"/>
                <w:szCs w:val="14"/>
                <w:b w:val="1"/>
                <w:bCs w:val="1"/>
                <w:color w:val="auto"/>
              </w:rPr>
              <w:t>June 28,</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June 27,</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53"/>
              <w:spacing w:after="0" w:line="135" w:lineRule="exact"/>
              <w:rPr>
                <w:sz w:val="20"/>
                <w:szCs w:val="20"/>
                <w:color w:val="auto"/>
              </w:rPr>
            </w:pPr>
            <w:r>
              <w:rPr>
                <w:rFonts w:ascii="Arial" w:cs="Arial" w:eastAsia="Arial" w:hAnsi="Arial"/>
                <w:sz w:val="14"/>
                <w:szCs w:val="14"/>
                <w:b w:val="1"/>
                <w:bCs w:val="1"/>
                <w:color w:val="auto"/>
              </w:rPr>
              <w:t>June 28,</w:t>
            </w:r>
          </w:p>
        </w:tc>
      </w:tr>
      <w:tr>
        <w:trPr>
          <w:trHeight w:val="188"/>
        </w:trPr>
        <w:tc>
          <w:tcPr>
            <w:tcW w:w="6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at federal statutory rate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 of valuation allowance due to acquisitions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Nondeductible expenses and other</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deferred tax liabilities for indefinite-lived assets</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Increase (decrease) in reserves for uncertain tax positions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 excess tax benefits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Federal impact of research &amp; development tax credits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federal valuation allowance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Benefit for income taxes from continuing operations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During the fourth quarter of 2020, the Company evaluated all available evidence, both positive and negative, to determine whether, based on the weight of that evidence, a valuation allowance for deferred tax assets was still needed. Evidence evaluated by the Company included, but was not limited to, the fact that it was in a three-year cumulative income position and no longer had cumulative losses in recent years, the results and trend of pretax book income from core operations, and its forecast of taxable income for 2021 and beyond. As a result, the Company had determined that it is more likely than not that sufficient taxable income will exist to realize the majority of its U.S. deferred tax assets and reversed a significant portion of the valuation allowance previously recorded against those deferred tax assets as of December 27, 2020. The remaining valuation allowance on the Company’s U.S. deferred tax assets relates primarily to state net operating loss and capital loss carryforwards the Company estimates are not more likely than not to be utilized in future periods.</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its deferred tax assets will not be realized. In making this assessment, the Company has concluded that positive evidence continues to outweigh the negative evidence as of June 27, 2021.</w:t>
      </w:r>
    </w:p>
    <w:p>
      <w:pPr>
        <w:spacing w:after="0" w:line="184"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three-year period. The annual base Section 382</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$27.0 million a year for the five years succeeding the March 2010 ownership change and $11.6 million for each year thereafter subject to separate limitations for Acquired NOLs. If the entire limitation amount is not utilized in a year, the excess can be carried forward and utilized in future years.</w:t>
      </w:r>
    </w:p>
    <w:p>
      <w:pPr>
        <w:spacing w:after="0" w:line="178"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For the six months ended June 27, 2021, there was no impact of such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49"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2015 and later are subject to examination by various foreign tax authorities as well.</w:t>
      </w:r>
    </w:p>
    <w:p>
      <w:pPr>
        <w:spacing w:after="0" w:line="184"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As of December 27, 2020, the Company had $25.4 million of unrecognized tax benefits that, if recognized, would impact the Company’s effective income tax rate. During the six months ended June 27, 2021 unrecognized tax benefits decreased by $0.3 million relating to various current year tax positions.</w:t>
      </w:r>
    </w:p>
    <w:p>
      <w:pPr>
        <w:spacing w:after="0" w:line="20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six months ended June 27, 2021 and June 28, 2020, the Company recorded an expense for interest and penalties of $0.5 million and $0.1 million, respectively. For the six months ended June 27, 2021 and June 28, 2020, there was no material benefit recorded related to the removal of interest and penalties. The Company believes that it is reasonably possible that as much as $0.3 million of the liabilities for uncertain tax positions will expire within the next twelve months due to the expiration of various applicable statutes of limitations.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5"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6.5% Senior Secured Notes due 2025</w:t>
      </w:r>
    </w:p>
    <w:p>
      <w:pPr>
        <w:spacing w:after="0" w:line="25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November 2017, the Company issued and sold $300 million aggregate principal amount of 6.5% Senior Secured Notes due 2025 (the “6.5% Notes”) in a private placement conducted pursuant to Rule 144A and Regulation S under the Securities Act of 1933, as amended. The Company incurred debt issuance costs of $6.6 million associated with the 6.5% Notes. The Company utilized the net proceeds from the sale of the 6.5% Notes, as well as cash from an equity offering to extinguish the previously outstanding 7.00% Senior Secured Notes due 2019 (the “7% Notes”). The total reacquisition price of the 7% Notes was $385.2 million, including a $12.0 million call premium, and $0.3 million of accrued interest.</w:t>
      </w:r>
    </w:p>
    <w:p>
      <w:pPr>
        <w:spacing w:after="0" w:line="2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(as defined in the Indenture);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1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6.5% Notes and the guarantees (as set forth in the Indenture)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 (as defined below).</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6.5% Notes are redeemable by the Company, in whole or in part, at the respective redemption prices specified in the Indenture. The Company may also be required to make an offer to purchase the 6.5% Notes upon a change of control and certain sales of its assets.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 (j) enter into agreements restricting the Company’s ability and certain of its subsidiaries’ ability to pay dividends. These covenants are subject to a number of exceptions. As of June 27, 2021, the Company was in compliance with the covenants contained in the Indenture governing the 6.5% Notes.</w:t>
      </w:r>
    </w:p>
    <w:p>
      <w:pPr>
        <w:spacing w:after="0" w:line="22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27, 2021, there was $300.0 million of 6.5% Notes outstanding.</w:t>
      </w:r>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20, 2017, the Company entered into an amended and restated credit and security agreement (as amended, the “Credit Agreement”), with the lenders named therein, SunTrust Bank, as Agent (the “Agent”), and SunTrust Robinson Humphrey, Inc., as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consisting of a subline for letters of credit in an amount not to exceed $50.0 million, as well as a swingline loan in an aggregate principal amount at any time outstanding not to exceed $10.0 million.</w:t>
      </w:r>
    </w:p>
    <w:p>
      <w:pPr>
        <w:spacing w:after="0" w:line="21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 then held eligible raw materials inventory, work-in-process inventory, and applicable reserves.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measurement of a minimum fixed charge coverage ratio is required to be measured if Excess Availability, as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40"/>
        <w:spacing w:after="0" w:line="277" w:lineRule="auto"/>
        <w:rPr>
          <w:sz w:val="20"/>
          <w:szCs w:val="20"/>
          <w:color w:val="auto"/>
        </w:rPr>
      </w:pPr>
      <w:r>
        <w:rPr>
          <w:rFonts w:ascii="Arial" w:cs="Arial" w:eastAsia="Arial" w:hAnsi="Arial"/>
          <w:sz w:val="18"/>
          <w:szCs w:val="18"/>
          <w:color w:val="auto"/>
        </w:rPr>
        <w:t>defined in the Credit Agreement, is less than fifty percent of the lesser of the Borrowing Base or the Total Commitment Amount, each as defined in the Credit Agreement.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27, 2021, there were no borrowings outstanding on the Credit Agreement and $5.9 million was outstanding on letters of credit, resulting in net borrowing base availability of $64.4 million. The Company was in compliance with the financial covenants of the Credit Agreement and its amendments as of June 27,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Israel Debt</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August 2020, the Company entered into two 5-year term loans with two banks in Israel representing an aggregate principal amount of approximately $5.1 million. These loans were subsidized by the State of Israel as part of a COVID-19 relief package with interest at Israeli NIS prime interest, plus a margin of 1.5%. The first year of interest is paid by the State of Israel with subsequent interest and principal payments due monthly, commencing in August 2021. The Company intends to repay the outstanding balance of the loan in August 2021.</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5-D Systems Loan</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acquisition of 5-D Systems, the Company assumed a loan in the amount of approximately $0.5 million with an interest rate of 1.0% that had been obtained under the Small Business Administration Paycheck Protection Program as part of a COVID-19 relief package. Payment of interest and principal is due monthly with the balance due in April 2022. The sellers of 5-D Systems applied for forgiveness of this loan and, as part of the purchase of 5-D Systems by the Company, agreed to indemnify Kratos in the event the application for forgiveness of the loan was not accepted. The application was accepted and the loan was forgiven in July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June 27, 2021 and December 27, 2020 are presented in the following table: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June 27, 2021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619"/>
              <w:spacing w:after="0"/>
              <w:rPr>
                <w:sz w:val="20"/>
                <w:szCs w:val="20"/>
                <w:color w:val="auto"/>
              </w:rPr>
            </w:pPr>
            <w:r>
              <w:rPr>
                <w:rFonts w:ascii="Arial" w:cs="Arial" w:eastAsia="Arial" w:hAnsi="Arial"/>
                <w:sz w:val="14"/>
                <w:szCs w:val="14"/>
                <w:b w:val="1"/>
                <w:bCs w:val="1"/>
                <w:color w:val="auto"/>
              </w:rPr>
              <w:t>As of December 27, 2020</w:t>
            </w:r>
          </w:p>
        </w:tc>
        <w:tc>
          <w:tcPr>
            <w:tcW w:w="0" w:type="dxa"/>
            <w:vAlign w:val="bottom"/>
          </w:tcPr>
          <w:p>
            <w:pPr>
              <w:spacing w:after="0"/>
              <w:rPr>
                <w:sz w:val="1"/>
                <w:szCs w:val="1"/>
                <w:color w:val="auto"/>
              </w:rPr>
            </w:pPr>
          </w:p>
        </w:tc>
      </w:tr>
      <w:tr>
        <w:trPr>
          <w:trHeight w:val="134"/>
        </w:trPr>
        <w:tc>
          <w:tcPr>
            <w:tcW w:w="5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1"/>
                <w:szCs w:val="11"/>
                <w:color w:val="auto"/>
              </w:rPr>
            </w:pPr>
          </w:p>
        </w:tc>
        <w:tc>
          <w:tcPr>
            <w:tcW w:w="7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5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including current portion</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301.5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w:t>
      </w:r>
    </w:p>
    <w:p>
      <w:pPr>
        <w:spacing w:after="0" w:line="197" w:lineRule="exact"/>
        <w:rPr>
          <w:sz w:val="20"/>
          <w:szCs w:val="20"/>
          <w:color w:val="auto"/>
        </w:rPr>
      </w:pPr>
    </w:p>
    <w:p>
      <w:pPr>
        <w:ind w:right="100" w:firstLine="683"/>
        <w:spacing w:after="0" w:line="259" w:lineRule="auto"/>
        <w:rPr>
          <w:sz w:val="20"/>
          <w:szCs w:val="20"/>
          <w:color w:val="auto"/>
        </w:rPr>
      </w:pPr>
      <w:r>
        <w:rPr>
          <w:rFonts w:ascii="Arial" w:cs="Arial" w:eastAsia="Arial" w:hAnsi="Arial"/>
          <w:sz w:val="18"/>
          <w:szCs w:val="18"/>
          <w:color w:val="auto"/>
        </w:rPr>
        <w:t>As of June 27, 2021, the difference between the carrying amount of $301.9 million and the principal amount of $305.6 million presented in the table above is the unamortized debt issuance costs of $3.7 million, which are being accreted to interest expense over the term of the related debt. As of December 27, 2020, the difference between the carrying amount of $301.5 million and the principal amount of $305.6 million presented in the above table also related to the same unamortized debt issuance costs of $4.1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Company operates in two reportable segments. The KGS reportable segment is comprised of an aggregation of KGS operating business units, including the Company’s microwave electronic products, space and satellite communications, training and cybersecurity, C5ISR/modular systems, turbine technologies and defense and rocket support services operating segments.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22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from continuing operations of the reportable business segments is reconciled to the corresponding consolidated amount. The reconciling item </w:t>
      </w:r>
      <w:r>
        <w:rPr>
          <w:rFonts w:ascii="Arial" w:cs="Arial" w:eastAsia="Arial" w:hAnsi="Arial"/>
          <w:sz w:val="18"/>
          <w:szCs w:val="18"/>
          <w:i w:val="1"/>
          <w:iCs w:val="1"/>
          <w:color w:val="auto"/>
        </w:rPr>
        <w:t>Corporate activities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92" w:lineRule="exact"/>
        <w:rPr>
          <w:sz w:val="20"/>
          <w:szCs w:val="20"/>
          <w:color w:val="auto"/>
        </w:rPr>
      </w:pPr>
    </w:p>
    <w:p>
      <w:pPr>
        <w:ind w:right="38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reportable segments for the three and six month periods ended June 27, 2021 and June 28, 2020 are as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56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June 28, 2020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June 28, 2020</w:t>
            </w:r>
          </w:p>
        </w:tc>
      </w:tr>
      <w:tr>
        <w:trPr>
          <w:trHeight w:val="211"/>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r>
      <w:tr>
        <w:trPr>
          <w:trHeight w:val="230"/>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r>
      <w:tr>
        <w:trPr>
          <w:trHeight w:val="22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r>
      <w:tr>
        <w:trPr>
          <w:trHeight w:val="210"/>
        </w:trPr>
        <w:tc>
          <w:tcPr>
            <w:tcW w:w="5660" w:type="dxa"/>
            <w:vAlign w:val="bottom"/>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r>
      <w:tr>
        <w:trPr>
          <w:trHeight w:val="22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Unmanned Systems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23"/>
        </w:trPr>
        <w:tc>
          <w:tcPr>
            <w:tcW w:w="566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&amp; amortization:</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566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 from continuing operations: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Unmanned Systems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activities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Redeemable Noncontrolling Interest</w:t>
      </w:r>
    </w:p>
    <w:p>
      <w:pPr>
        <w:spacing w:after="0" w:line="256"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On February 27, 2019, the Company acquired 80.1% of the issued and outstanding shares of capital stock of Florida Turbine Technologies Inc., a Florida corporation (“FTT Inc.”), and 80.1% of the membership interests in FTT CORE, LLC, a Delaware limited liability company (“FTT Core” and, together with FTT Inc. and their respective subsidiaries, “FTT”), for an aggregate purchase price of approximately $60 million. In connection with the Company’s acquisition of FTT, (i) beginning in January 2024, the holders (the “Holders”) of the minority interests in FTT Inc. and FTT Core (the “Minority Interests”) will have an annual right (the “Put Right”) to sell all of the Minority Interests to the Company at a purchase price based on a specified multiple of the trailing 12 months EBITDA of FTT Inc., FTT Core and each of their respective subsidiaries (the “Acquired Companies”), subject to adjustment as set forth in the Exchange Agreement entered into by and among the Company, the Acquired Companies and the Holders (the “Exchange Agreement”) (provided, however, that following certain events, including a change of control, the Put Right will be accelerated and the Minority Interest Purchase Price (as defined in the Exchange Agreement) will be a specified increased multiple of the trailing 12 months EBITDA of the Acquired Companies); and (ii) beginning in January 2025, the Company will have an annual right to purchase all of the Minority Interests from the Holders at the Minority Interest Purchase Price.</w:t>
      </w:r>
    </w:p>
    <w:p>
      <w:pPr>
        <w:spacing w:after="0" w:line="21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will have a corresponding effect on net income per share attributable to Kratos shareholders. As of June 27, 2021, no adjustment of the carrying value of the redeemable noncontrolling interest was required.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 – Common Stock</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June 23, 2020, the Company sold 15,525,000 shares of its common stock at a public offering price of $16.25 per share in an underwritten public offering. The Company received gross proceeds of approximately $252.3 million. After deducting underwriting fees and other offering expenses, the Company received approximately $240.4 million in net proceeds. The Company expects to use the net proceeds for general corporate purposes, including for potential strategic “tuck-in” acquisitions, to further position the Company for projected growth from new and anticipated increased production and to facilitate its long-term strategy.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Significant Customers</w:t>
      </w:r>
    </w:p>
    <w:p>
      <w:pPr>
        <w:spacing w:after="0" w:line="22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$146.2 million and $129.4 million, or 71% and 76% of total Kratos revenue, for the three months ended June 27, 2021 and June 28, 2020, respectively, and $288.4 million and $253.5 million, or 72% and 75% of total Kratos revenue, for the six months ended June 27, 2021 and June 28, 2020,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Legal and Regulatory Matters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7"/>
          <w:szCs w:val="17"/>
          <w:color w:val="auto"/>
        </w:rPr>
        <w:t>“</w:t>
      </w:r>
      <w:r>
        <w:rPr>
          <w:rFonts w:ascii="Arial" w:cs="Arial" w:eastAsia="Arial" w:hAnsi="Arial"/>
          <w:sz w:val="17"/>
          <w:szCs w:val="17"/>
          <w:i w:val="1"/>
          <w:iCs w:val="1"/>
          <w:color w:val="auto"/>
        </w:rPr>
        <w:t>DoD</w:t>
      </w:r>
      <w:r>
        <w:rPr>
          <w:rFonts w:ascii="Arial" w:cs="Arial" w:eastAsia="Arial" w:hAnsi="Arial"/>
          <w:sz w:val="17"/>
          <w:szCs w:val="17"/>
          <w:color w:val="auto"/>
        </w:rPr>
        <w:t>”)</w:t>
      </w:r>
      <w:r>
        <w:rPr>
          <w:rFonts w:ascii="Arial" w:cs="Arial" w:eastAsia="Arial" w:hAnsi="Arial"/>
          <w:sz w:val="17"/>
          <w:szCs w:val="17"/>
          <w:i w:val="1"/>
          <w:iCs w:val="1"/>
          <w:color w:val="auto"/>
        </w:rPr>
        <w:t>, which could cause delays, cancellations or reductions of key government contracts; bid protests; changes in the scope or timing of our projects; the timing, rescheduling or cancellation of significant customer contracts and agreements; failure by our subcontractors or suppliers to perform their contractual obligations; our failure to meet performance obligations; if the unmanned systems markets do not experience significant growth, if we cannot expand our customer base or if our products do not achieve broad acceptance which could impact our ability to achieve our anticipated level of growth; consolidation by or the loss of key customers; risks of adverse regulatory action or litigation; risks associated with debt leverage; failure to successfully achieve our acquisition, integration, cost reduction or divestiture strategies; risks related to security breaches, cybersecurity attacks or other significant disruptions of our information systems; risks associated with pandemics, epidemics or other public health emergencies, such as the outbreak of COVID-19;risks related to unknown defects or errors in our products; and competition in the marketplace, which could reduce revenues and profit margins, as well as the additional risks and uncertainties described in this Quarterly Report, in “Item 1A-Risk Factors” of our Annual Report on Form 10-K for the fiscal year ended December 27, 2020 filed with the U.S. Securities and Exchange Commission (the “SEC”</w:t>
      </w:r>
      <w:r>
        <w:rPr>
          <w:rFonts w:ascii="Arial" w:cs="Arial" w:eastAsia="Arial" w:hAnsi="Arial"/>
          <w:sz w:val="17"/>
          <w:szCs w:val="17"/>
          <w:color w:val="auto"/>
        </w:rPr>
        <w:t>)</w:t>
      </w:r>
      <w:r>
        <w:rPr>
          <w:rFonts w:ascii="Arial" w:cs="Arial" w:eastAsia="Arial" w:hAnsi="Arial"/>
          <w:sz w:val="17"/>
          <w:szCs w:val="17"/>
          <w:i w:val="1"/>
          <w:iCs w:val="1"/>
          <w:color w:val="auto"/>
        </w:rPr>
        <w:t xml:space="preserve"> on February 25, 2021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Kratos is a government contractor at the forefront of the DoD’s recapitalization of strategic weapon systems to address peer and near peer threats and the DoD’s related Rapid Innovation Initiatives. Kratos is a leading technology, intellectual property, proprietary product and system company focused on the U.S. and its allies’ national security. Kratos is a recognized industry leader in the rapid development, demonstration and fielding of disruptive, transformative and high technology systems and products at an affordable cost. At Kratos, affordability is a technology. Kratos’ primary focus areas are unmanned systems, space and satellite communications, microwave electronics, cybersecurity/warfare, rocket, hypersonic and missile defense systems, turbine technologies, and Command, Control, Communication, Computing, Combat, Intelligence Surveillance and Reconnaissance (“C5ISR”) Systems and training systems. 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employees holding national security clearances. Much of our work is performed at customer locations, or in a secure manufacturing facility. Our primary end customers are national security related agencies. Our entire organization is focused on executing our strategy of being the leading technology and intellectual property based product and system company in our industry.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 May 2021, the Biden administration released a $6.011 trillion federal budget proposal for the U.S. Government’s 2022 fiscal year (“FY”) that begins on October 1, 2021, which includes $753 billion in National Security funding, an increase of 1.6 percent over FY 2021, and $715 billion for the DoD. The 2022 National Security request amounts to a slight decrease for the Pentagon when adjusted for inflation, and is also slightly below the previous administration’s $722 billion FY 2022 DoD request. The FY 2022 proposal also ends the “off-budget” funding tool known as the Overseas Contingency Operations, or OCO, account. A five-year Future Years Defense Program strategic priority spending plan that is typically submitted annually along with that year’s annual budget request, has not been submitted at this time. The FY 2022 National Security budget includes a focus on research and development for new technologies to address peer and near peer threats, including specifically China. The FY 2022 budget request prioritizes defense research and development, test and evaluation funding to invest in breakthrough technologies that are also focused on innovation and the development of next generation defense capabilities. The FY 2022 budget request also supports the DoD’s plan to divest legacy systems and programs in order to redirect the related resources to innovation, new technology and new programs, platforms and systems.</w:t>
      </w:r>
    </w:p>
    <w:p>
      <w:pPr>
        <w:spacing w:after="0" w:line="207"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color w:val="auto"/>
        </w:rPr>
        <w:t>On December 27, 2020, the Consolidated Appropriations Act, 2021, was signed into law. The $2.3 trillion spending bill combines $900 billion in stimulus relief for the COVID-19 pandemic in the United States with a $1.4 trillion omnibus spending bill for the FY 2021 (combining 12 separate annual appropriations bills). The bills allocate $695.9 billion for the DoD, a decrease of $9.7 billion from FY 2020. Also, the federal budget and debt ceiling are expected to continue to be the subject of considerable debate, which could have a significant impact on defense spending broadly and the Company’s programs in particular. The U.S. Government’s fiscal year ends September 30.</w:t>
      </w:r>
    </w:p>
    <w:p>
      <w:pPr>
        <w:spacing w:after="0" w:line="21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6"/>
          <w:szCs w:val="16"/>
          <w:color w:val="auto"/>
        </w:rPr>
        <w:t>The budget environment, including COVID-19 spending increases proposed by the Biden administration, and uncertainty surrounding the debt ceiling and the appropriations process, remain significant short and long-term risks. Considerable uncertainty exists regarding how future budget and program decisions will unfold, including the defense spending priorities of the Administration and Congress and what challenges budget reductions (required by the Budget Control Act of 2011 (“BCA”) and otherwise) will present for the defense industry. If annual appropriations bills are not timely enacted, the U.S. Government may again operate under continuing resolution authority (“CRA”), restricting new contract or program starts, restricting increased funding or additional quantities on existing contracts, presenting resource allocation and forecasting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to effectively progress programs and to make timely payments, and our ability to perform on our U.S. Government contracts and successfully compete for new work.</w:t>
      </w:r>
    </w:p>
    <w:p>
      <w:pPr>
        <w:spacing w:after="0" w:line="196" w:lineRule="exact"/>
        <w:rPr>
          <w:sz w:val="20"/>
          <w:szCs w:val="20"/>
          <w:color w:val="auto"/>
        </w:rPr>
      </w:pPr>
    </w:p>
    <w:p>
      <w:pPr>
        <w:ind w:right="240" w:firstLine="648"/>
        <w:spacing w:after="0" w:line="243" w:lineRule="auto"/>
        <w:rPr>
          <w:sz w:val="20"/>
          <w:szCs w:val="20"/>
          <w:color w:val="auto"/>
        </w:rPr>
      </w:pPr>
      <w:r>
        <w:rPr>
          <w:rFonts w:ascii="Arial" w:cs="Arial" w:eastAsia="Arial" w:hAnsi="Arial"/>
          <w:sz w:val="18"/>
          <w:szCs w:val="18"/>
          <w:color w:val="auto"/>
        </w:rPr>
        <w:t>We believe continued budget pressures, CRAs or Federal Government shutdowns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such an uncertain environment would have long-term implications for our Company and the entire defense industry.</w:t>
      </w:r>
    </w:p>
    <w:p>
      <w:pPr>
        <w:spacing w:after="0" w:line="21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7"/>
          <w:szCs w:val="17"/>
          <w:color w:val="auto"/>
        </w:rPr>
        <w:t>Additionally, funding for certain programs in which we currently participate may be reduced, delayed or cancelled, and budget uncertainty or funding cuts globally could adversely affect the viability of our partners, teammates, subcontractors and suppliers, and our employee base. While we believe that our business is well-positioned in areas that the DoD and other customers indicate are priorities for future defense spending, including in the 2018 and 2020 National Defense Strategy documents, the short and long-term impact of federal budgetary uncertainty, CRAs, the BCA, other defense spending cuts, challenges in the appropriations process, the debt ceiling and the ongoing fiscal debates remain uncertain. Such a challenging federal and DoD budgetary environment may negatively impact our business and programs and could have a material adverse effect on our forecasts, estimates, financial position, results of operations and/or cash flows.</w:t>
      </w:r>
    </w:p>
    <w:p>
      <w:pPr>
        <w:spacing w:after="0" w:line="207"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nature of our operations expose us to risks associated with pandemics, epidemics or other public health emergencies, such as the outbreak of COVID-19. In March 2020, the World Health Organization categorized COVID-19 as a pandemic, and the President of the United States declared the COVID-19 outbreak a national emergency. The outbreak has resulted in governments around the world, including the U.S. Government and the DoD, implementing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216" w:lineRule="exact"/>
        <w:rPr>
          <w:sz w:val="20"/>
          <w:szCs w:val="20"/>
          <w:color w:val="auto"/>
        </w:rPr>
      </w:pPr>
    </w:p>
    <w:p>
      <w:pPr>
        <w:jc w:val="both"/>
        <w:ind w:right="360" w:firstLine="648"/>
        <w:spacing w:after="0" w:line="248" w:lineRule="auto"/>
        <w:rPr>
          <w:sz w:val="20"/>
          <w:szCs w:val="20"/>
          <w:color w:val="auto"/>
        </w:rPr>
      </w:pPr>
      <w:r>
        <w:rPr>
          <w:rFonts w:ascii="Arial" w:cs="Arial" w:eastAsia="Arial" w:hAnsi="Arial"/>
          <w:sz w:val="18"/>
          <w:szCs w:val="18"/>
          <w:color w:val="auto"/>
        </w:rPr>
        <w:t>We are a company operating in a “critical infrastructure industry”, as defined by the U.S. Department of Homeland Security. Consistent with federal guidelines and with state and local orders to date, we currently continue to operate, including our international operations. Notwithstanding our continued operations, COVID-19 has had negative impacts on certain of our</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operations, supply chain, vendors, transportation networks and customers, which have reduced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globally. Any resulting economic downturn could adversely affect demand for our products. The progression of this matter could also negatively impact our business or results of operations through the temporary closure of our operating locations or those of our customers or suppliers.</w:t>
      </w:r>
    </w:p>
    <w:p>
      <w:pPr>
        <w:spacing w:after="0" w:line="216" w:lineRule="exact"/>
        <w:rPr>
          <w:sz w:val="20"/>
          <w:szCs w:val="20"/>
          <w:color w:val="auto"/>
        </w:rPr>
      </w:pPr>
    </w:p>
    <w:p>
      <w:pPr>
        <w:ind w:firstLine="648"/>
        <w:spacing w:after="0" w:line="259" w:lineRule="auto"/>
        <w:rPr>
          <w:sz w:val="20"/>
          <w:szCs w:val="20"/>
          <w:color w:val="auto"/>
        </w:rPr>
      </w:pPr>
      <w:r>
        <w:rPr>
          <w:rFonts w:ascii="Arial" w:cs="Arial" w:eastAsia="Arial" w:hAnsi="Arial"/>
          <w:sz w:val="17"/>
          <w:szCs w:val="17"/>
          <w:color w:val="auto"/>
        </w:rPr>
        <w:t>The ability of our employees, our suppliers’ and our customers’ employees to work may be significantly impacted by individuals contracting or being exposed to COVID-19, or as a result of the control measures noted above, which may significantly hamper our production, operations, including throughout the supply chain. On March 27, 2020, the Coronavirus Aid, Relief and Economic Security Act, a $2 trillion economic relief bill, was signed into law. Subsequently, on March 11, 2021, the American Rescue Plan Act, a $1.9 trillion economic stimulus bill was enacted. We are continuing to evaluate the impact of these two budget packages including related stimulus and economic relief actions on our business.</w:t>
      </w:r>
    </w:p>
    <w:p>
      <w:pPr>
        <w:spacing w:after="0" w:line="201" w:lineRule="exact"/>
        <w:rPr>
          <w:sz w:val="20"/>
          <w:szCs w:val="20"/>
          <w:color w:val="auto"/>
        </w:rPr>
      </w:pPr>
    </w:p>
    <w:p>
      <w:pPr>
        <w:ind w:right="20" w:firstLine="648"/>
        <w:spacing w:after="0" w:line="273" w:lineRule="auto"/>
        <w:rPr>
          <w:sz w:val="20"/>
          <w:szCs w:val="20"/>
          <w:color w:val="auto"/>
        </w:rPr>
      </w:pPr>
      <w:r>
        <w:rPr>
          <w:rFonts w:ascii="Arial" w:cs="Arial" w:eastAsia="Arial" w:hAnsi="Arial"/>
          <w:sz w:val="16"/>
          <w:szCs w:val="16"/>
          <w:color w:val="auto"/>
        </w:rPr>
        <w:t>Since the end of the first quarter of 2020, COVID-19 has continued to impact our customers, markets and operations, including supply chain disruptions, delays of certain supplier deliveries, difficulties gaining access to certain locations, difficulties gaining access to customers, including instances related to previously scheduled drone and rocket system flights, demonstrations and exercises, and decreased demand requirements of certain of our commercial aero, power and satcom customers. Importantly, COVID-19 customer and contractor-related travel and social distancing restrictions have</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delayed a number of our target drone, tactical drone and rocket system programs, missions and exercises. The extent to which COVID-19 may further impact our business depends on future developments, which are highly uncertain and unpredictable, including new information concerning the severity of the outbreak and the effectiveness of actions globally to contain or mitigate its effects. While we currently do not expect this matter to have a material impact on our results of operations, cash flows and financial position, the current level of uncertainty over the economic, business and operational impacts of COVID-19 means the related financial impact cannot be reasonably estimated at this time. Our Condensed Consolidated Financial Statements and Management’s Discussion and Analysis of Financial Condition and Results of Operations reflect estimates and assumptions made by management as of June 27, 2021. Events and changes in circumstances arising after June 27, 2021, including those resulting from the continuing impacts of COVID-19, will be reflected in management’s estimates for future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The Company currently operates in two reportable segments. The Kratos Government Solutions (“KGS”) reportable segment is comprised of an aggregation of KGS operating segments, including our microwave electronic products, space and satellite communications, training and cybersecurity, C5ISR/modular systems, turbine technologies, and defense and rocket support services operating segments. The Unmanned Systems (“US”) reportable segment consists of our unmanned aerial, unmanned ground, unmanned seaborne and command, control and communications system businesses.</w:t>
      </w:r>
    </w:p>
    <w:p>
      <w:pPr>
        <w:spacing w:after="0" w:line="18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Condensed Consolidated Financial Statements. From a customer and solutions perspective, we view our business as an integrated whole, leveraging skills and assets wherever possible.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June 27, 2021 to the Three Months Ended June 28, 2020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by operating segment for the three months ended June 27, 2021 and June 28, 2020 are as follows (dollars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8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8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1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34.5 %</w:t>
            </w: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Kratos Government Solutions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12.8 %</w:t>
            </w: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Unmanned Systems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40.5 %</w:t>
            </w: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Unmanned Systems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43.6 %</w:t>
            </w:r>
          </w:p>
        </w:tc>
      </w:tr>
      <w:tr>
        <w:trPr>
          <w:trHeight w:val="248"/>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04"/>
        </w:trPr>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service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product sales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36.8 %</w:t>
            </w:r>
          </w:p>
        </w:tc>
      </w:tr>
      <w:tr>
        <w:trPr>
          <w:trHeight w:val="248"/>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Revenues increased $34.7 million to $205.1 million for the three months ended June 27, 2021 from $170.4 million for the three months ended June 28, 2020. Revenues in our KGS segment increased $16.4 million due to the contribution from the acquisition of CPI ASC Signal Division, Inc. (“ASC Signal”), which contributed approximately $11.8 million and organic growth in our microwave products, space and satellite communications, and rocket support businesses, partially offset by decreases in our training solutions business as a result of a reduction in scope of certain international training contracts which resulted in decreased revenues of approximately $4.7 million. Revenues in our US segment increased $18.3 million to $60.3 million for the three months ended June 27, 2021 primarily due to work performed on our SSAT 177 production contracts and Valkyrie programs, and due to contributions of approximately $2.1 million from the Technical Directions, Inc. (“TDI”) and 5-D Systems, Inc. (“5-D Systems”) acquisitions.</w:t>
      </w:r>
    </w:p>
    <w:p>
      <w:pPr>
        <w:spacing w:after="0" w:line="190"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Product sales increased $39.6 million to $147.1 million for the three months ended June 27, 2021 from $107.5 million for the three months ended June 28, 2020 primarily as a result of increased production in certain US drone programs as well as the contribution from the ASC Signal acquisition. As a percentage of total revenue, product sales were 71.7% for the three months ended June 27, 2021 as compared to 63.1% for the three months ended June 28, 2020. Service revenues decreased by $4.9 million to $58.0 million for the three months ended June 27, 2021 from $62.9 million for the three months ended June 28, 2020. The decrease was primarily related to lower turbine technologies service revenue (which was offset by higher turbine technologies product sales) as well as the previously mentioned reduction in scope of certain international training contracts.</w:t>
      </w:r>
    </w:p>
    <w:p>
      <w:pPr>
        <w:spacing w:after="0" w:line="188" w:lineRule="exact"/>
        <w:rPr>
          <w:sz w:val="20"/>
          <w:szCs w:val="20"/>
          <w:color w:val="auto"/>
        </w:rPr>
      </w:pPr>
    </w:p>
    <w:p>
      <w:pPr>
        <w:ind w:right="140" w:firstLine="648"/>
        <w:spacing w:after="0" w:line="324" w:lineRule="auto"/>
        <w:rPr>
          <w:sz w:val="20"/>
          <w:szCs w:val="20"/>
          <w:color w:val="auto"/>
        </w:rPr>
      </w:pPr>
      <w:r>
        <w:rPr>
          <w:rFonts w:ascii="Arial" w:cs="Arial" w:eastAsia="Arial" w:hAnsi="Arial"/>
          <w:sz w:val="16"/>
          <w:szCs w:val="16"/>
          <w:color w:val="auto"/>
        </w:rPr>
        <w:t>Cost of Revenues. Cost of revenues increased $28.7 million to $153.1 million for the three months ended June 27, 2021 from $124.4 million for the three months ended June 28, 2020. The increase in cost of revenues was primarily a result of the increase in product sales discussed above.</w:t>
      </w:r>
    </w:p>
    <w:p>
      <w:pPr>
        <w:spacing w:after="0" w:line="151"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Gross margin decreased to 25.4% for the three months ended June 27, 2021 from 27.0% for the three months ended June 28, 2020. Margins on services increased to 28.8% for the three months ended June 27, 2021 from 26.6% for the three months ended June 28, 2020, due primarily to a more favorable mix of revenues. Margins on products decreased to 24.0% for the three months ended June 27, 2021 from 27.3% for the three months ended June 28, 2020, primarily due to a less favorable mix of certain programs with increased activity on certain developmental programs for the three months ended June 27, 2021. Margins in the KGS segment decreased to 27.2% for the three months ended June 27, 2021 from 28.7% for the three months ended June 28, 2020, primarily due to a less favorable mix of revenues. Margins in the US segment decreased to 20.9% for the three months ended June 27, 2021 from 21.9% for the three months ended June 28, 2020, primarily due to a less favorable mix of products produced and shipped in the three months ended June 27, 2021.</w:t>
      </w:r>
    </w:p>
    <w:p>
      <w:pPr>
        <w:spacing w:after="0" w:line="221"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Selling, General and Administrative (“SG&amp;A”) Expenses. SG&amp;A expense increased to $38.2 million for the three months ended June 27, 2021 from $36.0 million for the three months ended June 28, 2020, primarily due to increased costs as a result of the TDI, Optimized Performance Machining, Inc. (“OPM”), ASC Signal and 5-D Systems acquisitions in 2020. As a percentage of revenues, SG&amp;A decreased to 18.6% at June 27, 2021 from 21.1% at June 28, 2020. Included in SG&amp;A was an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increase of $1.8 million of stock compensation expense from $4.8 million for the three months ended June 28, 2020 to $6.6 million for the three months ended June 27, 2021.</w:t>
      </w:r>
    </w:p>
    <w:p>
      <w:pPr>
        <w:spacing w:after="0" w:line="198" w:lineRule="exact"/>
        <w:rPr>
          <w:sz w:val="20"/>
          <w:szCs w:val="20"/>
          <w:color w:val="auto"/>
        </w:rPr>
      </w:pPr>
    </w:p>
    <w:p>
      <w:pPr>
        <w:ind w:right="80" w:firstLine="648"/>
        <w:spacing w:after="0" w:line="279" w:lineRule="auto"/>
        <w:rPr>
          <w:sz w:val="20"/>
          <w:szCs w:val="20"/>
          <w:color w:val="auto"/>
        </w:rPr>
      </w:pPr>
      <w:r>
        <w:rPr>
          <w:rFonts w:ascii="Arial" w:cs="Arial" w:eastAsia="Arial" w:hAnsi="Arial"/>
          <w:sz w:val="16"/>
          <w:szCs w:val="16"/>
          <w:color w:val="auto"/>
        </w:rPr>
        <w:t>Research and Development (“R&amp;D”) Expenses. R&amp;D expenses increased $4.2 million to $10.2 million for the three months ended June 27, 2021 from $6.0 million for the three months ended June 28, 2020, with the primary increases in expenses being in our space and satellite communications business. As a percentage of revenues, R&amp;D increased to 5.0% for the three months ended June 27, 2021 from 3.5% for the three months ended June 28, 2020.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18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Restructuring Expenses and Other. </w:t>
      </w:r>
      <w:r>
        <w:rPr>
          <w:rFonts w:ascii="Arial" w:cs="Arial" w:eastAsia="Arial" w:hAnsi="Arial"/>
          <w:sz w:val="18"/>
          <w:szCs w:val="18"/>
          <w:color w:val="auto"/>
        </w:rPr>
        <w:t>Restructuring expenses and other increased to $0.2 million from $0.1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27, 2021 and June 28, 2020, respectively.</w:t>
      </w:r>
    </w:p>
    <w:p>
      <w:pPr>
        <w:spacing w:after="0" w:line="19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Total Other Expense, Net. </w:t>
      </w:r>
      <w:r>
        <w:rPr>
          <w:rFonts w:ascii="Arial" w:cs="Arial" w:eastAsia="Arial" w:hAnsi="Arial"/>
          <w:sz w:val="18"/>
          <w:szCs w:val="18"/>
          <w:color w:val="auto"/>
        </w:rPr>
        <w:t>Total other expense, net increased to $5.7 million from $5.3 million for the three months ended June 27,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June 28, 2020, respectively.</w:t>
      </w:r>
    </w:p>
    <w:p>
      <w:pPr>
        <w:spacing w:after="0" w:line="197"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i w:val="1"/>
          <w:iCs w:val="1"/>
          <w:color w:val="auto"/>
        </w:rPr>
        <w:t xml:space="preserve">Benefit for Income Taxes from Continuing Operations. </w:t>
      </w:r>
      <w:r>
        <w:rPr>
          <w:rFonts w:ascii="Arial" w:cs="Arial" w:eastAsia="Arial" w:hAnsi="Arial"/>
          <w:sz w:val="18"/>
          <w:szCs w:val="18"/>
          <w:color w:val="auto"/>
        </w:rPr>
        <w:t>The income tax benefit from continuing operations for the three months ended June 27,</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June 28, 2020 was $3.6 million and $1.8 million, respectively. For the three months ended June 27, 2021, a $0.2 million tax benefit was recorded resulting from the federal and state impact of stock-based compensation related to restricted stock units. The remaining $3.4 million benefit was a function of the estimated effective tax rate for the year. The estimated effective tax rate is driven by estimated foreign taxes, estimated federal and state taxes, permanent book/tax differences, and the projected income or loss for the year.</w:t>
      </w:r>
    </w:p>
    <w:p>
      <w:pPr>
        <w:spacing w:after="0" w:line="216"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The loss from discontinued operations was $0.3 million for the three months ended June 27, 2021, and $0.2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28, 2020.</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Comparison of Results for the Six Months Ended June 27, 2021 to the Six Months Ended June 28, 2020</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Revenues by operating segment for the six months ended June 27, 2021 and June 28, 2020 are as follows (dollars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27, 2021</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80" w:type="dxa"/>
            <w:vAlign w:val="bottom"/>
          </w:tcPr>
          <w:p>
            <w:pPr>
              <w:spacing w:after="0"/>
              <w:rPr>
                <w:sz w:val="16"/>
                <w:szCs w:val="16"/>
                <w:color w:val="auto"/>
              </w:rPr>
            </w:pPr>
          </w:p>
        </w:tc>
        <w:tc>
          <w:tcPr>
            <w:tcW w:w="1120" w:type="dxa"/>
            <w:vAlign w:val="bottom"/>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6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Kratos Government Solutions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32.2 %</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Kratos Government Solutions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revenues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35.4 %</w:t>
            </w:r>
          </w:p>
        </w:tc>
      </w:tr>
      <w:tr>
        <w:trPr>
          <w:trHeight w:val="223"/>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Unmanned Systems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38.3 %</w:t>
            </w:r>
          </w:p>
        </w:tc>
      </w:tr>
      <w:tr>
        <w:trPr>
          <w:trHeight w:val="223"/>
        </w:trPr>
        <w:tc>
          <w:tcPr>
            <w:tcW w:w="514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17.7 %</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Total service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 sales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33.5 %</w:t>
            </w:r>
          </w:p>
        </w:tc>
      </w:tr>
      <w:tr>
        <w:trPr>
          <w:trHeight w:val="223"/>
        </w:trPr>
        <w:tc>
          <w:tcPr>
            <w:tcW w:w="514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17.7 %</w:t>
            </w: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350"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Revenues increased $60.0 million to $399.3 million for the six months ended June 27, 2021 from $339.3 million for the six months ended June 28, 2020. Revenues in our KGS segment increased $27.8 million due to the contribution from the acquisition of ASC Signal, which contributed approximately $20.4 million, and organic growth across most of our business units including our C5ISR, microwave products, turbine technologies, space and satellite communications, and rocket support businesses, partially offset by decreases in our training solutions business of approximately $8.1 million. Revenues in our US segment increased $32.2 million to $116.2 million for the six months ended June 27, 2021 primarily due to work performed on our SSAT 177 and Valkyrie programs, and due to contributions of approximately $3.7 million from the TDI and 5-D Systems acquisitions.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color w:val="auto"/>
        </w:rPr>
        <w:t>Product sales increased $71.2 million to $284.0 million for the six months ended June 27, 2021 from $212.8 million for the six months ended June 28, 2020, primarily as a result of increased production activity in our US segment, and increased production in our microwave products, modular systems and space and satellite business. As a percentage of total revenue, product sales were 71.1% for the six months ended June 27, 2021 as compared to 62.7% for the six months ended June 28, 2020. Service revenues decreased by $11.2 million to $115.3 million for the six months ended June 27, 2021 from $126.5 million for the six months ended June 28, 2020. The decrease was primarily related to lower turbine technologies service revenue (which was offset by higher turbine technologies product sales) as well as the previously mentioned reduction in scope of certain international contracts in our training solutions business, and impacts resulting from COVID-19.</w:t>
      </w:r>
    </w:p>
    <w:p>
      <w:pPr>
        <w:spacing w:after="0" w:line="20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i w:val="1"/>
          <w:iCs w:val="1"/>
          <w:color w:val="auto"/>
        </w:rPr>
        <w:t>Cost of Revenues</w:t>
      </w:r>
      <w:r>
        <w:rPr>
          <w:rFonts w:ascii="Arial" w:cs="Arial" w:eastAsia="Arial" w:hAnsi="Arial"/>
          <w:sz w:val="17"/>
          <w:szCs w:val="17"/>
          <w:color w:val="auto"/>
        </w:rPr>
        <w:t>. Cost of revenues increased $48.8 million to $296.3 million for the six months ended June 27, 2021 from $247.5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28, 2020. The increase in cost of revenues was primarily a result of the increase in product sales discussed above.</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Gross margin decreased to 25.8% for the six months ended June 27, 2021 from 27.1% for the six months ended June 28, 2020. Margins on services decreased to 27.3% for the six months ended June 27, 2021 from 27.7% for the six months ended June 28, 2020. Margins on product sales decreased to 25.2% for the six months ended June 27, 2021 from 26.6% for the six months ended June 28, 2020, primarily due to a less favorable mix of certain programs with an increase in developmental programs. Margins in the KGS segment decreased to 27.7% for the six months ended June 27, 2021 from 29.4% for the six months ended June 28, 2020, primarily due to a less favorable mix of products during the six months ended June 27, 2021. Margins in the US segment increased to 21.2% for the six months ended June 27, 2021 from 20.0% for the six months ended June 28, 2020, primarily due to a more favorable mix of products produced and shipped during the six months ended June 27, 2021.</w:t>
      </w:r>
    </w:p>
    <w:p>
      <w:pPr>
        <w:spacing w:after="0" w:line="193" w:lineRule="exact"/>
        <w:rPr>
          <w:sz w:val="20"/>
          <w:szCs w:val="20"/>
          <w:color w:val="auto"/>
        </w:rPr>
      </w:pPr>
    </w:p>
    <w:p>
      <w:pPr>
        <w:ind w:right="140" w:firstLine="648"/>
        <w:spacing w:after="0" w:line="283" w:lineRule="auto"/>
        <w:rPr>
          <w:sz w:val="20"/>
          <w:szCs w:val="20"/>
          <w:color w:val="auto"/>
        </w:rPr>
      </w:pPr>
      <w:r>
        <w:rPr>
          <w:rFonts w:ascii="Arial" w:cs="Arial" w:eastAsia="Arial" w:hAnsi="Arial"/>
          <w:sz w:val="16"/>
          <w:szCs w:val="16"/>
          <w:i w:val="1"/>
          <w:iCs w:val="1"/>
          <w:color w:val="auto"/>
        </w:rPr>
        <w:t>SG&amp;A Expenses</w:t>
      </w:r>
      <w:r>
        <w:rPr>
          <w:rFonts w:ascii="Arial" w:cs="Arial" w:eastAsia="Arial" w:hAnsi="Arial"/>
          <w:sz w:val="16"/>
          <w:szCs w:val="16"/>
          <w:color w:val="auto"/>
        </w:rPr>
        <w:t>. SG&amp;A expense was $76.1 million for the six months ended June 27, 2021 and $70.9 million for the six months ended June 28,</w:t>
      </w:r>
      <w:r>
        <w:rPr>
          <w:rFonts w:ascii="Arial" w:cs="Arial" w:eastAsia="Arial" w:hAnsi="Arial"/>
          <w:sz w:val="16"/>
          <w:szCs w:val="16"/>
          <w:i w:val="1"/>
          <w:iCs w:val="1"/>
          <w:color w:val="auto"/>
        </w:rPr>
        <w:t xml:space="preserve"> </w:t>
      </w:r>
      <w:r>
        <w:rPr>
          <w:rFonts w:ascii="Arial" w:cs="Arial" w:eastAsia="Arial" w:hAnsi="Arial"/>
          <w:sz w:val="16"/>
          <w:szCs w:val="16"/>
          <w:color w:val="auto"/>
        </w:rPr>
        <w:t>2020. As a percentage of revenues, SG&amp;A decreased to 19.1% at June 27, 2021 from 20.9% at June 28, 2020. Included in SG&amp;A was an increase of</w:t>
      </w:r>
    </w:p>
    <w:p>
      <w:pPr>
        <w:spacing w:after="0" w:line="1"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$3.3 million of stock compensation expense from $9.5 million for the six months ended June 28, 2020 to $12.8 million for the six months ended June 27, 2021.</w:t>
      </w:r>
    </w:p>
    <w:p>
      <w:pPr>
        <w:spacing w:after="0" w:line="217" w:lineRule="exact"/>
        <w:rPr>
          <w:sz w:val="20"/>
          <w:szCs w:val="20"/>
          <w:color w:val="auto"/>
        </w:rPr>
      </w:pPr>
    </w:p>
    <w:p>
      <w:pPr>
        <w:ind w:right="220" w:firstLine="648"/>
        <w:spacing w:after="0" w:line="274" w:lineRule="auto"/>
        <w:rPr>
          <w:sz w:val="20"/>
          <w:szCs w:val="20"/>
          <w:color w:val="auto"/>
        </w:rPr>
      </w:pPr>
      <w:r>
        <w:rPr>
          <w:rFonts w:ascii="Arial" w:cs="Arial" w:eastAsia="Arial" w:hAnsi="Arial"/>
          <w:sz w:val="16"/>
          <w:szCs w:val="16"/>
          <w:i w:val="1"/>
          <w:iCs w:val="1"/>
          <w:color w:val="auto"/>
        </w:rPr>
        <w:t>R&amp;D Expenses</w:t>
      </w:r>
      <w:r>
        <w:rPr>
          <w:rFonts w:ascii="Arial" w:cs="Arial" w:eastAsia="Arial" w:hAnsi="Arial"/>
          <w:sz w:val="16"/>
          <w:szCs w:val="16"/>
          <w:color w:val="auto"/>
        </w:rPr>
        <w:t>. R&amp;D expenses were $18.2 million for the six months ended June 27, 2021 and $11.7 million for the six months ended June 28,</w:t>
      </w:r>
      <w:r>
        <w:rPr>
          <w:rFonts w:ascii="Arial" w:cs="Arial" w:eastAsia="Arial" w:hAnsi="Arial"/>
          <w:sz w:val="16"/>
          <w:szCs w:val="16"/>
          <w:i w:val="1"/>
          <w:iCs w:val="1"/>
          <w:color w:val="auto"/>
        </w:rPr>
        <w:t xml:space="preserve"> </w:t>
      </w:r>
      <w:r>
        <w:rPr>
          <w:rFonts w:ascii="Arial" w:cs="Arial" w:eastAsia="Arial" w:hAnsi="Arial"/>
          <w:sz w:val="16"/>
          <w:szCs w:val="16"/>
          <w:color w:val="auto"/>
        </w:rPr>
        <w:t>2020, with the primary increases in expenses being in our space and satellite communications business. As a percentage of revenues, R&amp;D increased to</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4.6% for the six months ended June 27, 2021 from 3.4% for the six months ended June 28, 2020.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spacing w:after="0" w:line="216"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i w:val="1"/>
          <w:iCs w:val="1"/>
          <w:color w:val="auto"/>
        </w:rPr>
        <w:t>Restructuring Expenses and Other</w:t>
      </w:r>
      <w:r>
        <w:rPr>
          <w:rFonts w:ascii="Arial" w:cs="Arial" w:eastAsia="Arial" w:hAnsi="Arial"/>
          <w:sz w:val="16"/>
          <w:szCs w:val="16"/>
          <w:color w:val="auto"/>
        </w:rPr>
        <w:t>. Restructuring expenses and other remained the same at $0.2 million for the six months ended June 27, 2021</w:t>
      </w:r>
      <w:r>
        <w:rPr>
          <w:rFonts w:ascii="Arial" w:cs="Arial" w:eastAsia="Arial" w:hAnsi="Arial"/>
          <w:sz w:val="16"/>
          <w:szCs w:val="16"/>
          <w:i w:val="1"/>
          <w:iCs w:val="1"/>
          <w:color w:val="auto"/>
        </w:rPr>
        <w:t xml:space="preserve"> </w:t>
      </w:r>
      <w:r>
        <w:rPr>
          <w:rFonts w:ascii="Arial" w:cs="Arial" w:eastAsia="Arial" w:hAnsi="Arial"/>
          <w:sz w:val="16"/>
          <w:szCs w:val="16"/>
          <w:color w:val="auto"/>
        </w:rPr>
        <w:t>and June 28, 2020. These expenses are primarily employee termination costs related to personnel reduction actions taken in each period.</w:t>
      </w:r>
    </w:p>
    <w:p>
      <w:pPr>
        <w:spacing w:after="0" w:line="15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Total Other Expense, Net</w:t>
      </w:r>
      <w:r>
        <w:rPr>
          <w:rFonts w:ascii="Arial" w:cs="Arial" w:eastAsia="Arial" w:hAnsi="Arial"/>
          <w:sz w:val="18"/>
          <w:szCs w:val="18"/>
          <w:color w:val="auto"/>
        </w:rPr>
        <w:t>. Total other expense, net, increased to $11.4 million from $11.2 million for the six months ended June 27,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June 28, 2020, respectively.</w:t>
      </w:r>
    </w:p>
    <w:p>
      <w:pPr>
        <w:spacing w:after="0" w:line="197"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i w:val="1"/>
          <w:iCs w:val="1"/>
          <w:color w:val="auto"/>
        </w:rPr>
        <w:t>Benefit for Income Taxes from Continuing Operations</w:t>
      </w:r>
      <w:r>
        <w:rPr>
          <w:rFonts w:ascii="Arial" w:cs="Arial" w:eastAsia="Arial" w:hAnsi="Arial"/>
          <w:sz w:val="18"/>
          <w:szCs w:val="18"/>
          <w:color w:val="auto"/>
        </w:rPr>
        <w:t>. The income tax benefit from continuing operations for the six months ended June 27,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June 28, 2020 was $6.3 million and $3.2 million, respectively. For the six months ended June 27, 2021, a $2.6 million tax benefit was recorded resulting from the federal and state impact of stock-based compensation related to restricted stock units. The remaining $3.7 million benefit was a function of the estimated effective tax rate for the year. The estimated effective tax rate is driven by estimated foreign taxes, estimated federal and state taxes, permanent book/tax differences, and the projected income or loss for the year.</w:t>
      </w:r>
    </w:p>
    <w:p>
      <w:pPr>
        <w:spacing w:after="0" w:line="216"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The loss from discontinued operations was $0.3 million for the six months ended June 27, 2021 and $0.6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28, 2020, primarily reflecting the work performed in relation to outstanding tasks on legacy projects retained by us following the sale of the PSS business, as well as legal expenses related to the ongoing closing net working capital adjustment dispute with the buyer of the PSS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On June 27, 2021, we had approximately $865.6 million of total backlog, of which $630.6 million was funded. We expect to recognize approximately 39% of the remaining total backlog as revenue in 2021, an additional 27% in 2022 and the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balance thereafter. Our comparable total backlog balance as of June 28, 2020, was approximately $683.4 million of which $569.6 million was funded.</w:t>
      </w:r>
    </w:p>
    <w:p>
      <w:pPr>
        <w:spacing w:after="0" w:line="26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20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its backlog until a related contract award is received.</w:t>
      </w:r>
    </w:p>
    <w:p>
      <w:pPr>
        <w:spacing w:after="0" w:line="17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As of June 27, 2021, we had cash and cash equivalents of $369.3 million compared with cash and cash equivalents of $380.8 million as of December 27, 2020, which includes $36.0 million and $29.2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188"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Our total long-term debt, including principal due on our 6.5% Notes (as defined below), net of issuance costs of $4.1 million, increased from $301.5 million at December 27, 2020 to $301.9 million at June 27, 2021, due to the amortization of debt issuance costs during the six months ended June 27, 2021 (as more fully described in Note 10 of the accompanying Condensed Consolidated Financial Statements).</w:t>
      </w:r>
    </w:p>
    <w:p>
      <w:pPr>
        <w:spacing w:after="0" w:line="19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We use our operating cash flow to finance trade accounts receivable, fund necessary increases in inventory, fund internal investments of engineering costs, fund capital expenditures, our internal research and development investments and our ongoing operations, service our debt, security infrastructure, including cyber security infrastructure and make strategic acquisitions. Financing trade accounts receivable is necessary because, on average, our customers do not pay us as quickly as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pay our vendors and employees for their goods and services since a number of our receivables are contractually billable and due to us only when certain contractual milestones are achieved.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decreased from 133 days as of December 27, 2020 to 118 days at June 27, 2021, primarily reflecting the achievement of certain contractual billing milestones.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w:t>
      </w:r>
    </w:p>
    <w:p>
      <w:pPr>
        <w:spacing w:after="0" w:line="221"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and its costs incurred in settling with subcontractors and preparing and settling the termination proposal. However, we will not be able to collect the total withheld amounts until the settlement terms of the T for C have been negotiated and agreed to with the customer. At June 27, 2021, approximately $11.5 million in unbilled receivables remain outstanding on this project. In addition, we are currently in dispute with an international customer in our US segment over approximately $10.0 million in unbilled receivables outstanding as of June 27, 2021. The dispute concerns the completion of certain system requirements and contractual milestones. The</w:t>
      </w:r>
    </w:p>
    <w:p>
      <w:pPr>
        <w:spacing w:after="0" w:line="1"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Company alleges breach of contract, as well as other claims against the customer and seeks damages and other equitable relief. The customer has asserted counterclaims seeking liquidated damages and additional relief. We have evaluated the present facts of the matters and performed a reassessment of the contractual amounts due, as well as the claims asserted by each of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parties, and have determined that no adjustment to previously recognized revenue, or the corresponding unbilled receivables, is necessary at June 27, 2021.</w:t>
      </w:r>
    </w:p>
    <w:p>
      <w:pPr>
        <w:spacing w:after="0" w:line="26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 summary of our net cash provided by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27, 2021</w:t>
            </w:r>
          </w:p>
        </w:tc>
        <w:tc>
          <w:tcPr>
            <w:tcW w:w="180" w:type="dxa"/>
            <w:vAlign w:val="bottom"/>
          </w:tcPr>
          <w:p>
            <w:pPr>
              <w:spacing w:after="0"/>
              <w:rPr>
                <w:sz w:val="16"/>
                <w:szCs w:val="16"/>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June 28, 2020</w:t>
            </w:r>
          </w:p>
        </w:tc>
      </w:tr>
      <w:tr>
        <w:trPr>
          <w:trHeight w:val="224"/>
        </w:trPr>
        <w:tc>
          <w:tcPr>
            <w:tcW w:w="8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440" w:type="dxa"/>
            <w:vAlign w:val="bottom"/>
          </w:tcPr>
          <w:p>
            <w:pPr>
              <w:ind w:left="34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Net operating cash flows of discontinued operations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14"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Net cash provided by operating activities from continuing operations increased by $11.2 million to $22.0 million for the six months ended June 27, 2021 compared to $10.8 million for the six months ended June 28, 2020. Net cash provided by operating activities from continuing operations was impacted by an increase in income from continuing operations of $3.5 million to $3.1 million for the six months ended June 27, 2021 compared to a loss from continuing operations of $0.4 million for the six months ended June 28, 2020. This increase was further impacted by increases in stock compensation, depreciation, amortization and other noncash charges of $3.3 million to $30.0 million for the six months ended June 27, 2021 compared to $26.7 million the six months ended June 28, 2020, as well as a reduction in changes in net working capital accounts of $4.4 million to $11.1 million for the six months ended June 27, 2021 as compared to changes of $15.5 million in net working capital accounts for the six months ended June 28, 2020.</w:t>
      </w:r>
    </w:p>
    <w:p>
      <w:pPr>
        <w:spacing w:after="0" w:line="192" w:lineRule="exact"/>
        <w:rPr>
          <w:sz w:val="20"/>
          <w:szCs w:val="20"/>
          <w:color w:val="auto"/>
        </w:rPr>
      </w:pPr>
    </w:p>
    <w:p>
      <w:pPr>
        <w:ind w:right="120" w:firstLine="648"/>
        <w:spacing w:after="0" w:line="237" w:lineRule="auto"/>
        <w:rPr>
          <w:sz w:val="20"/>
          <w:szCs w:val="20"/>
          <w:color w:val="auto"/>
        </w:rPr>
      </w:pPr>
      <w:r>
        <w:rPr>
          <w:rFonts w:ascii="Arial" w:cs="Arial" w:eastAsia="Arial" w:hAnsi="Arial"/>
          <w:sz w:val="17"/>
          <w:szCs w:val="17"/>
          <w:color w:val="auto"/>
        </w:rPr>
        <w:t>Net cash used in investing activities from continuing operations for the six months ended June 27, 2021 is comprised of, a payment due under the FTT acquisition agreement, and capital expenditures, which consist primarily of investments in machinery, computer hardware and software and improvement of our physical properties in order to maintain suitable conditions in which to conduct our business, and include investments we are making to build capital aerial targets and related support equipment. Net cash used in investing activities from continuing operations for the six months ended June 28, 2020 is comprised of the acquisition of TDI, a payment due under the FTT acquisition agreement, and capital expenditures, which consist primarily of investments in machinery, computer hardware and software and improvement of our physical properties in order to maintain suitable conditions in which to conduct our business. During the six months ended June 27, 2021, capital expenditures of approximately $13.2 million were incurred in our US business, primarily related to our unmanned combat target initiative. We expect our capital expenditures for our calendar year 2021 to continue to be significant for investments we are making, specifically in our US business totaling approximately $33 to $37 million, including approximately $20 to $25 million for capital aerial targets and related support equipment.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Net cash used in financing activities from continuing operations was $6.4 million for the six months ended June 27, 2021 and consisted primarily of payroll withholding taxes paid from vested restricted stock traded for taxes of $8.5 million and payments made on financing lease obligations of</w:t>
      </w:r>
    </w:p>
    <w:p>
      <w:pPr>
        <w:spacing w:after="0"/>
        <w:rPr>
          <w:sz w:val="20"/>
          <w:szCs w:val="20"/>
          <w:color w:val="auto"/>
        </w:rPr>
      </w:pPr>
      <w:r>
        <w:rPr>
          <w:rFonts w:ascii="Arial" w:cs="Arial" w:eastAsia="Arial" w:hAnsi="Arial"/>
          <w:sz w:val="17"/>
          <w:szCs w:val="17"/>
          <w:color w:val="auto"/>
        </w:rPr>
        <w:t>$0.4 million offset by employee stock purchase plan receipts of $2.5 million. Net cash provided by financing activities from continuing operations was</w:t>
      </w:r>
    </w:p>
    <w:p>
      <w:pPr>
        <w:spacing w:after="0" w:line="2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$241.5 million for the six months ended June 28, 2020 and consisted primarily of net proceeds of $240.5 million from our equity offering of approximately 15.5 million shares of common stock.</w:t>
      </w:r>
    </w:p>
    <w:p>
      <w:pPr>
        <w:spacing w:after="0" w:line="2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net operating cash flows of discontinued operations for the six months ended June 27, 2021 was a use of $0.8 million. The net operating cash flows of discontinued operations for the six months ended June 28, 2020 was $1.7 million and was substantially related to approximately $2.7 million that was collected on amounts due related to the legacy projects retained by us which was partially offset by the loss from operations from our discontinued PSS business unit of $0.6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6.5% Senior Secured Notes due 2025</w:t>
      </w:r>
    </w:p>
    <w:p>
      <w:pPr>
        <w:spacing w:after="0" w:line="25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In November 2017, we issued and sold $300 million aggregate principal amount of 6.5% Senior Secured Notes due 2025 (the “6.5% Notes”) in a private placement conducted pursuant to Rule 144A and Regulation S under the Securities Act of 1933, as amended. We incurred debt issuance costs of $6.6 million associated with the 6.5% Notes. We utilized the net proceeds from the sale of the 6.5% Notes, as well as cash from an equity offering to extinguish the previously outstanding 7.00% Senior Secured Notes due 2019 (the “7% Notes”). The total reacquisition price of the 7% Notes was $385.2 million, including a $12.0 million call premium, and $0.3 million of accrued interest.</w:t>
      </w:r>
    </w:p>
    <w:p>
      <w:pPr>
        <w:spacing w:after="0" w:line="2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(as defined in the Indenture); (c) we exercise our legal defeasance option or our covenant defeasance option; or (d) upon satisfaction and discharge of the Indenture or payment in full in cash of the principal of, premium, if any, and accrued and unpaid interest on the 6.5% Notes.</w:t>
      </w:r>
    </w:p>
    <w:p>
      <w:pPr>
        <w:spacing w:after="0" w:line="20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6.5% Notes and the guarantees (as set forth in the Indenture)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 (as defined below).</w:t>
      </w:r>
    </w:p>
    <w:p>
      <w:pPr>
        <w:spacing w:after="0" w:line="188" w:lineRule="exact"/>
        <w:rPr>
          <w:sz w:val="20"/>
          <w:szCs w:val="20"/>
          <w:color w:val="auto"/>
        </w:rPr>
      </w:pPr>
    </w:p>
    <w:p>
      <w:pPr>
        <w:jc w:val="both"/>
        <w:ind w:right="2100" w:firstLine="648"/>
        <w:spacing w:after="0" w:line="263" w:lineRule="auto"/>
        <w:rPr>
          <w:sz w:val="20"/>
          <w:szCs w:val="20"/>
          <w:color w:val="auto"/>
        </w:rPr>
      </w:pPr>
      <w:r>
        <w:rPr>
          <w:rFonts w:ascii="Arial" w:cs="Arial" w:eastAsia="Arial" w:hAnsi="Arial"/>
          <w:sz w:val="18"/>
          <w:szCs w:val="18"/>
          <w:color w:val="auto"/>
        </w:rPr>
        <w:t>The 6.5% Notes are redeemable by the Company, in whole or in part, at the respective redemption prices specified in the Indenture. We may also be required to make an offer to purchase the 6.5% Notes upon a change of control and certain sales of our assets.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Indenture contains covenants limiting, among other things, our ability and the Subsidiary Guarantors’ ability to: (a) pay dividends on or make distributions or repurchase or redeem our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our assets; (i) enter into transactions with affiliates; and (j) enter into agreements restricting our ability and certain of its subsidiaries’ ability to pay dividends. These covenants are subject to a number of exceptions. As of June 27, 2021, we were in compliance with the covenants contained in the Indenture governing the 6.5% Notes.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184"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27, 2021, there was $300.0 million of 6.5% Notes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20, 2017, we entered into an amended and restated credit and security agreement (as amended, the “Credit Agreement”), with the lenders from time to time party thereto, SunTrust Bank, as Agent (the “Agent”), PNC Bank, National Association (“PNC Bank”), as Joint Lead Arranger and Documentation Agent, and SunTrust Robinson Humphrey, Inc. (“SunTrust”),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our accounts receivable, inventory, deposit accounts, securities accounts, cash, securities and general intangibles (other than intellectual property) and (ii) a second priority lien, junior to the lien securing our 6.5% Notes, on all of our other assets.</w:t>
      </w:r>
    </w:p>
    <w:p>
      <w:pPr>
        <w:spacing w:after="0" w:line="208"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w:t>
      </w:r>
    </w:p>
    <w:p>
      <w:pPr>
        <w:spacing w:after="0" w:line="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 then held eligible raw materials inventory, work-in-process inventory, and applicable reserves.</w:t>
      </w:r>
    </w:p>
    <w:p>
      <w:pPr>
        <w:spacing w:after="0" w:line="220"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As of June 27, 2021, there were no borrowings outstanding on the Credit Agreement and $5.9 million was outstanding on letters of credit, resulting in net borrowing base availability of $64.4 million. We were in compliance with the financial covenants of the Credit Agreement as of June 27,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Israel Debt</w:t>
      </w:r>
    </w:p>
    <w:p>
      <w:pPr>
        <w:spacing w:after="0" w:line="239" w:lineRule="exact"/>
        <w:rPr>
          <w:sz w:val="20"/>
          <w:szCs w:val="20"/>
          <w:color w:val="auto"/>
        </w:rPr>
      </w:pPr>
    </w:p>
    <w:p>
      <w:pPr>
        <w:ind w:right="20" w:firstLine="648"/>
        <w:spacing w:after="0" w:line="264" w:lineRule="auto"/>
        <w:rPr>
          <w:sz w:val="20"/>
          <w:szCs w:val="20"/>
          <w:color w:val="auto"/>
        </w:rPr>
      </w:pPr>
      <w:r>
        <w:rPr>
          <w:rFonts w:ascii="Arial" w:cs="Arial" w:eastAsia="Arial" w:hAnsi="Arial"/>
          <w:sz w:val="16"/>
          <w:szCs w:val="16"/>
          <w:color w:val="auto"/>
        </w:rPr>
        <w:t>During August 2020, we entered into two 5-year term loans with two banks in Israel representing an aggregate principal amount of approximately $5.1 million. These loans were subsidized by the State of Israel as part of a COVID-19 relief package with interest at Israeli NIS prime interest, plus a margin of 1.5%. The first year of interest is paid by the State of Israel with subsequent interest and principal payments due monthly, commencing in August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2021. We intend to repay all amounts outstanding under this debt in the third quarter of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5-D Systems Loan</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acquisition of 5-D Systems, we assumed a loan in the amount of approximately $0.5 million with an interest rate of 1.0% that had been obtained under the Small Business Administration Paycheck Protection Program as part of a COVID-19 relief package. Payment of interest and principal is due monthly with the balance due in April 2022. The sellers of 5-D Systems applied for forgiveness of this loan and, as part of the purchase of 5-D Systems by the Company, have agreed to indemnify Kratos in the event the application for forgiveness of the loan was not accepted. The application was accepted and the loan was forgiven in July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w:t>
      </w:r>
    </w:p>
    <w:p>
      <w:pPr>
        <w:ind w:right="100"/>
        <w:spacing w:after="0" w:line="253" w:lineRule="auto"/>
        <w:rPr>
          <w:sz w:val="20"/>
          <w:szCs w:val="20"/>
          <w:color w:val="auto"/>
        </w:rPr>
      </w:pPr>
      <w:r>
        <w:rPr>
          <w:rFonts w:ascii="Arial" w:cs="Arial" w:eastAsia="Arial" w:hAnsi="Arial"/>
          <w:sz w:val="18"/>
          <w:szCs w:val="18"/>
          <w:color w:val="auto"/>
        </w:rPr>
        <w:t>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20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or Estimates” as compared to the significant accounting policies described in the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Since December 27, 2020, 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9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June 27, 2021.</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June 27,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See Note 15 of the Notes to Condensed Consolidated Financial Statements contained within this Quarterly Report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as well as the risk factors disclosed in Item 1A. to Part I of the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there have been no material changes in our risk factors as previously disclosed.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32"/>
            <w:vMerge w:val="restart"/>
          </w:tcPr>
          <w:p>
            <w:pPr>
              <w:ind w:left="6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0" w:type="dxa"/>
            <w:vAlign w:val="bottom"/>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gridSpan w:val="36"/>
          </w:tcPr>
          <w:p>
            <w:pPr>
              <w:spacing w:after="0" w:line="184"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Stock Purchase Agreement, dated February 28, 2018,</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among Kratos Defense &amp; Security Solutions, Inc.,</w:t>
              </w:r>
            </w:hyperlink>
          </w:p>
        </w:tc>
        <w:tc>
          <w:tcPr>
            <w:tcW w:w="20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6"/>
          </w:tcPr>
          <w:p>
            <w:pPr>
              <w:spacing w:after="0" w:line="156" w:lineRule="exact"/>
              <w:rPr>
                <w:rFonts w:ascii="Arial" w:cs="Arial" w:eastAsia="Arial" w:hAnsi="Arial"/>
                <w:sz w:val="18"/>
                <w:szCs w:val="18"/>
                <w:color w:val="0000FF"/>
                <w:w w:val="98"/>
              </w:rPr>
            </w:pPr>
            <w:hyperlink r:id="rId55">
              <w:r>
                <w:rPr>
                  <w:rFonts w:ascii="Arial" w:cs="Arial" w:eastAsia="Arial" w:hAnsi="Arial"/>
                  <w:sz w:val="18"/>
                  <w:szCs w:val="18"/>
                  <w:color w:val="0000FF"/>
                  <w:w w:val="98"/>
                </w:rPr>
                <w:t>Kratos Public Safety &amp; Security Solutions, Inc. and</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Securitas Electronic Security,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89"/>
              </w:rPr>
            </w:pPr>
            <w:hyperlink r:id="rId56">
              <w:r>
                <w:rPr>
                  <w:rFonts w:ascii="Arial" w:cs="Arial" w:eastAsia="Arial" w:hAnsi="Arial"/>
                  <w:sz w:val="18"/>
                  <w:szCs w:val="18"/>
                  <w:color w:val="0000FF"/>
                  <w:w w:val="89"/>
                </w:rPr>
                <w:t>Purchase Agreement, dated February 27, 2019, by and</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34"/>
          </w:tcPr>
          <w:p>
            <w:pPr>
              <w:spacing w:after="0" w:line="156" w:lineRule="exact"/>
              <w:rPr>
                <w:rFonts w:ascii="Arial" w:cs="Arial" w:eastAsia="Arial" w:hAnsi="Arial"/>
                <w:sz w:val="18"/>
                <w:szCs w:val="18"/>
                <w:color w:val="0000FF"/>
                <w:w w:val="98"/>
              </w:rPr>
            </w:pPr>
            <w:hyperlink r:id="rId56">
              <w:r>
                <w:rPr>
                  <w:rFonts w:ascii="Arial" w:cs="Arial" w:eastAsia="Arial" w:hAnsi="Arial"/>
                  <w:sz w:val="18"/>
                  <w:szCs w:val="18"/>
                  <w:color w:val="0000FF"/>
                  <w:w w:val="98"/>
                </w:rPr>
                <w:t>among Kratos Defense &amp; Security Solutions, Inc.,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56">
              <w:r>
                <w:rPr>
                  <w:rFonts w:ascii="Arial" w:cs="Arial" w:eastAsia="Arial" w:hAnsi="Arial"/>
                  <w:sz w:val="18"/>
                  <w:szCs w:val="18"/>
                  <w:color w:val="0000FF"/>
                  <w:w w:val="95"/>
                </w:rPr>
                <w:t>Shirley Brostmeyer, (“SB”), Joseph Brostmeyer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(“JB”), certain trusts established by SB, JB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members of their immediate family, and JB, as</w:t>
              </w:r>
            </w:hyperlink>
          </w:p>
        </w:tc>
        <w:tc>
          <w:tcPr>
            <w:tcW w:w="560" w:type="dxa"/>
            <w:vAlign w:val="bottom"/>
            <w:gridSpan w:val="23"/>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56">
              <w:r>
                <w:rPr>
                  <w:rFonts w:ascii="Arial" w:cs="Arial" w:eastAsia="Arial" w:hAnsi="Arial"/>
                  <w:sz w:val="18"/>
                  <w:szCs w:val="18"/>
                  <w:color w:val="0000FF"/>
                  <w:w w:val="88"/>
                </w:rPr>
                <w:t>Sellers Representative.</w:t>
              </w:r>
            </w:hyperlink>
          </w:p>
        </w:tc>
        <w:tc>
          <w:tcPr>
            <w:tcW w:w="20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3"/>
              </w:rPr>
            </w:pPr>
            <w:hyperlink r:id="rId57">
              <w:r>
                <w:rPr>
                  <w:rFonts w:ascii="Arial" w:cs="Arial" w:eastAsia="Arial" w:hAnsi="Arial"/>
                  <w:sz w:val="18"/>
                  <w:szCs w:val="18"/>
                  <w:color w:val="0000FF"/>
                  <w:w w:val="93"/>
                </w:rPr>
                <w:t>Amended and Restated Certificate of Incorporation of</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Kratos Defense &amp; Security Solutions, Inc.,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57">
              <w:r>
                <w:rPr>
                  <w:rFonts w:ascii="Arial" w:cs="Arial" w:eastAsia="Arial" w:hAnsi="Arial"/>
                  <w:sz w:val="18"/>
                  <w:szCs w:val="18"/>
                  <w:color w:val="0000FF"/>
                  <w:w w:val="84"/>
                </w:rPr>
                <w:t>amended.</w:t>
              </w:r>
            </w:hyperlink>
          </w:p>
        </w:tc>
        <w:tc>
          <w:tcPr>
            <w:tcW w:w="2580" w:type="dxa"/>
            <w:vAlign w:val="bottom"/>
            <w:tcBorders>
              <w:top w:val="single" w:sz="8" w:color="0000FF"/>
            </w:tcBorders>
            <w:gridSpan w:val="10"/>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rPr>
            </w:pPr>
            <w:hyperlink r:id="rId58">
              <w:r>
                <w:rPr>
                  <w:rFonts w:ascii="Arial" w:cs="Arial" w:eastAsia="Arial" w:hAnsi="Arial"/>
                  <w:sz w:val="18"/>
                  <w:szCs w:val="18"/>
                  <w:color w:val="0000FF"/>
                </w:rPr>
                <w:t>Second Amended and Restated Bylaws of Kratos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Defense &amp; Security Solutions, Inc., as amended.</w:t>
              </w:r>
            </w:hyperlink>
          </w:p>
        </w:tc>
        <w:tc>
          <w:tcPr>
            <w:tcW w:w="6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Borders>
              <w:bottom w:val="single" w:sz="8" w:color="0000FF"/>
            </w:tcBorders>
            <w:gridSpan w:val="6"/>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Specimen Stock Certificate.</w:t>
              </w:r>
            </w:hyperlink>
          </w:p>
        </w:tc>
        <w:tc>
          <w:tcPr>
            <w:tcW w:w="1960" w:type="dxa"/>
            <w:vAlign w:val="bottom"/>
            <w:gridSpan w:val="30"/>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0000FF"/>
            </w:tcBorders>
            <w:gridSpan w:val="22"/>
          </w:tcPr>
          <w:p>
            <w:pPr>
              <w:spacing w:after="0"/>
              <w:rPr>
                <w:rFonts w:ascii="Arial" w:cs="Arial" w:eastAsia="Arial" w:hAnsi="Arial"/>
                <w:sz w:val="18"/>
                <w:szCs w:val="18"/>
                <w:color w:val="0000FF"/>
                <w:w w:val="89"/>
              </w:rPr>
            </w:pPr>
            <w:hyperlink r:id="rId60">
              <w:r>
                <w:rPr>
                  <w:rFonts w:ascii="Arial" w:cs="Arial" w:eastAsia="Arial" w:hAnsi="Arial"/>
                  <w:sz w:val="18"/>
                  <w:szCs w:val="18"/>
                  <w:color w:val="0000FF"/>
                  <w:w w:val="89"/>
                </w:rPr>
                <w:t>Indenture, dated as of November 20, 2017, among</w:t>
              </w:r>
            </w:hyperlink>
          </w:p>
        </w:tc>
        <w:tc>
          <w:tcPr>
            <w:tcW w:w="3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6"/>
          </w:tcPr>
          <w:p>
            <w:pPr>
              <w:spacing w:after="0" w:line="156" w:lineRule="exact"/>
              <w:rPr>
                <w:rFonts w:ascii="Arial" w:cs="Arial" w:eastAsia="Arial" w:hAnsi="Arial"/>
                <w:sz w:val="18"/>
                <w:szCs w:val="18"/>
                <w:color w:val="0000FF"/>
                <w:w w:val="94"/>
              </w:rPr>
            </w:pPr>
            <w:hyperlink r:id="rId60">
              <w:r>
                <w:rPr>
                  <w:rFonts w:ascii="Arial" w:cs="Arial" w:eastAsia="Arial" w:hAnsi="Arial"/>
                  <w:sz w:val="18"/>
                  <w:szCs w:val="18"/>
                  <w:color w:val="0000FF"/>
                  <w:w w:val="94"/>
                </w:rPr>
                <w:t>Kratos Defense &amp; Security Solutions, Inc., as Issuer,</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the Guarantors party thereto, and Wilmington Trust,</w:t>
              </w:r>
            </w:hyperlink>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bottom w:val="single" w:sz="8" w:color="0000FF"/>
            </w:tcBorders>
            <w:gridSpan w:val="35"/>
          </w:tcPr>
          <w:p>
            <w:pPr>
              <w:spacing w:after="0" w:line="15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National Association, as Trustee and Collateral Agent.</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First Supplemental Indenture, dated as of December</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21, 2017, among Kratos Defense &amp; Security</w:t>
              </w:r>
            </w:hyperlink>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bottom w:val="single" w:sz="8" w:color="0000FF"/>
            </w:tcBorders>
            <w:gridSpan w:val="16"/>
          </w:tcPr>
          <w:p>
            <w:pPr>
              <w:spacing w:after="0" w:line="15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Solutions, Inc., as Issuer, the Guarantor as party</w:t>
              </w:r>
            </w:hyperlink>
          </w:p>
        </w:tc>
        <w:tc>
          <w:tcPr>
            <w:tcW w:w="50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36"/>
          </w:tcPr>
          <w:p>
            <w:pPr>
              <w:spacing w:after="0" w:line="156" w:lineRule="exact"/>
              <w:rPr>
                <w:rFonts w:ascii="Arial" w:cs="Arial" w:eastAsia="Arial" w:hAnsi="Arial"/>
                <w:sz w:val="18"/>
                <w:szCs w:val="18"/>
                <w:color w:val="0000FF"/>
                <w:w w:val="95"/>
              </w:rPr>
            </w:pPr>
            <w:hyperlink r:id="rId61">
              <w:r>
                <w:rPr>
                  <w:rFonts w:ascii="Arial" w:cs="Arial" w:eastAsia="Arial" w:hAnsi="Arial"/>
                  <w:sz w:val="18"/>
                  <w:szCs w:val="18"/>
                  <w:color w:val="0000FF"/>
                  <w:w w:val="95"/>
                </w:rPr>
                <w:t>thereto, and Wilmington Trust, National Association,</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4"/>
              </w:rPr>
            </w:pPr>
            <w:hyperlink r:id="rId61">
              <w:r>
                <w:rPr>
                  <w:rFonts w:ascii="Arial" w:cs="Arial" w:eastAsia="Arial" w:hAnsi="Arial"/>
                  <w:sz w:val="18"/>
                  <w:szCs w:val="18"/>
                  <w:color w:val="0000FF"/>
                  <w:w w:val="84"/>
                </w:rPr>
                <w:t>as Trustee.</w:t>
              </w:r>
            </w:hyperlink>
          </w:p>
        </w:tc>
        <w:tc>
          <w:tcPr>
            <w:tcW w:w="3040" w:type="dxa"/>
            <w:vAlign w:val="bottom"/>
            <w:tcBorders>
              <w:top w:val="single" w:sz="8" w:color="0000FF"/>
            </w:tcBorders>
            <w:gridSpan w:val="27"/>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Certification of Chief Executive Officer pursuant to</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27"/>
          </w:tcPr>
          <w:p>
            <w:pPr>
              <w:spacing w:after="0" w:line="156" w:lineRule="exact"/>
              <w:rPr>
                <w:rFonts w:ascii="Arial" w:cs="Arial" w:eastAsia="Arial" w:hAnsi="Arial"/>
                <w:sz w:val="18"/>
                <w:szCs w:val="18"/>
                <w:color w:val="0000FF"/>
                <w:w w:val="98"/>
              </w:rPr>
            </w:pPr>
            <w:hyperlink w:anchor="page42">
              <w:r>
                <w:rPr>
                  <w:rFonts w:ascii="Arial" w:cs="Arial" w:eastAsia="Arial" w:hAnsi="Arial"/>
                  <w:sz w:val="18"/>
                  <w:szCs w:val="18"/>
                  <w:color w:val="0000FF"/>
                  <w:w w:val="98"/>
                </w:rPr>
                <w:t>Section 302 of the Sarbanes Oxley Act of 2002.</w:t>
              </w:r>
            </w:hyperlink>
          </w:p>
        </w:tc>
        <w:tc>
          <w:tcPr>
            <w:tcW w:w="2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tcBorders>
            <w:gridSpan w:val="25"/>
          </w:tcPr>
          <w:p>
            <w:pPr>
              <w:spacing w:after="0" w:line="156" w:lineRule="exact"/>
              <w:rPr>
                <w:rFonts w:ascii="Arial" w:cs="Arial" w:eastAsia="Arial" w:hAnsi="Arial"/>
                <w:sz w:val="18"/>
                <w:szCs w:val="18"/>
                <w:color w:val="0000FF"/>
                <w:w w:val="98"/>
              </w:rPr>
            </w:pPr>
            <w:hyperlink w:anchor="page43">
              <w:r>
                <w:rPr>
                  <w:rFonts w:ascii="Arial" w:cs="Arial" w:eastAsia="Arial" w:hAnsi="Arial"/>
                  <w:sz w:val="18"/>
                  <w:szCs w:val="18"/>
                  <w:color w:val="0000FF"/>
                  <w:w w:val="98"/>
                </w:rPr>
                <w:t>Section 302 of the Sarbanes Oxley Act of 2002</w:t>
              </w:r>
            </w:hyperlink>
          </w:p>
        </w:tc>
        <w:tc>
          <w:tcPr>
            <w:tcW w:w="60" w:type="dxa"/>
            <w:vAlign w:val="bottom"/>
            <w:gridSpan w:val="3"/>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6"/>
              </w:rPr>
            </w:pPr>
            <w:hyperlink w:anchor="page44">
              <w:r>
                <w:rPr>
                  <w:rFonts w:ascii="Arial" w:cs="Arial" w:eastAsia="Arial" w:hAnsi="Arial"/>
                  <w:sz w:val="18"/>
                  <w:szCs w:val="18"/>
                  <w:color w:val="0000FF"/>
                  <w:w w:val="96"/>
                </w:rPr>
                <w:t>Certification pursuant to 18 U.S.C. Section 1350, as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8"/>
          </w:tcPr>
          <w:p>
            <w:pPr>
              <w:spacing w:after="0" w:line="156" w:lineRule="exact"/>
              <w:rPr>
                <w:rFonts w:ascii="Arial" w:cs="Arial" w:eastAsia="Arial" w:hAnsi="Arial"/>
                <w:sz w:val="18"/>
                <w:szCs w:val="18"/>
                <w:color w:val="0000FF"/>
                <w:w w:val="93"/>
              </w:rPr>
            </w:pPr>
            <w:hyperlink w:anchor="page44">
              <w:r>
                <w:rPr>
                  <w:rFonts w:ascii="Arial" w:cs="Arial" w:eastAsia="Arial" w:hAnsi="Arial"/>
                  <w:sz w:val="18"/>
                  <w:szCs w:val="18"/>
                  <w:color w:val="0000FF"/>
                  <w:w w:val="93"/>
                </w:rPr>
                <w:t>adopted pursuant to Section 906 of the Sarbanes-</w:t>
              </w:r>
            </w:hyperlink>
          </w:p>
        </w:tc>
        <w:tc>
          <w:tcPr>
            <w:tcW w:w="1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Oxley Act of 2002 for Eric M. DeMarco.</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11"/>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w w:val="96"/>
              </w:rPr>
            </w:pPr>
            <w:hyperlink w:anchor="page45">
              <w:r>
                <w:rPr>
                  <w:rFonts w:ascii="Arial" w:cs="Arial" w:eastAsia="Arial" w:hAnsi="Arial"/>
                  <w:sz w:val="18"/>
                  <w:szCs w:val="18"/>
                  <w:color w:val="0000FF"/>
                  <w:w w:val="96"/>
                </w:rPr>
                <w:t>Certification pursuant to 18 U.S.C. Section 1350, as</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8"/>
          </w:tcPr>
          <w:p>
            <w:pPr>
              <w:spacing w:after="0" w:line="156" w:lineRule="exact"/>
              <w:rPr>
                <w:rFonts w:ascii="Arial" w:cs="Arial" w:eastAsia="Arial" w:hAnsi="Arial"/>
                <w:sz w:val="18"/>
                <w:szCs w:val="18"/>
                <w:color w:val="0000FF"/>
                <w:w w:val="93"/>
              </w:rPr>
            </w:pPr>
            <w:hyperlink w:anchor="page45">
              <w:r>
                <w:rPr>
                  <w:rFonts w:ascii="Arial" w:cs="Arial" w:eastAsia="Arial" w:hAnsi="Arial"/>
                  <w:sz w:val="18"/>
                  <w:szCs w:val="18"/>
                  <w:color w:val="0000FF"/>
                  <w:w w:val="93"/>
                </w:rPr>
                <w:t>adopted pursuant to Section 906 of the Sarbanes-</w:t>
              </w:r>
            </w:hyperlink>
          </w:p>
        </w:tc>
        <w:tc>
          <w:tcPr>
            <w:tcW w:w="1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Oxley Act of 2002 for Deanna Lund.</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11"/>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Instance Document-the instance document</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20"/>
          </w:tcPr>
          <w:p>
            <w:pPr>
              <w:spacing w:after="0" w:line="156" w:lineRule="exact"/>
              <w:rPr>
                <w:rFonts w:ascii="Arial" w:cs="Arial" w:eastAsia="Arial" w:hAnsi="Arial"/>
                <w:sz w:val="18"/>
                <w:szCs w:val="18"/>
                <w:color w:val="0000FF"/>
                <w:w w:val="85"/>
              </w:rPr>
            </w:pPr>
            <w:hyperlink w:anchor="page3">
              <w:r>
                <w:rPr>
                  <w:rFonts w:ascii="Arial" w:cs="Arial" w:eastAsia="Arial" w:hAnsi="Arial"/>
                  <w:sz w:val="18"/>
                  <w:szCs w:val="18"/>
                  <w:color w:val="0000FF"/>
                  <w:w w:val="85"/>
                </w:rPr>
                <w:t>does not appear in the Interactive Data File because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12"/>
          </w:tcPr>
          <w:p>
            <w:pPr>
              <w:ind w:left="80"/>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its</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XBRL tags are embedded within the Inline XBRL</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document</w:t>
              </w:r>
            </w:hyperlink>
          </w:p>
        </w:tc>
        <w:tc>
          <w:tcPr>
            <w:tcW w:w="292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18"/>
                <w:szCs w:val="18"/>
                <w:color w:val="auto"/>
              </w:rPr>
            </w:pPr>
          </w:p>
        </w:tc>
        <w:tc>
          <w:tcPr>
            <w:tcW w:w="348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XBRL Taxonomy Extension Schema Document</w:t>
              </w:r>
            </w:hyperlink>
          </w:p>
        </w:tc>
        <w:tc>
          <w:tcPr>
            <w:tcW w:w="50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18"/>
                <w:szCs w:val="18"/>
                <w:color w:val="auto"/>
              </w:rPr>
            </w:pPr>
          </w:p>
        </w:tc>
        <w:tc>
          <w:tcPr>
            <w:tcW w:w="3980" w:type="dxa"/>
            <w:vAlign w:val="bottom"/>
            <w:gridSpan w:val="3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Calculation Linkbase</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920" w:type="dxa"/>
            <w:vAlign w:val="bottom"/>
            <w:tcBorders>
              <w:top w:val="single" w:sz="8" w:color="0000FF"/>
            </w:tcBorders>
            <w:gridSpan w:val="21"/>
          </w:tcPr>
          <w:p>
            <w:pPr>
              <w:spacing w:after="0"/>
              <w:rPr>
                <w:sz w:val="13"/>
                <w:szCs w:val="13"/>
                <w:color w:val="auto"/>
              </w:rPr>
            </w:pPr>
          </w:p>
        </w:tc>
        <w:tc>
          <w:tcPr>
            <w:tcW w:w="3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420"/>
        <w:spacing w:after="0"/>
        <w:rPr>
          <w:sz w:val="20"/>
          <w:szCs w:val="20"/>
          <w:color w:val="auto"/>
        </w:rPr>
      </w:pPr>
      <w:r>
        <w:rPr>
          <w:rFonts w:ascii="Arial" w:cs="Arial" w:eastAsia="Arial" w:hAnsi="Arial"/>
          <w:sz w:val="14"/>
          <w:szCs w:val="14"/>
          <w:b w:val="1"/>
          <w:bCs w:val="1"/>
          <w:color w:val="auto"/>
        </w:rPr>
        <w:t>Incorporated by</w:t>
      </w:r>
    </w:p>
    <w:p>
      <w:pPr>
        <w:jc w:val="center"/>
        <w:ind w:right="1420"/>
        <w:spacing w:after="0"/>
        <w:rPr>
          <w:sz w:val="20"/>
          <w:szCs w:val="20"/>
          <w:color w:val="auto"/>
        </w:rPr>
      </w:pPr>
      <w:r>
        <w:rPr>
          <w:rFonts w:ascii="Arial" w:cs="Arial" w:eastAsia="Arial" w:hAnsi="Arial"/>
          <w:sz w:val="14"/>
          <w:szCs w:val="14"/>
          <w:b w:val="1"/>
          <w:bCs w:val="1"/>
          <w:color w:val="auto"/>
        </w:rPr>
        <w:t>Reference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5"/>
              </w:rPr>
              <w:t>Filing Date/</w:t>
            </w: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35"/>
        </w:trPr>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Period End</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8"/>
        </w:trPr>
        <w:tc>
          <w:tcPr>
            <w:tcW w:w="142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70"/>
        </w:trPr>
        <w:tc>
          <w:tcPr>
            <w:tcW w:w="13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10-Q</w:t>
            </w:r>
          </w:p>
        </w:tc>
        <w:tc>
          <w:tcPr>
            <w:tcW w:w="100" w:type="dxa"/>
            <w:vAlign w:val="bottom"/>
          </w:tcPr>
          <w:p>
            <w:pPr>
              <w:spacing w:after="0"/>
              <w:rPr>
                <w:sz w:val="14"/>
                <w:szCs w:val="14"/>
                <w:color w:val="auto"/>
              </w:rPr>
            </w:pPr>
          </w:p>
        </w:tc>
        <w:tc>
          <w:tcPr>
            <w:tcW w:w="13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05/10/2018</w:t>
            </w:r>
          </w:p>
        </w:tc>
        <w:tc>
          <w:tcPr>
            <w:tcW w:w="120" w:type="dxa"/>
            <w:vAlign w:val="bottom"/>
          </w:tcPr>
          <w:p>
            <w:pPr>
              <w:spacing w:after="0"/>
              <w:rPr>
                <w:sz w:val="14"/>
                <w:szCs w:val="14"/>
                <w:color w:val="auto"/>
              </w:rPr>
            </w:pPr>
          </w:p>
        </w:tc>
        <w:tc>
          <w:tcPr>
            <w:tcW w:w="13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05/08/2019</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90"/>
              </w:rPr>
              <w:t>02/27/2017</w:t>
            </w:r>
          </w:p>
        </w:tc>
        <w:tc>
          <w:tcPr>
            <w:tcW w:w="12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90"/>
              </w:rPr>
              <w:t>11/21/2017</w:t>
            </w:r>
          </w:p>
        </w:tc>
        <w:tc>
          <w:tcPr>
            <w:tcW w:w="12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02/28/2018</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20" w:space="100"/>
            <w:col w:w="5620"/>
          </w:cols>
          <w:pgMar w:left="320" w:top="125" w:right="4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5"/>
              </w:rPr>
              <w:t>Filing Date/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35"/>
        </w:trPr>
        <w:tc>
          <w:tcPr>
            <w:tcW w:w="14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20" w:type="dxa"/>
            <w:vAlign w:val="bottom"/>
            <w:gridSpan w:val="6"/>
            <w:vMerge w:val="restart"/>
          </w:tcPr>
          <w:p>
            <w:pPr>
              <w:ind w:left="620"/>
              <w:spacing w:after="0"/>
              <w:rPr>
                <w:sz w:val="20"/>
                <w:szCs w:val="20"/>
                <w:color w:val="auto"/>
              </w:rPr>
            </w:pPr>
            <w:r>
              <w:rPr>
                <w:rFonts w:ascii="Arial" w:cs="Arial" w:eastAsia="Arial" w:hAnsi="Arial"/>
                <w:sz w:val="14"/>
                <w:szCs w:val="14"/>
                <w:b w:val="1"/>
                <w:bCs w:val="1"/>
                <w:color w:val="auto"/>
              </w:rPr>
              <w:t>Exhibit Description</w:t>
            </w:r>
          </w:p>
        </w:tc>
        <w:tc>
          <w:tcPr>
            <w:tcW w:w="14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Form</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Period End</w:t>
            </w:r>
          </w:p>
        </w:tc>
        <w:tc>
          <w:tcPr>
            <w:tcW w:w="14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Exhibit</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8"/>
        </w:trPr>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320" w:type="dxa"/>
            <w:vAlign w:val="bottom"/>
            <w:gridSpan w:val="6"/>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4"/>
        </w:trPr>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w w:val="92"/>
              </w:rPr>
              <w:t>101.DEF</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gridSpan w:val="6"/>
          </w:tcPr>
          <w:p>
            <w:pPr>
              <w:spacing w:after="0" w:line="184" w:lineRule="exact"/>
              <w:rPr>
                <w:rFonts w:ascii="Arial" w:cs="Arial" w:eastAsia="Arial" w:hAnsi="Arial"/>
                <w:sz w:val="18"/>
                <w:szCs w:val="18"/>
                <w:color w:val="0000FF"/>
              </w:rPr>
            </w:pPr>
            <w:hyperlink w:anchor="page3">
              <w:r>
                <w:rPr>
                  <w:rFonts w:ascii="Arial" w:cs="Arial" w:eastAsia="Arial" w:hAnsi="Arial"/>
                  <w:sz w:val="18"/>
                  <w:szCs w:val="18"/>
                  <w:color w:val="0000FF"/>
                </w:rPr>
                <w:t>XBRL Taxonomy Extension Definition Linkbase</w:t>
              </w:r>
            </w:hyperlink>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780" w:type="dxa"/>
            <w:vAlign w:val="bottom"/>
            <w:tcBorders>
              <w:top w:val="single" w:sz="8" w:color="0000FF"/>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18"/>
                <w:szCs w:val="18"/>
                <w:color w:val="auto"/>
              </w:rPr>
            </w:pPr>
          </w:p>
        </w:tc>
        <w:tc>
          <w:tcPr>
            <w:tcW w:w="408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Label Linkbase</w:t>
              </w:r>
            </w:hyperlink>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460" w:type="dxa"/>
            <w:vAlign w:val="bottom"/>
            <w:tcBorders>
              <w:top w:val="single" w:sz="8" w:color="0000FF"/>
            </w:tcBorders>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38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18"/>
                <w:szCs w:val="18"/>
                <w:color w:val="auto"/>
              </w:rPr>
            </w:pPr>
          </w:p>
        </w:tc>
        <w:tc>
          <w:tcPr>
            <w:tcW w:w="408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XBRL Taxonomy Extension Presentation Linkbase</w:t>
              </w:r>
            </w:hyperlink>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Document</w:t>
              </w:r>
            </w:hyperlink>
          </w:p>
        </w:tc>
        <w:tc>
          <w:tcPr>
            <w:tcW w:w="2940" w:type="dxa"/>
            <w:vAlign w:val="bottom"/>
            <w:tcBorders>
              <w:top w:val="single" w:sz="8" w:color="0000FF"/>
            </w:tcBorders>
            <w:gridSpan w:val="4"/>
          </w:tcPr>
          <w:p>
            <w:pPr>
              <w:spacing w:after="0"/>
              <w:rPr>
                <w:sz w:val="13"/>
                <w:szCs w:val="13"/>
                <w:color w:val="auto"/>
              </w:rPr>
            </w:pPr>
          </w:p>
        </w:tc>
        <w:tc>
          <w:tcPr>
            <w:tcW w:w="38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gridSpan w:val="7"/>
          </w:tcPr>
          <w:p>
            <w:pPr>
              <w:spacing w:after="0" w:line="196" w:lineRule="exact"/>
              <w:rPr>
                <w:sz w:val="20"/>
                <w:szCs w:val="20"/>
                <w:color w:val="auto"/>
              </w:rPr>
            </w:pPr>
            <w:r>
              <w:rPr>
                <w:rFonts w:ascii="Arial" w:cs="Arial" w:eastAsia="Arial" w:hAnsi="Arial"/>
                <w:sz w:val="18"/>
                <w:szCs w:val="18"/>
                <w:color w:val="auto"/>
                <w:w w:val="97"/>
              </w:rPr>
              <w:t>Cover Page Interactive Data File (formatted as inline</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7"/>
          </w:tcPr>
          <w:p>
            <w:pPr>
              <w:spacing w:after="0"/>
              <w:rPr>
                <w:sz w:val="20"/>
                <w:szCs w:val="20"/>
                <w:color w:val="auto"/>
              </w:rPr>
            </w:pPr>
            <w:r>
              <w:rPr>
                <w:rFonts w:ascii="Arial" w:cs="Arial" w:eastAsia="Arial" w:hAnsi="Arial"/>
                <w:sz w:val="18"/>
                <w:szCs w:val="18"/>
                <w:color w:val="auto"/>
              </w:rPr>
              <w:t>XBRL and contained in Exhibit 101)</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8"/>
        <w:spacing w:after="0" w:line="246"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(i) not material and (ii) the type of information that the registrant treats as private or confidential.</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82"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68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15"/>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22"/>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29"/>
        </w:trPr>
        <w:tc>
          <w:tcPr>
            <w:tcW w:w="50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30"/>
        </w:trPr>
        <w:tc>
          <w:tcPr>
            <w:tcW w:w="5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ind w:left="20"/>
        <w:spacing w:after="0"/>
        <w:tabs>
          <w:tab w:leader="none" w:pos="600" w:val="left"/>
        </w:tabs>
        <w:rPr>
          <w:sz w:val="20"/>
          <w:szCs w:val="20"/>
          <w:color w:val="auto"/>
        </w:rPr>
      </w:pPr>
      <w:r>
        <w:rPr>
          <w:rFonts w:ascii="Arial" w:cs="Arial" w:eastAsia="Arial" w:hAnsi="Arial"/>
          <w:sz w:val="18"/>
          <w:szCs w:val="18"/>
          <w:color w:val="auto"/>
        </w:rPr>
        <w:t>Date:</w:t>
        <w:tab/>
        <w:t>August 3,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5"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hanging="652"/>
        <w:spacing w:after="0" w:line="262"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60" w:right="520" w:hanging="652"/>
        <w:spacing w:after="0" w:line="24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00" w:right="300" w:hanging="644"/>
        <w:spacing w:after="0" w:line="252" w:lineRule="auto"/>
        <w:tabs>
          <w:tab w:leader="none" w:pos="1291"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100" w:hanging="644"/>
        <w:spacing w:after="0" w:line="246"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60" w:hanging="644"/>
        <w:spacing w:after="0" w:line="246" w:lineRule="auto"/>
        <w:tabs>
          <w:tab w:leader="none" w:pos="1291"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4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80" w:hanging="644"/>
        <w:spacing w:after="0" w:line="255" w:lineRule="auto"/>
        <w:tabs>
          <w:tab w:leader="none" w:pos="1291"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00" w:hanging="644"/>
        <w:spacing w:after="0" w:line="257"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hanging="652"/>
        <w:spacing w:after="0" w:line="26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7"/>
          <w:szCs w:val="17"/>
          <w:color w:val="auto"/>
        </w:rPr>
      </w:pPr>
    </w:p>
    <w:p>
      <w:pPr>
        <w:ind w:left="660" w:right="520" w:hanging="652"/>
        <w:spacing w:after="0" w:line="24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8"/>
          <w:szCs w:val="18"/>
          <w:color w:val="auto"/>
        </w:rPr>
      </w:pPr>
    </w:p>
    <w:p>
      <w:pPr>
        <w:ind w:left="1300" w:right="280" w:hanging="644"/>
        <w:spacing w:after="0" w:line="249" w:lineRule="auto"/>
        <w:tabs>
          <w:tab w:leader="none" w:pos="1297" w:val="left"/>
        </w:tabs>
        <w:numPr>
          <w:ilvl w:val="1"/>
          <w:numId w:val="9"/>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20" w:hanging="644"/>
        <w:spacing w:after="0" w:line="247" w:lineRule="auto"/>
        <w:tabs>
          <w:tab w:leader="none" w:pos="1294" w:val="left"/>
        </w:tabs>
        <w:numPr>
          <w:ilvl w:val="1"/>
          <w:numId w:val="9"/>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ind w:left="1300" w:right="140" w:hanging="644"/>
        <w:spacing w:after="0" w:line="248" w:lineRule="auto"/>
        <w:tabs>
          <w:tab w:leader="none" w:pos="1297" w:val="left"/>
        </w:tabs>
        <w:numPr>
          <w:ilvl w:val="1"/>
          <w:numId w:val="9"/>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34" w:val="left"/>
        </w:tabs>
        <w:numPr>
          <w:ilvl w:val="1"/>
          <w:numId w:val="9"/>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8"/>
          <w:szCs w:val="18"/>
          <w:color w:val="auto"/>
        </w:rPr>
      </w:pPr>
    </w:p>
    <w:p>
      <w:pPr>
        <w:ind w:left="1300" w:right="80" w:hanging="644"/>
        <w:spacing w:after="0" w:line="250" w:lineRule="auto"/>
        <w:tabs>
          <w:tab w:leader="none" w:pos="1297" w:val="left"/>
        </w:tabs>
        <w:numPr>
          <w:ilvl w:val="1"/>
          <w:numId w:val="9"/>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300" w:hanging="644"/>
        <w:spacing w:after="0" w:line="258" w:lineRule="auto"/>
        <w:tabs>
          <w:tab w:leader="none" w:pos="1294" w:val="left"/>
        </w:tabs>
        <w:numPr>
          <w:ilvl w:val="1"/>
          <w:numId w:val="9"/>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3454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240"/>
          </w:cols>
          <w:pgMar w:left="320" w:top="89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80" w:firstLine="162"/>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27, 2021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both"/>
        <w:ind w:right="40" w:firstLine="162"/>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27, 2021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3540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55" Type="http://schemas.openxmlformats.org/officeDocument/2006/relationships/hyperlink" Target="http://www.sec.gov/Archives/edgar/data/1069258/000106925818000021/ktos20180401ex-22.htm" TargetMode="External"/><Relationship Id="rId56" Type="http://schemas.openxmlformats.org/officeDocument/2006/relationships/hyperlink" Target="http://www.sec.gov/Archives/edgar/data/1069258/000106925819000017/exhibit23redacted.htm" TargetMode="External"/><Relationship Id="rId57" Type="http://schemas.openxmlformats.org/officeDocument/2006/relationships/hyperlink" Target="http://www.sec.gov/Archives/edgar/data/1069258/000106925817000009/ktos20161225ex-31.htm" TargetMode="External"/><Relationship Id="rId58" Type="http://schemas.openxmlformats.org/officeDocument/2006/relationships/hyperlink" Target="http://www.sec.gov/Archives/edgar/data/1069258/000106925817000009/ktos20161225ex-32.htm" TargetMode="External"/><Relationship Id="rId59" Type="http://schemas.openxmlformats.org/officeDocument/2006/relationships/hyperlink" Target="http://www.sec.gov/Archives/edgar/data/1069258/000106925817000009/kratoscommonformofcertif.htm" TargetMode="External"/><Relationship Id="rId60" Type="http://schemas.openxmlformats.org/officeDocument/2006/relationships/hyperlink" Target="http://www.sec.gov/Archives/edgar/data/1069258/000110465917069690/a17-27375_1ex4d1.htm" TargetMode="External"/><Relationship Id="rId61" Type="http://schemas.openxmlformats.org/officeDocument/2006/relationships/hyperlink" Target="http://www.sec.gov/Archives/edgar/data/1069258/000106925818000006/ktos20171231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2021-08-03T15:54:05Z</dcterms:created>
  <dcterms:modified xsi:type="dcterms:W3CDTF">2021-08-03T15:54:05Z</dcterms:modified>
</cp:coreProperties>
</file>