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462915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488950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116205</wp:posOffset>
            </wp:positionV>
            <wp:extent cx="3711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77" w:lineRule="exact"/>
        <w:rPr>
          <w:sz w:val="24"/>
          <w:szCs w:val="24"/>
          <w:color w:val="auto"/>
        </w:rPr>
      </w:pPr>
    </w:p>
    <w:p>
      <w:pPr>
        <w:ind w:left="800" w:hanging="401"/>
        <w:spacing w:after="0"/>
        <w:tabs>
          <w:tab w:leader="none" w:pos="800" w:val="left"/>
        </w:tabs>
        <w:numPr>
          <w:ilvl w:val="0"/>
          <w:numId w:val="1"/>
        </w:numPr>
        <w:rPr>
          <w:rFonts w:ascii="MS PGothic" w:cs="MS PGothic" w:eastAsia="MS PGothic" w:hAnsi="MS PGothic"/>
          <w:sz w:val="24"/>
          <w:szCs w:val="24"/>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27, 2020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36" w:lineRule="exact"/>
        <w:rPr>
          <w:sz w:val="24"/>
          <w:szCs w:val="24"/>
          <w:color w:val="auto"/>
        </w:rPr>
      </w:pPr>
    </w:p>
    <w:p>
      <w:pPr>
        <w:ind w:left="800" w:hanging="417"/>
        <w:spacing w:after="0"/>
        <w:tabs>
          <w:tab w:leader="none" w:pos="800" w:val="left"/>
        </w:tabs>
        <w:numPr>
          <w:ilvl w:val="0"/>
          <w:numId w:val="2"/>
        </w:numPr>
        <w:rPr>
          <w:rFonts w:ascii="MS PGothic" w:cs="MS PGothic" w:eastAsia="MS PGothic" w:hAnsi="MS PGothic"/>
          <w:sz w:val="24"/>
          <w:szCs w:val="24"/>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24" w:lineRule="exact"/>
        <w:rPr>
          <w:rFonts w:ascii="MS PGothic" w:cs="MS PGothic" w:eastAsia="MS PGothic" w:hAnsi="MS PGothic"/>
          <w:sz w:val="24"/>
          <w:szCs w:val="24"/>
          <w:color w:val="auto"/>
        </w:rPr>
      </w:pPr>
    </w:p>
    <w:p>
      <w:pPr>
        <w:ind w:left="3500"/>
        <w:spacing w:after="0"/>
        <w:rPr>
          <w:rFonts w:ascii="MS PGothic" w:cs="MS PGothic" w:eastAsia="MS PGothic" w:hAnsi="MS PGothic"/>
          <w:sz w:val="24"/>
          <w:szCs w:val="24"/>
          <w:color w:val="auto"/>
        </w:rPr>
      </w:pPr>
      <w:r>
        <w:rPr>
          <w:rFonts w:ascii="Times New Roman" w:cs="Times New Roman" w:eastAsia="Times New Roman" w:hAnsi="Times New Roman"/>
          <w:sz w:val="18"/>
          <w:szCs w:val="18"/>
          <w:color w:val="auto"/>
        </w:rPr>
        <w:t>For the transition period from __________ to __________</w:t>
      </w:r>
    </w:p>
    <w:p>
      <w:pPr>
        <w:spacing w:after="0" w:line="7" w:lineRule="exact"/>
        <w:rPr>
          <w:rFonts w:ascii="MS PGothic" w:cs="MS PGothic" w:eastAsia="MS PGothic" w:hAnsi="MS PGothic"/>
          <w:sz w:val="24"/>
          <w:szCs w:val="24"/>
          <w:color w:val="auto"/>
        </w:rPr>
      </w:pPr>
    </w:p>
    <w:p>
      <w:pPr>
        <w:ind w:left="4260"/>
        <w:spacing w:after="0"/>
        <w:rPr>
          <w:rFonts w:ascii="MS PGothic" w:cs="MS PGothic" w:eastAsia="MS PGothic" w:hAnsi="MS PGothic"/>
          <w:sz w:val="24"/>
          <w:szCs w:val="24"/>
          <w:color w:val="auto"/>
        </w:rPr>
      </w:pPr>
      <w:r>
        <w:rPr>
          <w:rFonts w:ascii="Times New Roman" w:cs="Times New Roman" w:eastAsia="Times New Roman" w:hAnsi="Times New Roman"/>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108585</wp:posOffset>
            </wp:positionV>
            <wp:extent cx="3711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KRATOS DEFENSE &amp; SECURITY SOLUTIONS,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229" w:right="359" w:bottom="1440" w:gutter="0" w:footer="0" w:header="0"/>
        </w:sectPr>
      </w:pPr>
    </w:p>
    <w:p>
      <w:pPr>
        <w:spacing w:after="0" w:line="120"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13-3818604</w:t>
      </w:r>
    </w:p>
    <w:p>
      <w:pPr>
        <w:spacing w:after="0" w:line="15" w:lineRule="exact"/>
        <w:rPr>
          <w:sz w:val="24"/>
          <w:szCs w:val="24"/>
          <w:color w:val="auto"/>
        </w:rPr>
      </w:pPr>
    </w:p>
    <w:p>
      <w:pPr>
        <w:sectPr>
          <w:pgSz w:w="11900" w:h="16838" w:orient="portrait"/>
          <w:cols w:equalWidth="0" w:num="2">
            <w:col w:w="7240" w:space="720"/>
            <w:col w:w="3260"/>
          </w:cols>
          <w:pgMar w:left="320" w:top="229" w:right="35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172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74" w:lineRule="exact"/>
        <w:rPr>
          <w:sz w:val="24"/>
          <w:szCs w:val="24"/>
          <w:color w:val="auto"/>
        </w:rPr>
      </w:pPr>
    </w:p>
    <w:p>
      <w:pPr>
        <w:sectPr>
          <w:pgSz w:w="11900" w:h="16838" w:orient="portrait"/>
          <w:cols w:equalWidth="0" w:num="2">
            <w:col w:w="6380" w:space="720"/>
            <w:col w:w="4120"/>
          </w:cols>
          <w:pgMar w:left="320" w:top="229"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10680 Treena St., Suite 600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San Diego, CA 92131</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(858) 812-7300</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area code, of registrant’s principal executive offices)</w:t>
      </w:r>
    </w:p>
    <w:p>
      <w:pPr>
        <w:spacing w:after="0" w:line="28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3"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4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KTOS</w:t>
            </w:r>
          </w:p>
        </w:tc>
        <w:tc>
          <w:tcPr>
            <w:tcW w:w="374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169"/>
        </w:trPr>
        <w:tc>
          <w:tcPr>
            <w:tcW w:w="26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80" w:type="dxa"/>
            <w:vAlign w:val="bottom"/>
          </w:tcPr>
          <w:p>
            <w:pPr>
              <w:spacing w:after="0"/>
              <w:rPr>
                <w:sz w:val="14"/>
                <w:szCs w:val="14"/>
                <w:color w:val="auto"/>
              </w:rPr>
            </w:pPr>
          </w:p>
        </w:tc>
      </w:tr>
    </w:tbl>
    <w:p>
      <w:pPr>
        <w:spacing w:after="0" w:line="29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7" w:lineRule="exact"/>
        <w:rPr>
          <w:sz w:val="24"/>
          <w:szCs w:val="24"/>
          <w:color w:val="auto"/>
        </w:rPr>
      </w:pPr>
    </w:p>
    <w:p>
      <w:pPr>
        <w:jc w:val="both"/>
        <w:ind w:right="2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1" w:lineRule="exact"/>
        <w:rPr>
          <w:sz w:val="24"/>
          <w:szCs w:val="24"/>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9" w:right="359" w:bottom="1440" w:gutter="0" w:footer="0" w:header="0"/>
          <w:type w:val="continuous"/>
        </w:sectPr>
      </w:pPr>
    </w:p>
    <w:p>
      <w:pPr>
        <w:spacing w:after="0" w:line="297"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24" w:lineRule="exact"/>
        <w:rPr>
          <w:sz w:val="24"/>
          <w:szCs w:val="24"/>
          <w:color w:val="auto"/>
        </w:rPr>
      </w:pPr>
    </w:p>
    <w:p>
      <w:pPr>
        <w:sectPr>
          <w:pgSz w:w="11900" w:h="16838" w:orient="portrait"/>
          <w:cols w:equalWidth="0" w:num="4">
            <w:col w:w="4120" w:space="720"/>
            <w:col w:w="1720" w:space="720"/>
            <w:col w:w="2600" w:space="720"/>
            <w:col w:w="620"/>
          </w:cols>
          <w:pgMar w:left="320" w:top="229" w:right="359" w:bottom="1440" w:gutter="0" w:footer="0" w:header="0"/>
          <w:type w:val="continuous"/>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11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4120" w:space="720"/>
            <w:col w:w="1320" w:space="720"/>
            <w:col w:w="2880" w:space="720"/>
            <w:col w:w="740"/>
          </w:cols>
          <w:pgMar w:left="320" w:top="229" w:right="359" w:bottom="1440" w:gutter="0" w:footer="0" w:header="0"/>
          <w:type w:val="continuous"/>
        </w:sectPr>
      </w:pPr>
    </w:p>
    <w:p>
      <w:pPr>
        <w:spacing w:after="0" w:line="177" w:lineRule="exact"/>
        <w:rPr>
          <w:sz w:val="24"/>
          <w:szCs w:val="24"/>
          <w:color w:val="auto"/>
        </w:rPr>
      </w:pPr>
    </w:p>
    <w:p>
      <w:pPr>
        <w:ind w:left="688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424" w:lineRule="exact"/>
        <w:rPr>
          <w:sz w:val="24"/>
          <w:szCs w:val="24"/>
          <w:color w:val="auto"/>
        </w:rPr>
      </w:pPr>
    </w:p>
    <w:p>
      <w:pPr>
        <w:sectPr>
          <w:pgSz w:w="11900" w:h="16838" w:orient="portrait"/>
          <w:cols w:equalWidth="0" w:num="2">
            <w:col w:w="9760" w:space="720"/>
            <w:col w:w="740"/>
          </w:cols>
          <w:pgMar w:left="320" w:top="229" w:right="359" w:bottom="1440" w:gutter="0" w:footer="0" w:header="0"/>
          <w:type w:val="continuous"/>
        </w:sectPr>
      </w:pPr>
    </w:p>
    <w:p>
      <w:pPr>
        <w:spacing w:after="0" w:line="52" w:lineRule="exact"/>
        <w:rPr>
          <w:sz w:val="24"/>
          <w:szCs w:val="24"/>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4" w:lineRule="exact"/>
        <w:rPr>
          <w:sz w:val="24"/>
          <w:szCs w:val="24"/>
          <w:color w:val="auto"/>
        </w:rPr>
      </w:pPr>
    </w:p>
    <w:p>
      <w:pPr>
        <w:ind w:left="340" w:right="1560"/>
        <w:spacing w:after="0" w:line="33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As of October 23, 2020, 122,756,128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738505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86995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112395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27, 2020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700" w:type="dxa"/>
            <w:vAlign w:val="bottom"/>
            <w:gridSpan w:val="11"/>
          </w:tcPr>
          <w:p>
            <w:pPr>
              <w:jc w:val="center"/>
              <w:ind w:right="3040"/>
              <w:spacing w:after="0"/>
              <w:rPr>
                <w:rFonts w:ascii="Times New Roman" w:cs="Times New Roman" w:eastAsia="Times New Roman" w:hAnsi="Times New Roman"/>
                <w:sz w:val="18"/>
                <w:szCs w:val="18"/>
                <w:b w:val="1"/>
                <w:bCs w:val="1"/>
                <w:u w:val="single" w:color="auto"/>
                <w:color w:val="0000FF"/>
                <w:w w:val="98"/>
              </w:rPr>
            </w:pPr>
            <w:hyperlink w:anchor="page2">
              <w:r>
                <w:rPr>
                  <w:rFonts w:ascii="Times New Roman" w:cs="Times New Roman" w:eastAsia="Times New Roman" w:hAnsi="Times New Roman"/>
                  <w:sz w:val="18"/>
                  <w:szCs w:val="18"/>
                  <w:b w:val="1"/>
                  <w:bCs w:val="1"/>
                  <w:u w:val="single" w:color="auto"/>
                  <w:color w:val="0000FF"/>
                  <w:w w:val="98"/>
                </w:rPr>
                <w:t>PART I. FINANCIAL INFORMATION</w:t>
              </w:r>
            </w:hyperlink>
          </w:p>
        </w:tc>
        <w:tc>
          <w:tcPr>
            <w:tcW w:w="580" w:type="dxa"/>
            <w:vAlign w:val="bottom"/>
          </w:tcPr>
          <w:p>
            <w:pPr>
              <w:spacing w:after="0"/>
              <w:rPr>
                <w:sz w:val="18"/>
                <w:szCs w:val="18"/>
                <w:color w:val="auto"/>
              </w:rPr>
            </w:pPr>
          </w:p>
        </w:tc>
      </w:tr>
      <w:tr>
        <w:trPr>
          <w:trHeight w:val="459"/>
        </w:trPr>
        <w:tc>
          <w:tcPr>
            <w:tcW w:w="800" w:type="dxa"/>
            <w:vAlign w:val="bottom"/>
          </w:tcPr>
          <w:p>
            <w:pPr>
              <w:ind w:left="2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Item 1.</w:t>
              </w:r>
            </w:hyperlink>
          </w:p>
        </w:tc>
        <w:tc>
          <w:tcPr>
            <w:tcW w:w="9860" w:type="dxa"/>
            <w:vAlign w:val="bottom"/>
            <w:gridSpan w:val="15"/>
          </w:tcPr>
          <w:p>
            <w:pPr>
              <w:ind w:left="14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Financial Statements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3</w:t>
              </w:r>
            </w:hyperlink>
          </w:p>
        </w:tc>
      </w:tr>
      <w:tr>
        <w:trPr>
          <w:trHeight w:val="418"/>
        </w:trPr>
        <w:tc>
          <w:tcPr>
            <w:tcW w:w="800" w:type="dxa"/>
            <w:vAlign w:val="bottom"/>
          </w:tcPr>
          <w:p>
            <w:pPr>
              <w:spacing w:after="0"/>
              <w:rPr>
                <w:sz w:val="24"/>
                <w:szCs w:val="24"/>
                <w:color w:val="auto"/>
              </w:rPr>
            </w:pPr>
          </w:p>
        </w:tc>
        <w:tc>
          <w:tcPr>
            <w:tcW w:w="9860" w:type="dxa"/>
            <w:vAlign w:val="bottom"/>
            <w:gridSpan w:val="15"/>
          </w:tcPr>
          <w:p>
            <w:pPr>
              <w:ind w:left="14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u w:val="single" w:color="auto"/>
                  <w:color w:val="0000FF"/>
                </w:rPr>
                <w:t>Condensed Consolidated Balance Sheets at September</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FF"/>
              </w:rPr>
              <w:t xml:space="preserve">27, </w:t>
            </w:r>
            <w:hyperlink w:anchor="page3">
              <w:r>
                <w:rPr>
                  <w:rFonts w:ascii="Times New Roman" w:cs="Times New Roman" w:eastAsia="Times New Roman" w:hAnsi="Times New Roman"/>
                  <w:sz w:val="18"/>
                  <w:szCs w:val="18"/>
                  <w:u w:val="single" w:color="auto"/>
                  <w:color w:val="0000FF"/>
                </w:rPr>
                <w:t>2020 and December 29, 2019 (unaudited)</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4</w:t>
              </w:r>
            </w:hyperlink>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39"/>
        </w:trPr>
        <w:tc>
          <w:tcPr>
            <w:tcW w:w="800" w:type="dxa"/>
            <w:vAlign w:val="bottom"/>
          </w:tcPr>
          <w:p>
            <w:pPr>
              <w:spacing w:after="0"/>
              <w:rPr>
                <w:sz w:val="24"/>
                <w:szCs w:val="24"/>
                <w:color w:val="auto"/>
              </w:rPr>
            </w:pPr>
          </w:p>
        </w:tc>
        <w:tc>
          <w:tcPr>
            <w:tcW w:w="9860" w:type="dxa"/>
            <w:vAlign w:val="bottom"/>
            <w:gridSpan w:val="15"/>
          </w:tcPr>
          <w:p>
            <w:pPr>
              <w:ind w:left="14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Condensed Consolidated Statements of Operations and Comprehensive Income</w:t>
              </w:r>
              <w:r>
                <w:rPr>
                  <w:rFonts w:ascii="Times New Roman" w:cs="Times New Roman" w:eastAsia="Times New Roman" w:hAnsi="Times New Roman"/>
                  <w:sz w:val="18"/>
                  <w:szCs w:val="18"/>
                  <w:color w:val="0000FF"/>
                </w:rPr>
                <w:t xml:space="preserve"> for the Three and Nine Months Ended September 27,</w:t>
              </w:r>
            </w:hyperlink>
          </w:p>
        </w:tc>
        <w:tc>
          <w:tcPr>
            <w:tcW w:w="580" w:type="dxa"/>
            <w:vAlign w:val="bottom"/>
          </w:tcPr>
          <w:p>
            <w:pPr>
              <w:spacing w:after="0"/>
              <w:rPr>
                <w:sz w:val="24"/>
                <w:szCs w:val="24"/>
                <w:color w:val="auto"/>
              </w:rPr>
            </w:pPr>
          </w:p>
        </w:tc>
      </w:tr>
      <w:tr>
        <w:trPr>
          <w:trHeight w:val="156"/>
        </w:trPr>
        <w:tc>
          <w:tcPr>
            <w:tcW w:w="800" w:type="dxa"/>
            <w:vAlign w:val="bottom"/>
          </w:tcPr>
          <w:p>
            <w:pPr>
              <w:spacing w:after="0"/>
              <w:rPr>
                <w:sz w:val="13"/>
                <w:szCs w:val="13"/>
                <w:color w:val="auto"/>
              </w:rPr>
            </w:pPr>
          </w:p>
        </w:tc>
        <w:tc>
          <w:tcPr>
            <w:tcW w:w="5900" w:type="dxa"/>
            <w:vAlign w:val="bottom"/>
            <w:gridSpan w:val="7"/>
          </w:tcPr>
          <w:p>
            <w:pPr>
              <w:ind w:left="140"/>
              <w:spacing w:after="0" w:line="156"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2020 and September 29, 2019 (unaudited)</w:t>
              </w:r>
            </w:hyperlink>
          </w:p>
        </w:tc>
        <w:tc>
          <w:tcPr>
            <w:tcW w:w="7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6" w:lineRule="exact"/>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5</w:t>
              </w:r>
            </w:hyperlink>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80"/>
        </w:trPr>
        <w:tc>
          <w:tcPr>
            <w:tcW w:w="800" w:type="dxa"/>
            <w:vAlign w:val="bottom"/>
          </w:tcPr>
          <w:p>
            <w:pPr>
              <w:spacing w:after="0"/>
              <w:rPr>
                <w:sz w:val="24"/>
                <w:szCs w:val="24"/>
                <w:color w:val="auto"/>
              </w:rPr>
            </w:pPr>
          </w:p>
        </w:tc>
        <w:tc>
          <w:tcPr>
            <w:tcW w:w="9860" w:type="dxa"/>
            <w:vAlign w:val="bottom"/>
            <w:gridSpan w:val="15"/>
          </w:tcPr>
          <w:p>
            <w:pPr>
              <w:ind w:left="14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u w:val="single" w:color="auto"/>
                  <w:color w:val="0000FF"/>
                </w:rPr>
                <w:t xml:space="preserve">Condensed Consolidated Statements of Stockholders’ Equity for the Three and Nine Months Ended </w:t>
              </w:r>
            </w:hyperlink>
            <w:hyperlink w:anchor="page4">
              <w:r>
                <w:rPr>
                  <w:rFonts w:ascii="Times New Roman" w:cs="Times New Roman" w:eastAsia="Times New Roman" w:hAnsi="Times New Roman"/>
                  <w:sz w:val="18"/>
                  <w:szCs w:val="18"/>
                  <w:u w:val="single" w:color="auto"/>
                  <w:color w:val="0000FF"/>
                </w:rPr>
                <w:t xml:space="preserve">September </w:t>
              </w:r>
            </w:hyperlink>
            <w:r>
              <w:rPr>
                <w:rFonts w:ascii="Times New Roman" w:cs="Times New Roman" w:eastAsia="Times New Roman" w:hAnsi="Times New Roman"/>
                <w:sz w:val="18"/>
                <w:szCs w:val="18"/>
                <w:color w:val="0000FF"/>
              </w:rPr>
              <w:t xml:space="preserve">27, </w:t>
            </w:r>
            <w:hyperlink w:anchor="page5">
              <w:r>
                <w:rPr>
                  <w:rFonts w:ascii="Times New Roman" w:cs="Times New Roman" w:eastAsia="Times New Roman" w:hAnsi="Times New Roman"/>
                  <w:sz w:val="18"/>
                  <w:szCs w:val="18"/>
                  <w:u w:val="single" w:color="auto"/>
                  <w:color w:val="0000FF"/>
                </w:rPr>
                <w:t>2020 and</w:t>
              </w:r>
            </w:hyperlink>
          </w:p>
        </w:tc>
        <w:tc>
          <w:tcPr>
            <w:tcW w:w="580" w:type="dxa"/>
            <w:vAlign w:val="bottom"/>
          </w:tcPr>
          <w:p>
            <w:pPr>
              <w:spacing w:after="0"/>
              <w:rPr>
                <w:sz w:val="24"/>
                <w:szCs w:val="24"/>
                <w:color w:val="auto"/>
              </w:rPr>
            </w:pPr>
          </w:p>
        </w:tc>
      </w:tr>
      <w:tr>
        <w:trPr>
          <w:trHeight w:val="155"/>
        </w:trPr>
        <w:tc>
          <w:tcPr>
            <w:tcW w:w="800" w:type="dxa"/>
            <w:vAlign w:val="bottom"/>
          </w:tcPr>
          <w:p>
            <w:pPr>
              <w:spacing w:after="0"/>
              <w:rPr>
                <w:sz w:val="13"/>
                <w:szCs w:val="13"/>
                <w:color w:val="auto"/>
              </w:rPr>
            </w:pPr>
          </w:p>
        </w:tc>
        <w:tc>
          <w:tcPr>
            <w:tcW w:w="8120" w:type="dxa"/>
            <w:vAlign w:val="bottom"/>
            <w:gridSpan w:val="10"/>
          </w:tcPr>
          <w:p>
            <w:pPr>
              <w:ind w:left="140"/>
              <w:spacing w:after="0" w:line="156"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September</w:t>
              </w:r>
              <w:r>
                <w:rPr>
                  <w:rFonts w:ascii="Times New Roman" w:cs="Times New Roman" w:eastAsia="Times New Roman" w:hAnsi="Times New Roman"/>
                  <w:sz w:val="18"/>
                  <w:szCs w:val="18"/>
                  <w:color w:val="0000FF"/>
                </w:rPr>
                <w:t xml:space="preserve"> </w:t>
              </w:r>
            </w:hyperlink>
            <w:hyperlink w:anchor="page5">
              <w:r>
                <w:rPr>
                  <w:rFonts w:ascii="Times New Roman" w:cs="Times New Roman" w:eastAsia="Times New Roman" w:hAnsi="Times New Roman"/>
                  <w:sz w:val="18"/>
                  <w:szCs w:val="18"/>
                  <w:color w:val="0000FF"/>
                </w:rPr>
                <w:t xml:space="preserve">29, </w:t>
              </w:r>
              <w:r>
                <w:rPr>
                  <w:rFonts w:ascii="Times New Roman" w:cs="Times New Roman" w:eastAsia="Times New Roman" w:hAnsi="Times New Roman"/>
                  <w:sz w:val="18"/>
                  <w:szCs w:val="18"/>
                  <w:u w:val="single" w:color="auto"/>
                  <w:color w:val="0000FF"/>
                </w:rPr>
                <w:t>2019 (unaudited)</w:t>
              </w:r>
            </w:hyperlink>
          </w:p>
        </w:tc>
        <w:tc>
          <w:tcPr>
            <w:tcW w:w="2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spacing w:after="0"/>
              <w:rPr>
                <w:sz w:val="13"/>
                <w:szCs w:val="13"/>
                <w:color w:val="auto"/>
              </w:rPr>
            </w:pPr>
          </w:p>
        </w:tc>
        <w:tc>
          <w:tcPr>
            <w:tcW w:w="580" w:type="dxa"/>
            <w:vAlign w:val="bottom"/>
          </w:tcPr>
          <w:p>
            <w:pPr>
              <w:jc w:val="right"/>
              <w:spacing w:after="0" w:line="156" w:lineRule="exact"/>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7</w:t>
              </w:r>
            </w:hyperlink>
          </w:p>
        </w:tc>
      </w:tr>
      <w:tr>
        <w:trPr>
          <w:trHeight w:val="20"/>
        </w:trPr>
        <w:tc>
          <w:tcPr>
            <w:tcW w:w="800" w:type="dxa"/>
            <w:vAlign w:val="bottom"/>
          </w:tcPr>
          <w:p>
            <w:pPr>
              <w:spacing w:after="0" w:line="20" w:lineRule="exact"/>
              <w:rPr>
                <w:sz w:val="1"/>
                <w:szCs w:val="1"/>
                <w:color w:val="auto"/>
              </w:rPr>
            </w:pPr>
          </w:p>
        </w:tc>
        <w:tc>
          <w:tcPr>
            <w:tcW w:w="960" w:type="dxa"/>
            <w:vAlign w:val="bottom"/>
            <w:tcBorders>
              <w:right w:val="single" w:sz="8" w:color="0000FF"/>
            </w:tcBorders>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5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79"/>
        </w:trPr>
        <w:tc>
          <w:tcPr>
            <w:tcW w:w="800" w:type="dxa"/>
            <w:vAlign w:val="bottom"/>
          </w:tcPr>
          <w:p>
            <w:pPr>
              <w:spacing w:after="0"/>
              <w:rPr>
                <w:sz w:val="24"/>
                <w:szCs w:val="24"/>
                <w:color w:val="auto"/>
              </w:rPr>
            </w:pPr>
          </w:p>
        </w:tc>
        <w:tc>
          <w:tcPr>
            <w:tcW w:w="9860" w:type="dxa"/>
            <w:vAlign w:val="bottom"/>
            <w:gridSpan w:val="15"/>
          </w:tcPr>
          <w:p>
            <w:pPr>
              <w:ind w:left="140"/>
              <w:spacing w:after="0"/>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u w:val="single" w:color="auto"/>
                  <w:color w:val="0000FF"/>
                </w:rPr>
                <w:t>Condensed Consolidated Statements of Cash Flows for the Nine Months Ended September</w:t>
              </w:r>
              <w:r>
                <w:rPr>
                  <w:rFonts w:ascii="Times New Roman" w:cs="Times New Roman" w:eastAsia="Times New Roman" w:hAnsi="Times New Roman"/>
                  <w:sz w:val="18"/>
                  <w:szCs w:val="18"/>
                  <w:color w:val="0000FF"/>
                </w:rPr>
                <w:t xml:space="preserve"> 27, </w:t>
              </w:r>
              <w:r>
                <w:rPr>
                  <w:rFonts w:ascii="Times New Roman" w:cs="Times New Roman" w:eastAsia="Times New Roman" w:hAnsi="Times New Roman"/>
                  <w:sz w:val="18"/>
                  <w:szCs w:val="18"/>
                  <w:u w:val="single" w:color="auto"/>
                  <w:color w:val="0000FF"/>
                </w:rPr>
                <w:t>2020 and September</w:t>
              </w:r>
              <w:r>
                <w:rPr>
                  <w:rFonts w:ascii="Times New Roman" w:cs="Times New Roman" w:eastAsia="Times New Roman" w:hAnsi="Times New Roman"/>
                  <w:sz w:val="18"/>
                  <w:szCs w:val="18"/>
                  <w:color w:val="0000FF"/>
                </w:rPr>
                <w:t xml:space="preserve"> 29, 2019</w:t>
              </w:r>
            </w:hyperlink>
          </w:p>
        </w:tc>
        <w:tc>
          <w:tcPr>
            <w:tcW w:w="580" w:type="dxa"/>
            <w:vAlign w:val="bottom"/>
          </w:tcPr>
          <w:p>
            <w:pPr>
              <w:spacing w:after="0"/>
              <w:rPr>
                <w:sz w:val="24"/>
                <w:szCs w:val="24"/>
                <w:color w:val="auto"/>
              </w:rPr>
            </w:pPr>
          </w:p>
        </w:tc>
      </w:tr>
      <w:tr>
        <w:trPr>
          <w:trHeight w:val="156"/>
        </w:trPr>
        <w:tc>
          <w:tcPr>
            <w:tcW w:w="800" w:type="dxa"/>
            <w:vAlign w:val="bottom"/>
          </w:tcPr>
          <w:p>
            <w:pPr>
              <w:spacing w:after="0"/>
              <w:rPr>
                <w:sz w:val="13"/>
                <w:szCs w:val="13"/>
                <w:color w:val="auto"/>
              </w:rPr>
            </w:pPr>
          </w:p>
        </w:tc>
        <w:tc>
          <w:tcPr>
            <w:tcW w:w="6680" w:type="dxa"/>
            <w:vAlign w:val="bottom"/>
            <w:gridSpan w:val="8"/>
          </w:tcPr>
          <w:p>
            <w:pPr>
              <w:ind w:left="140"/>
              <w:spacing w:after="0" w:line="156" w:lineRule="exact"/>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(unaudited)</w:t>
              </w:r>
            </w:hyperlink>
          </w:p>
        </w:tc>
        <w:tc>
          <w:tcPr>
            <w:tcW w:w="220" w:type="dxa"/>
            <w:vAlign w:val="bottom"/>
            <w:tcBorders>
              <w:top w:val="single" w:sz="8" w:color="0000FF"/>
            </w:tcBorders>
          </w:tcPr>
          <w:p>
            <w:pPr>
              <w:spacing w:after="0"/>
              <w:rPr>
                <w:sz w:val="13"/>
                <w:szCs w:val="13"/>
                <w:color w:val="auto"/>
              </w:rPr>
            </w:pPr>
          </w:p>
        </w:tc>
        <w:tc>
          <w:tcPr>
            <w:tcW w:w="1560" w:type="dxa"/>
            <w:vAlign w:val="bottom"/>
            <w:gridSpan w:val="3"/>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720" w:type="dxa"/>
            <w:vAlign w:val="bottom"/>
            <w:gridSpan w:val="2"/>
          </w:tcPr>
          <w:p>
            <w:pPr>
              <w:spacing w:after="0"/>
              <w:rPr>
                <w:sz w:val="13"/>
                <w:szCs w:val="13"/>
                <w:color w:val="auto"/>
              </w:rPr>
            </w:pPr>
          </w:p>
        </w:tc>
        <w:tc>
          <w:tcPr>
            <w:tcW w:w="580" w:type="dxa"/>
            <w:vAlign w:val="bottom"/>
          </w:tcPr>
          <w:p>
            <w:pPr>
              <w:jc w:val="right"/>
              <w:spacing w:after="0" w:line="156" w:lineRule="exact"/>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9</w:t>
              </w:r>
            </w:hyperlink>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890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9860" w:type="dxa"/>
            <w:vAlign w:val="bottom"/>
            <w:gridSpan w:val="15"/>
          </w:tcPr>
          <w:p>
            <w:pPr>
              <w:ind w:left="14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Notes to Condensed Consolidated Financial Statements (unaudited)</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10</w:t>
              </w:r>
            </w:hyperlink>
          </w:p>
        </w:tc>
      </w:tr>
      <w:tr>
        <w:trPr>
          <w:trHeight w:val="459"/>
        </w:trPr>
        <w:tc>
          <w:tcPr>
            <w:tcW w:w="800" w:type="dxa"/>
            <w:vAlign w:val="bottom"/>
          </w:tcPr>
          <w:p>
            <w:pPr>
              <w:ind w:left="2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2.</w:t>
              </w:r>
            </w:hyperlink>
          </w:p>
        </w:tc>
        <w:tc>
          <w:tcPr>
            <w:tcW w:w="9860" w:type="dxa"/>
            <w:vAlign w:val="bottom"/>
            <w:gridSpan w:val="15"/>
          </w:tcPr>
          <w:p>
            <w:pPr>
              <w:ind w:left="14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30</w:t>
              </w:r>
            </w:hyperlink>
          </w:p>
        </w:tc>
      </w:tr>
      <w:tr>
        <w:trPr>
          <w:trHeight w:val="459"/>
        </w:trPr>
        <w:tc>
          <w:tcPr>
            <w:tcW w:w="800" w:type="dxa"/>
            <w:vAlign w:val="bottom"/>
          </w:tcPr>
          <w:p>
            <w:pPr>
              <w:ind w:left="2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Item 3.</w:t>
              </w:r>
            </w:hyperlink>
          </w:p>
        </w:tc>
        <w:tc>
          <w:tcPr>
            <w:tcW w:w="9860" w:type="dxa"/>
            <w:vAlign w:val="bottom"/>
            <w:gridSpan w:val="15"/>
          </w:tcPr>
          <w:p>
            <w:pPr>
              <w:ind w:left="14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Quantitative and Qualitative Disclosures About Market Risk</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41</w:t>
              </w:r>
            </w:hyperlink>
          </w:p>
        </w:tc>
      </w:tr>
      <w:tr>
        <w:trPr>
          <w:trHeight w:val="459"/>
        </w:trPr>
        <w:tc>
          <w:tcPr>
            <w:tcW w:w="800" w:type="dxa"/>
            <w:vAlign w:val="bottom"/>
          </w:tcPr>
          <w:p>
            <w:pPr>
              <w:ind w:left="2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Item 4.</w:t>
              </w:r>
            </w:hyperlink>
          </w:p>
        </w:tc>
        <w:tc>
          <w:tcPr>
            <w:tcW w:w="9860" w:type="dxa"/>
            <w:vAlign w:val="bottom"/>
            <w:gridSpan w:val="15"/>
          </w:tcPr>
          <w:p>
            <w:pPr>
              <w:ind w:left="14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Controls and Procedures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41</w:t>
              </w:r>
            </w:hyperlink>
          </w:p>
        </w:tc>
      </w:tr>
      <w:tr>
        <w:trPr>
          <w:trHeight w:val="459"/>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700" w:type="dxa"/>
            <w:vAlign w:val="bottom"/>
            <w:gridSpan w:val="11"/>
          </w:tcPr>
          <w:p>
            <w:pPr>
              <w:jc w:val="center"/>
              <w:ind w:right="3060"/>
              <w:spacing w:after="0"/>
              <w:rPr>
                <w:rFonts w:ascii="Times New Roman" w:cs="Times New Roman" w:eastAsia="Times New Roman" w:hAnsi="Times New Roman"/>
                <w:sz w:val="18"/>
                <w:szCs w:val="18"/>
                <w:b w:val="1"/>
                <w:bCs w:val="1"/>
                <w:u w:val="single" w:color="auto"/>
                <w:color w:val="0000FF"/>
                <w:w w:val="98"/>
              </w:rPr>
            </w:pPr>
            <w:hyperlink w:anchor="page40">
              <w:r>
                <w:rPr>
                  <w:rFonts w:ascii="Times New Roman" w:cs="Times New Roman" w:eastAsia="Times New Roman" w:hAnsi="Times New Roman"/>
                  <w:sz w:val="18"/>
                  <w:szCs w:val="18"/>
                  <w:b w:val="1"/>
                  <w:bCs w:val="1"/>
                  <w:u w:val="single" w:color="auto"/>
                  <w:color w:val="0000FF"/>
                  <w:w w:val="98"/>
                </w:rPr>
                <w:t>PART II. OTHER INFORMATION</w:t>
              </w:r>
            </w:hyperlink>
          </w:p>
        </w:tc>
        <w:tc>
          <w:tcPr>
            <w:tcW w:w="580" w:type="dxa"/>
            <w:vAlign w:val="bottom"/>
          </w:tcPr>
          <w:p>
            <w:pPr>
              <w:spacing w:after="0"/>
              <w:rPr>
                <w:sz w:val="24"/>
                <w:szCs w:val="24"/>
                <w:color w:val="auto"/>
              </w:rPr>
            </w:pPr>
          </w:p>
        </w:tc>
      </w:tr>
      <w:tr>
        <w:trPr>
          <w:trHeight w:val="459"/>
        </w:trPr>
        <w:tc>
          <w:tcPr>
            <w:tcW w:w="800" w:type="dxa"/>
            <w:vAlign w:val="bottom"/>
          </w:tcPr>
          <w:p>
            <w:pPr>
              <w:ind w:left="2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Item 1.</w:t>
              </w:r>
            </w:hyperlink>
          </w:p>
        </w:tc>
        <w:tc>
          <w:tcPr>
            <w:tcW w:w="9860" w:type="dxa"/>
            <w:vAlign w:val="bottom"/>
            <w:gridSpan w:val="15"/>
          </w:tcPr>
          <w:p>
            <w:pPr>
              <w:ind w:left="14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Legal Proceedings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42</w:t>
              </w:r>
            </w:hyperlink>
          </w:p>
        </w:tc>
      </w:tr>
      <w:tr>
        <w:trPr>
          <w:trHeight w:val="459"/>
        </w:trPr>
        <w:tc>
          <w:tcPr>
            <w:tcW w:w="800" w:type="dxa"/>
            <w:vAlign w:val="bottom"/>
          </w:tcPr>
          <w:p>
            <w:pPr>
              <w:ind w:left="2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Item 1A.</w:t>
              </w:r>
            </w:hyperlink>
          </w:p>
        </w:tc>
        <w:tc>
          <w:tcPr>
            <w:tcW w:w="9860" w:type="dxa"/>
            <w:vAlign w:val="bottom"/>
            <w:gridSpan w:val="15"/>
          </w:tcPr>
          <w:p>
            <w:pPr>
              <w:ind w:left="14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Risk Factors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42</w:t>
              </w:r>
            </w:hyperlink>
          </w:p>
        </w:tc>
      </w:tr>
      <w:tr>
        <w:trPr>
          <w:trHeight w:val="459"/>
        </w:trPr>
        <w:tc>
          <w:tcPr>
            <w:tcW w:w="800" w:type="dxa"/>
            <w:vAlign w:val="bottom"/>
          </w:tcPr>
          <w:p>
            <w:pPr>
              <w:ind w:left="2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Item 2.</w:t>
              </w:r>
            </w:hyperlink>
          </w:p>
        </w:tc>
        <w:tc>
          <w:tcPr>
            <w:tcW w:w="9860" w:type="dxa"/>
            <w:vAlign w:val="bottom"/>
            <w:gridSpan w:val="15"/>
          </w:tcPr>
          <w:p>
            <w:pPr>
              <w:ind w:left="14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Unregistered Sales of Equity Securities and Use of Proceeds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42</w:t>
              </w:r>
            </w:hyperlink>
          </w:p>
        </w:tc>
      </w:tr>
      <w:tr>
        <w:trPr>
          <w:trHeight w:val="459"/>
        </w:trPr>
        <w:tc>
          <w:tcPr>
            <w:tcW w:w="800" w:type="dxa"/>
            <w:vAlign w:val="bottom"/>
          </w:tcPr>
          <w:p>
            <w:pPr>
              <w:ind w:left="2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Item 3.</w:t>
              </w:r>
            </w:hyperlink>
          </w:p>
        </w:tc>
        <w:tc>
          <w:tcPr>
            <w:tcW w:w="9860" w:type="dxa"/>
            <w:vAlign w:val="bottom"/>
            <w:gridSpan w:val="15"/>
          </w:tcPr>
          <w:p>
            <w:pPr>
              <w:ind w:left="14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Defaults Upon Senior Securities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42</w:t>
              </w:r>
            </w:hyperlink>
          </w:p>
        </w:tc>
      </w:tr>
      <w:tr>
        <w:trPr>
          <w:trHeight w:val="459"/>
        </w:trPr>
        <w:tc>
          <w:tcPr>
            <w:tcW w:w="800" w:type="dxa"/>
            <w:vAlign w:val="bottom"/>
          </w:tcPr>
          <w:p>
            <w:pPr>
              <w:ind w:left="2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Item 4.</w:t>
              </w:r>
            </w:hyperlink>
          </w:p>
        </w:tc>
        <w:tc>
          <w:tcPr>
            <w:tcW w:w="9860" w:type="dxa"/>
            <w:vAlign w:val="bottom"/>
            <w:gridSpan w:val="15"/>
          </w:tcPr>
          <w:p>
            <w:pPr>
              <w:ind w:left="14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Mine Safety Disclosures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42</w:t>
              </w:r>
            </w:hyperlink>
          </w:p>
        </w:tc>
      </w:tr>
      <w:tr>
        <w:trPr>
          <w:trHeight w:val="459"/>
        </w:trPr>
        <w:tc>
          <w:tcPr>
            <w:tcW w:w="800" w:type="dxa"/>
            <w:vAlign w:val="bottom"/>
          </w:tcPr>
          <w:p>
            <w:pPr>
              <w:ind w:left="2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Item 5.</w:t>
              </w:r>
            </w:hyperlink>
          </w:p>
        </w:tc>
        <w:tc>
          <w:tcPr>
            <w:tcW w:w="9860" w:type="dxa"/>
            <w:vAlign w:val="bottom"/>
            <w:gridSpan w:val="15"/>
          </w:tcPr>
          <w:p>
            <w:pPr>
              <w:ind w:left="14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Other Information</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42</w:t>
              </w:r>
            </w:hyperlink>
          </w:p>
        </w:tc>
      </w:tr>
      <w:tr>
        <w:trPr>
          <w:trHeight w:val="459"/>
        </w:trPr>
        <w:tc>
          <w:tcPr>
            <w:tcW w:w="800" w:type="dxa"/>
            <w:vAlign w:val="bottom"/>
          </w:tcPr>
          <w:p>
            <w:pPr>
              <w:ind w:left="2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Item 6.</w:t>
              </w:r>
            </w:hyperlink>
          </w:p>
        </w:tc>
        <w:tc>
          <w:tcPr>
            <w:tcW w:w="9860" w:type="dxa"/>
            <w:vAlign w:val="bottom"/>
            <w:gridSpan w:val="15"/>
          </w:tcPr>
          <w:p>
            <w:pPr>
              <w:ind w:left="14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Exhibits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43</w:t>
              </w:r>
            </w:hyperlink>
          </w:p>
        </w:tc>
      </w:tr>
      <w:tr>
        <w:trPr>
          <w:trHeight w:val="850"/>
        </w:trPr>
        <w:tc>
          <w:tcPr>
            <w:tcW w:w="800" w:type="dxa"/>
            <w:vAlign w:val="bottom"/>
          </w:tcPr>
          <w:p>
            <w:pPr>
              <w:spacing w:after="0"/>
              <w:rPr>
                <w:sz w:val="24"/>
                <w:szCs w:val="24"/>
                <w:color w:val="auto"/>
              </w:rPr>
            </w:pPr>
          </w:p>
        </w:tc>
        <w:tc>
          <w:tcPr>
            <w:tcW w:w="5900" w:type="dxa"/>
            <w:vAlign w:val="bottom"/>
            <w:gridSpan w:val="7"/>
          </w:tcPr>
          <w:p>
            <w:pPr>
              <w:ind w:left="478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 millions, except par value and number of shares)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00" w:type="dxa"/>
            <w:vAlign w:val="bottom"/>
          </w:tcPr>
          <w:p>
            <w:pPr>
              <w:spacing w:after="0"/>
              <w:rPr>
                <w:sz w:val="19"/>
                <w:szCs w:val="19"/>
                <w:color w:val="auto"/>
              </w:rPr>
            </w:pPr>
          </w:p>
        </w:tc>
        <w:tc>
          <w:tcPr>
            <w:tcW w:w="17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29, 2019</w:t>
            </w:r>
          </w:p>
        </w:tc>
        <w:tc>
          <w:tcPr>
            <w:tcW w:w="0" w:type="dxa"/>
            <w:vAlign w:val="bottom"/>
          </w:tcPr>
          <w:p>
            <w:pPr>
              <w:spacing w:after="0"/>
              <w:rPr>
                <w:sz w:val="1"/>
                <w:szCs w:val="1"/>
                <w:color w:val="auto"/>
              </w:rPr>
            </w:pPr>
          </w:p>
        </w:tc>
      </w:tr>
      <w:tr>
        <w:trPr>
          <w:trHeight w:val="213"/>
        </w:trPr>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0" w:type="dxa"/>
            <w:vAlign w:val="bottom"/>
          </w:tcPr>
          <w:p>
            <w:pPr>
              <w:spacing w:after="0"/>
              <w:rPr>
                <w:sz w:val="1"/>
                <w:szCs w:val="1"/>
                <w:color w:val="auto"/>
              </w:rPr>
            </w:pPr>
          </w:p>
        </w:tc>
      </w:tr>
      <w:tr>
        <w:trPr>
          <w:trHeight w:val="213"/>
        </w:trPr>
        <w:tc>
          <w:tcPr>
            <w:tcW w:w="7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0" w:type="dxa"/>
            <w:vAlign w:val="bottom"/>
          </w:tcPr>
          <w:p>
            <w:pPr>
              <w:spacing w:after="0"/>
              <w:rPr>
                <w:sz w:val="1"/>
                <w:szCs w:val="1"/>
                <w:color w:val="auto"/>
              </w:rPr>
            </w:pPr>
          </w:p>
        </w:tc>
      </w:tr>
      <w:tr>
        <w:trPr>
          <w:trHeight w:val="213"/>
        </w:trPr>
        <w:tc>
          <w:tcPr>
            <w:tcW w:w="7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Unbilled receivables, net</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Inventoried costs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13"/>
        </w:trPr>
        <w:tc>
          <w:tcPr>
            <w:tcW w:w="7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3"/>
        </w:trPr>
        <w:tc>
          <w:tcPr>
            <w:tcW w:w="7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20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2"/>
        </w:trPr>
        <w:tc>
          <w:tcPr>
            <w:tcW w:w="7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522.2</w:t>
            </w:r>
          </w:p>
        </w:tc>
        <w:tc>
          <w:tcPr>
            <w:tcW w:w="0" w:type="dxa"/>
            <w:vAlign w:val="bottom"/>
          </w:tcPr>
          <w:p>
            <w:pPr>
              <w:spacing w:after="0"/>
              <w:rPr>
                <w:sz w:val="1"/>
                <w:szCs w:val="1"/>
                <w:color w:val="auto"/>
              </w:rPr>
            </w:pPr>
          </w:p>
        </w:tc>
      </w:tr>
      <w:tr>
        <w:trPr>
          <w:trHeight w:val="21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21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455.6</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13"/>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37"/>
        </w:trPr>
        <w:tc>
          <w:tcPr>
            <w:tcW w:w="7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1,186.0</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b w:val="1"/>
                <w:bCs w:val="1"/>
                <w:color w:val="auto"/>
              </w:rPr>
              <w:t xml:space="preserve">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2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13"/>
        </w:trPr>
        <w:tc>
          <w:tcPr>
            <w:tcW w:w="7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interest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7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Billings in excess of costs and earnings on uncompleted contracts</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3"/>
        </w:trPr>
        <w:tc>
          <w:tcPr>
            <w:tcW w:w="7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7"/>
        </w:trPr>
        <w:tc>
          <w:tcPr>
            <w:tcW w:w="7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w:t>
            </w:r>
          </w:p>
        </w:tc>
        <w:tc>
          <w:tcPr>
            <w:tcW w:w="0" w:type="dxa"/>
            <w:vAlign w:val="bottom"/>
          </w:tcPr>
          <w:p>
            <w:pPr>
              <w:spacing w:after="0"/>
              <w:rPr>
                <w:sz w:val="1"/>
                <w:szCs w:val="1"/>
                <w:color w:val="auto"/>
              </w:rPr>
            </w:pPr>
          </w:p>
        </w:tc>
      </w:tr>
      <w:tr>
        <w:trPr>
          <w:trHeight w:val="21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0" w:type="dxa"/>
            <w:vAlign w:val="bottom"/>
          </w:tcPr>
          <w:p>
            <w:pPr>
              <w:spacing w:after="0"/>
              <w:rPr>
                <w:sz w:val="1"/>
                <w:szCs w:val="1"/>
                <w:color w:val="auto"/>
              </w:rPr>
            </w:pPr>
          </w:p>
        </w:tc>
      </w:tr>
      <w:tr>
        <w:trPr>
          <w:trHeight w:val="213"/>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liabilities of discontinued operations</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2"/>
        </w:trPr>
        <w:tc>
          <w:tcPr>
            <w:tcW w:w="7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596.9</w:t>
            </w:r>
          </w:p>
        </w:tc>
        <w:tc>
          <w:tcPr>
            <w:tcW w:w="0" w:type="dxa"/>
            <w:vAlign w:val="bottom"/>
          </w:tcPr>
          <w:p>
            <w:pPr>
              <w:spacing w:after="0"/>
              <w:rPr>
                <w:sz w:val="1"/>
                <w:szCs w:val="1"/>
                <w:color w:val="auto"/>
              </w:rPr>
            </w:pPr>
          </w:p>
        </w:tc>
      </w:tr>
      <w:tr>
        <w:trPr>
          <w:trHeight w:val="19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1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Preferred stock, $0.001 par value, 5,000,000 shares authorized, 0 shares outstanding at September 27, 2020</w:t>
            </w:r>
          </w:p>
        </w:tc>
        <w:tc>
          <w:tcPr>
            <w:tcW w:w="200" w:type="dxa"/>
            <w:vAlign w:val="bottom"/>
            <w:shd w:val="clear" w:color="auto" w:fill="CCEEFF"/>
          </w:tcPr>
          <w:p>
            <w:pPr>
              <w:spacing w:after="0"/>
              <w:rPr>
                <w:sz w:val="14"/>
                <w:szCs w:val="14"/>
                <w:color w:val="auto"/>
              </w:rPr>
            </w:pPr>
          </w:p>
        </w:tc>
        <w:tc>
          <w:tcPr>
            <w:tcW w:w="1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and December 29, 2019</w:t>
            </w:r>
          </w:p>
        </w:tc>
        <w:tc>
          <w:tcPr>
            <w:tcW w:w="200" w:type="dxa"/>
            <w:vAlign w:val="bottom"/>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1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Common stock, $0.001 par value, 195,000,000 shares authorized; 122,755,405 and 106,635,508 shares</w:t>
            </w:r>
          </w:p>
        </w:tc>
        <w:tc>
          <w:tcPr>
            <w:tcW w:w="200" w:type="dxa"/>
            <w:vAlign w:val="bottom"/>
          </w:tcPr>
          <w:p>
            <w:pPr>
              <w:spacing w:after="0"/>
              <w:rPr>
                <w:sz w:val="14"/>
                <w:szCs w:val="14"/>
                <w:color w:val="auto"/>
              </w:rPr>
            </w:pPr>
          </w:p>
        </w:tc>
        <w:tc>
          <w:tcPr>
            <w:tcW w:w="1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issued and outstanding at September 27, 2020 and December 29, 2019, respectively</w:t>
            </w:r>
          </w:p>
        </w:tc>
        <w:tc>
          <w:tcPr>
            <w:tcW w:w="20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1,286.5</w:t>
            </w:r>
          </w:p>
        </w:tc>
        <w:tc>
          <w:tcPr>
            <w:tcW w:w="0" w:type="dxa"/>
            <w:vAlign w:val="bottom"/>
          </w:tcPr>
          <w:p>
            <w:pPr>
              <w:spacing w:after="0"/>
              <w:rPr>
                <w:sz w:val="1"/>
                <w:szCs w:val="1"/>
                <w:color w:val="auto"/>
              </w:rPr>
            </w:pPr>
          </w:p>
        </w:tc>
      </w:tr>
      <w:tr>
        <w:trPr>
          <w:trHeight w:val="213"/>
        </w:trPr>
        <w:tc>
          <w:tcPr>
            <w:tcW w:w="7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(712.0)</w:t>
            </w: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574.1</w:t>
            </w:r>
          </w:p>
        </w:tc>
        <w:tc>
          <w:tcPr>
            <w:tcW w:w="0" w:type="dxa"/>
            <w:vAlign w:val="bottom"/>
          </w:tcPr>
          <w:p>
            <w:pPr>
              <w:spacing w:after="0"/>
              <w:rPr>
                <w:sz w:val="1"/>
                <w:szCs w:val="1"/>
                <w:color w:val="auto"/>
              </w:rPr>
            </w:pPr>
          </w:p>
        </w:tc>
      </w:tr>
      <w:tr>
        <w:trPr>
          <w:trHeight w:val="234"/>
        </w:trPr>
        <w:tc>
          <w:tcPr>
            <w:tcW w:w="7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1,186.0</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center"/>
        <w:ind w:left="340" w:right="1880"/>
        <w:spacing w:after="0" w:line="261" w:lineRule="auto"/>
        <w:rPr>
          <w:sz w:val="20"/>
          <w:szCs w:val="20"/>
          <w:color w:val="auto"/>
        </w:rPr>
      </w:pPr>
      <w:r>
        <w:rPr>
          <w:rFonts w:ascii="Times New Roman" w:cs="Times New Roman" w:eastAsia="Times New Roman" w:hAnsi="Times New Roman"/>
          <w:sz w:val="16"/>
          <w:szCs w:val="16"/>
          <w:b w:val="1"/>
          <w:bCs w:val="1"/>
          <w:color w:val="auto"/>
        </w:rPr>
        <w:t>KRATOS DEFENSE &amp; SECURITY SOLUTIONS, INC. CONDENSED CONSOLIDATED STATEMENTS OF OPERATIONS AND COMPREHENSIVE INCOME (in millions, except per share amounts)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16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9"/>
              <w:spacing w:after="0" w:line="13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20" w:type="dxa"/>
            <w:vAlign w:val="bottom"/>
          </w:tcPr>
          <w:p>
            <w:pPr>
              <w:spacing w:after="0"/>
              <w:rPr>
                <w:sz w:val="11"/>
                <w:szCs w:val="11"/>
                <w:color w:val="auto"/>
              </w:rPr>
            </w:pPr>
          </w:p>
        </w:tc>
        <w:tc>
          <w:tcPr>
            <w:tcW w:w="13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2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Product sales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541.3</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0" w:type="dxa"/>
            <w:vAlign w:val="bottom"/>
          </w:tcPr>
          <w:p>
            <w:pPr>
              <w:spacing w:after="0"/>
              <w:rPr>
                <w:sz w:val="1"/>
                <w:szCs w:val="1"/>
                <w:color w:val="auto"/>
              </w:rPr>
            </w:pPr>
          </w:p>
        </w:tc>
      </w:tr>
      <w:tr>
        <w:trPr>
          <w:trHeight w:val="207"/>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service revenues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 sales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0" w:type="dxa"/>
            <w:vAlign w:val="bottom"/>
          </w:tcPr>
          <w:p>
            <w:pPr>
              <w:spacing w:after="0"/>
              <w:rPr>
                <w:sz w:val="1"/>
                <w:szCs w:val="1"/>
                <w:color w:val="auto"/>
              </w:rPr>
            </w:pPr>
          </w:p>
        </w:tc>
      </w:tr>
      <w:tr>
        <w:trPr>
          <w:trHeight w:val="207"/>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costs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390.8</w:t>
            </w: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expenses and other</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7"/>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Operating income from continuing operations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32"/>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7"/>
        </w:trPr>
        <w:tc>
          <w:tcPr>
            <w:tcW w:w="59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other expense, net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 from continuing operations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9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Discontinued operations: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Income(loss) from operations of discontinued component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 benefit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7"/>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2"/>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attributable to Kratos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income per common share attributable to Kratos: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2"/>
        </w:trPr>
        <w:tc>
          <w:tcPr>
            <w:tcW w:w="59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income per common share attributable to Kratos: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2"/>
        </w:trPr>
        <w:tc>
          <w:tcPr>
            <w:tcW w:w="59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(from above)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cumulative translation adjustment</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7"/>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7"/>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Kratos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40" w:right="2660"/>
        <w:spacing w:after="0" w:line="250" w:lineRule="auto"/>
        <w:rPr>
          <w:sz w:val="20"/>
          <w:szCs w:val="20"/>
          <w:color w:val="auto"/>
        </w:rPr>
      </w:pPr>
      <w:r>
        <w:rPr>
          <w:rFonts w:ascii="Times New Roman" w:cs="Times New Roman" w:eastAsia="Times New Roman" w:hAnsi="Times New Roman"/>
          <w:sz w:val="16"/>
          <w:szCs w:val="16"/>
          <w:b w:val="1"/>
          <w:bCs w:val="1"/>
          <w:color w:val="auto"/>
        </w:rPr>
        <w:t>KRATOS DEFENSE &amp; SECURITY SOLUTIONS, INC. CONDENSED CONSOLIDATED STATEMENTS OF STOCKHOLDERS’ EQUITY For the three months ended September 29, 2019 and September 27, 2020</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372"/>
        </w:trPr>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right w:val="single" w:sz="8" w:color="auto"/>
            </w:tcBorders>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41"/>
        </w:trPr>
        <w:tc>
          <w:tcPr>
            <w:tcW w:w="2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3"/>
                <w:szCs w:val="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Borders>
              <w:right w:val="single" w:sz="8" w:color="auto"/>
            </w:tcBorders>
          </w:tcPr>
          <w:p>
            <w:pPr>
              <w:jc w:val="center"/>
              <w:ind w:right="104"/>
              <w:spacing w:after="0" w:line="13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20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Borders>
              <w:right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right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1,277.8</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559.5</w:t>
            </w:r>
          </w:p>
        </w:tc>
        <w:tc>
          <w:tcPr>
            <w:tcW w:w="0" w:type="dxa"/>
            <w:vAlign w:val="bottom"/>
          </w:tcPr>
          <w:p>
            <w:pPr>
              <w:spacing w:after="0"/>
              <w:rPr>
                <w:sz w:val="1"/>
                <w:szCs w:val="1"/>
                <w:color w:val="auto"/>
              </w:rPr>
            </w:pPr>
          </w:p>
        </w:tc>
      </w:tr>
      <w:tr>
        <w:trPr>
          <w:trHeight w:val="230"/>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for employee stock</w:t>
            </w:r>
          </w:p>
        </w:tc>
        <w:tc>
          <w:tcPr>
            <w:tcW w:w="140" w:type="dxa"/>
            <w:vAlign w:val="bottom"/>
            <w:shd w:val="clear" w:color="auto" w:fill="CCEEFF"/>
          </w:tcPr>
          <w:p>
            <w:pPr>
              <w:spacing w:after="0"/>
              <w:rPr>
                <w:sz w:val="11"/>
                <w:szCs w:val="11"/>
                <w:color w:val="auto"/>
              </w:rPr>
            </w:pPr>
          </w:p>
        </w:tc>
        <w:tc>
          <w:tcPr>
            <w:tcW w:w="1180" w:type="dxa"/>
            <w:vAlign w:val="bottom"/>
            <w:tcBorders>
              <w:right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purchase plan, options and warrants</w:t>
            </w:r>
          </w:p>
        </w:tc>
        <w:tc>
          <w:tcPr>
            <w:tcW w:w="140" w:type="dxa"/>
            <w:vAlign w:val="bottom"/>
            <w:shd w:val="clear" w:color="auto" w:fill="CCEEFF"/>
          </w:tcPr>
          <w:p>
            <w:pPr>
              <w:spacing w:after="0"/>
              <w:rPr>
                <w:sz w:val="16"/>
                <w:szCs w:val="16"/>
                <w:color w:val="auto"/>
              </w:rPr>
            </w:pPr>
          </w:p>
        </w:tc>
        <w:tc>
          <w:tcPr>
            <w:tcW w:w="1180" w:type="dxa"/>
            <w:vAlign w:val="bottom"/>
            <w:tcBorders>
              <w:right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30"/>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29,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right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566.7</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ectPr>
          <w:pgSz w:w="11900" w:h="16838" w:orient="portrait"/>
          <w:cols w:equalWidth="0" w:num="1">
            <w:col w:w="11220"/>
          </w:cols>
          <w:pgMar w:left="320" w:top="121" w:right="359" w:bottom="1440" w:gutter="0" w:footer="0" w:header="0"/>
        </w:sectPr>
      </w:pPr>
    </w:p>
    <w:tbl>
      <w:tblPr>
        <w:tblLayout w:type="fixed"/>
        <w:tblInd w:w="80" w:type="dxa"/>
        <w:tblCellMar>
          <w:top w:w="0" w:type="dxa"/>
          <w:left w:w="0" w:type="dxa"/>
          <w:bottom w:w="0" w:type="dxa"/>
          <w:right w:w="0" w:type="dxa"/>
        </w:tblCellMar>
      </w:tblPr>
      <w:tr>
        <w:trPr>
          <w:trHeight w:val="324"/>
        </w:trPr>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Borders>
              <w:right w:val="single" w:sz="8" w:color="auto"/>
            </w:tcBorders>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82"/>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June 28, 2020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20"/>
        </w:trPr>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90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Issuance of common stock for employee</w:t>
            </w:r>
          </w:p>
        </w:tc>
        <w:tc>
          <w:tcPr>
            <w:tcW w:w="140" w:type="dxa"/>
            <w:vAlign w:val="bottom"/>
          </w:tcPr>
          <w:p>
            <w:pPr>
              <w:spacing w:after="0"/>
              <w:rPr>
                <w:sz w:val="12"/>
                <w:szCs w:val="12"/>
                <w:color w:val="auto"/>
              </w:rPr>
            </w:pPr>
          </w:p>
        </w:tc>
        <w:tc>
          <w:tcPr>
            <w:tcW w:w="118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 purchase plan, options and warrants</w:t>
            </w:r>
          </w:p>
        </w:tc>
        <w:tc>
          <w:tcPr>
            <w:tcW w:w="140" w:type="dxa"/>
            <w:vAlign w:val="bottom"/>
          </w:tcPr>
          <w:p>
            <w:pPr>
              <w:spacing w:after="0"/>
              <w:rPr>
                <w:sz w:val="16"/>
                <w:szCs w:val="16"/>
                <w:color w:val="auto"/>
              </w:rPr>
            </w:pPr>
          </w:p>
        </w:tc>
        <w:tc>
          <w:tcPr>
            <w:tcW w:w="11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for cash</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27, 2020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5"/>
        </w:trPr>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200" w:type="dxa"/>
            <w:vAlign w:val="bottom"/>
            <w:gridSpan w:val="3"/>
          </w:tcPr>
          <w:p>
            <w:pPr>
              <w:ind w:left="40"/>
              <w:spacing w:after="0" w:line="115"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420" w:type="dxa"/>
            <w:vAlign w:val="bottom"/>
            <w:gridSpan w:val="3"/>
          </w:tcPr>
          <w:p>
            <w:pPr>
              <w:ind w:left="6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040" w:type="dxa"/>
            <w:vAlign w:val="bottom"/>
          </w:tcPr>
          <w:p>
            <w:pPr>
              <w:jc w:val="center"/>
              <w:ind w:right="49"/>
              <w:spacing w:after="0" w:line="11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9"/>
        </w:trPr>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1,537.9</w:t>
            </w:r>
          </w:p>
        </w:tc>
        <w:tc>
          <w:tcPr>
            <w:tcW w:w="100" w:type="dxa"/>
            <w:vAlign w:val="bottom"/>
          </w:tcPr>
          <w:p>
            <w:pPr>
              <w:spacing w:after="0"/>
              <w:rPr>
                <w:sz w:val="15"/>
                <w:szCs w:val="15"/>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824.5</w:t>
            </w:r>
          </w:p>
        </w:tc>
        <w:tc>
          <w:tcPr>
            <w:tcW w:w="0" w:type="dxa"/>
            <w:vAlign w:val="bottom"/>
          </w:tcPr>
          <w:p>
            <w:pPr>
              <w:spacing w:after="0"/>
              <w:rPr>
                <w:sz w:val="1"/>
                <w:szCs w:val="1"/>
                <w:color w:val="auto"/>
              </w:rPr>
            </w:pPr>
          </w:p>
        </w:tc>
      </w:tr>
      <w:tr>
        <w:trPr>
          <w:trHeight w:val="234"/>
        </w:trPr>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319"/>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30"/>
        </w:trPr>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29"/>
        </w:trPr>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25"/>
        </w:trPr>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3"/>
        </w:trPr>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87"/>
        </w:trPr>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1,545.4</w:t>
            </w:r>
          </w:p>
        </w:tc>
        <w:tc>
          <w:tcPr>
            <w:tcW w:w="100" w:type="dxa"/>
            <w:vAlign w:val="bottom"/>
          </w:tcPr>
          <w:p>
            <w:pPr>
              <w:spacing w:after="0"/>
              <w:rPr>
                <w:sz w:val="16"/>
                <w:szCs w:val="16"/>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835.3</w:t>
            </w:r>
          </w:p>
        </w:tc>
        <w:tc>
          <w:tcPr>
            <w:tcW w:w="0" w:type="dxa"/>
            <w:vAlign w:val="bottom"/>
          </w:tcPr>
          <w:p>
            <w:pPr>
              <w:spacing w:after="0"/>
              <w:rPr>
                <w:sz w:val="1"/>
                <w:szCs w:val="1"/>
                <w:color w:val="auto"/>
              </w:rPr>
            </w:pPr>
          </w:p>
        </w:tc>
      </w:tr>
      <w:tr>
        <w:trPr>
          <w:trHeight w:val="21"/>
        </w:trPr>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-2753995</wp:posOffset>
            </wp:positionH>
            <wp:positionV relativeFrom="paragraph">
              <wp:posOffset>-1199515</wp:posOffset>
            </wp:positionV>
            <wp:extent cx="706374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63740" cy="12890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-925195</wp:posOffset>
            </wp:positionV>
            <wp:extent cx="706374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63740" cy="20574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-574040</wp:posOffset>
            </wp:positionV>
            <wp:extent cx="706374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63740" cy="14605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-282575</wp:posOffset>
            </wp:positionV>
            <wp:extent cx="706374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63740" cy="12001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300" w:space="100"/>
            <w:col w:w="6820"/>
          </w:cols>
          <w:pgMar w:left="320" w:top="121"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000"/>
        <w:spacing w:after="0" w:line="250" w:lineRule="auto"/>
        <w:rPr>
          <w:sz w:val="20"/>
          <w:szCs w:val="20"/>
          <w:color w:val="auto"/>
        </w:rPr>
      </w:pPr>
      <w:r>
        <w:rPr>
          <w:rFonts w:ascii="Times New Roman" w:cs="Times New Roman" w:eastAsia="Times New Roman" w:hAnsi="Times New Roman"/>
          <w:sz w:val="16"/>
          <w:szCs w:val="16"/>
          <w:b w:val="1"/>
          <w:bCs w:val="1"/>
          <w:color w:val="auto"/>
        </w:rPr>
        <w:t>KRATOS DEFENSE &amp; SECURITY SOLUTIONS, INC. CONDENSED CONSOLIDATED STATEMENTS OF STOCKHOLDERS’ EQUITY For the nine months ended September 29, 2019 and September 27, 2020</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ectPr>
          <w:pgSz w:w="11900" w:h="16838" w:orient="portrait"/>
          <w:cols w:equalWidth="0" w:num="1">
            <w:col w:w="11240"/>
          </w:cols>
          <w:pgMar w:left="320" w:top="121" w:right="339" w:bottom="1440" w:gutter="0" w:footer="0" w:header="0"/>
        </w:sectPr>
      </w:pP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297"/>
        </w:trPr>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right w:val="single" w:sz="8" w:color="auto"/>
            </w:tcBorders>
          </w:tcPr>
          <w:p>
            <w:pPr>
              <w:jc w:val="center"/>
              <w:ind w:right="87"/>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Borders>
              <w:right w:val="single" w:sz="8" w:color="auto"/>
            </w:tcBorders>
          </w:tcPr>
          <w:p>
            <w:pPr>
              <w:jc w:val="center"/>
              <w:ind w:right="107"/>
              <w:spacing w:after="0" w:line="13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82"/>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30, 2018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0"/>
        </w:trPr>
        <w:tc>
          <w:tcPr>
            <w:tcW w:w="2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9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Issuance of common stock for employee stock</w:t>
            </w:r>
          </w:p>
        </w:tc>
        <w:tc>
          <w:tcPr>
            <w:tcW w:w="140" w:type="dxa"/>
            <w:vAlign w:val="bottom"/>
          </w:tcPr>
          <w:p>
            <w:pPr>
              <w:spacing w:after="0"/>
              <w:rPr>
                <w:sz w:val="12"/>
                <w:szCs w:val="12"/>
                <w:color w:val="auto"/>
              </w:rPr>
            </w:pPr>
          </w:p>
        </w:tc>
        <w:tc>
          <w:tcPr>
            <w:tcW w:w="1180" w:type="dxa"/>
            <w:vAlign w:val="bottom"/>
            <w:tcBorders>
              <w:right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 plan, options and warrants</w:t>
            </w:r>
          </w:p>
        </w:tc>
        <w:tc>
          <w:tcPr>
            <w:tcW w:w="140" w:type="dxa"/>
            <w:vAlign w:val="bottom"/>
          </w:tcPr>
          <w:p>
            <w:pPr>
              <w:spacing w:after="0"/>
              <w:rPr>
                <w:sz w:val="16"/>
                <w:szCs w:val="16"/>
                <w:color w:val="auto"/>
              </w:rPr>
            </w:pPr>
          </w:p>
        </w:tc>
        <w:tc>
          <w:tcPr>
            <w:tcW w:w="11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for acquisitions</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40" w:type="dxa"/>
            <w:vAlign w:val="bottom"/>
          </w:tcPr>
          <w:p>
            <w:pPr>
              <w:spacing w:after="0"/>
              <w:rPr>
                <w:sz w:val="20"/>
                <w:szCs w:val="20"/>
                <w:color w:val="auto"/>
              </w:rPr>
            </w:pPr>
          </w:p>
        </w:tc>
        <w:tc>
          <w:tcPr>
            <w:tcW w:w="118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noncontrolling interest</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88"/>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29, 2019</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70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8"/>
        </w:trPr>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9"/>
                <w:szCs w:val="9"/>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20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2"/>
                <w:szCs w:val="12"/>
                <w:b w:val="1"/>
                <w:bCs w:val="1"/>
                <w:color w:val="auto"/>
              </w:rPr>
              <w:t>Additional Paid-</w:t>
            </w:r>
          </w:p>
        </w:tc>
        <w:tc>
          <w:tcPr>
            <w:tcW w:w="142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120" w:type="dxa"/>
            <w:vAlign w:val="bottom"/>
          </w:tcPr>
          <w:p>
            <w:pPr>
              <w:spacing w:after="0"/>
              <w:rPr>
                <w:sz w:val="9"/>
                <w:szCs w:val="9"/>
                <w:color w:val="auto"/>
              </w:rPr>
            </w:pPr>
          </w:p>
        </w:tc>
        <w:tc>
          <w:tcPr>
            <w:tcW w:w="112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1040" w:type="dxa"/>
            <w:vAlign w:val="bottom"/>
          </w:tcPr>
          <w:p>
            <w:pPr>
              <w:jc w:val="center"/>
              <w:ind w:right="69"/>
              <w:spacing w:after="0" w:line="10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89"/>
        </w:trPr>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1,244.5</w:t>
            </w:r>
          </w:p>
        </w:tc>
        <w:tc>
          <w:tcPr>
            <w:tcW w:w="100" w:type="dxa"/>
            <w:vAlign w:val="bottom"/>
          </w:tcPr>
          <w:p>
            <w:pPr>
              <w:spacing w:after="0"/>
              <w:rPr>
                <w:sz w:val="15"/>
                <w:szCs w:val="15"/>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(724.5)</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519.3</w:t>
            </w:r>
          </w:p>
        </w:tc>
        <w:tc>
          <w:tcPr>
            <w:tcW w:w="0" w:type="dxa"/>
            <w:vAlign w:val="bottom"/>
          </w:tcPr>
          <w:p>
            <w:pPr>
              <w:spacing w:after="0"/>
              <w:rPr>
                <w:sz w:val="1"/>
                <w:szCs w:val="1"/>
                <w:color w:val="auto"/>
              </w:rPr>
            </w:pPr>
          </w:p>
        </w:tc>
      </w:tr>
      <w:tr>
        <w:trPr>
          <w:trHeight w:val="234"/>
        </w:trPr>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319"/>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29"/>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29"/>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30"/>
        </w:trPr>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25"/>
        </w:trPr>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3"/>
        </w:trPr>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1,282.7</w:t>
            </w:r>
          </w:p>
        </w:tc>
        <w:tc>
          <w:tcPr>
            <w:tcW w:w="100" w:type="dxa"/>
            <w:vAlign w:val="bottom"/>
          </w:tcPr>
          <w:p>
            <w:pPr>
              <w:spacing w:after="0"/>
              <w:rPr>
                <w:sz w:val="16"/>
                <w:szCs w:val="16"/>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566.7</w:t>
            </w:r>
          </w:p>
        </w:tc>
        <w:tc>
          <w:tcPr>
            <w:tcW w:w="0" w:type="dxa"/>
            <w:vAlign w:val="bottom"/>
          </w:tcPr>
          <w:p>
            <w:pPr>
              <w:spacing w:after="0"/>
              <w:rPr>
                <w:sz w:val="1"/>
                <w:szCs w:val="1"/>
                <w:color w:val="auto"/>
              </w:rPr>
            </w:pPr>
          </w:p>
        </w:tc>
      </w:tr>
      <w:tr>
        <w:trPr>
          <w:trHeight w:val="21"/>
        </w:trPr>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-1345565</wp:posOffset>
            </wp:positionV>
            <wp:extent cx="709803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-1071245</wp:posOffset>
            </wp:positionV>
            <wp:extent cx="709803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20574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-719455</wp:posOffset>
            </wp:positionV>
            <wp:extent cx="709803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-427990</wp:posOffset>
            </wp:positionV>
            <wp:extent cx="709803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-162560</wp:posOffset>
            </wp:positionV>
            <wp:extent cx="709803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4320" w:space="80"/>
            <w:col w:w="684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324"/>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right w:val="single" w:sz="8" w:color="auto"/>
            </w:tcBorders>
          </w:tcPr>
          <w:p>
            <w:pPr>
              <w:jc w:val="center"/>
              <w:ind w:right="87"/>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Borders>
              <w:right w:val="single" w:sz="8" w:color="auto"/>
            </w:tcBorders>
          </w:tcPr>
          <w:p>
            <w:pPr>
              <w:jc w:val="center"/>
              <w:ind w:right="67"/>
              <w:spacing w:after="0" w:line="13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82"/>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29, 2019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20"/>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300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Issuance of common stock for employee stock</w:t>
            </w:r>
          </w:p>
        </w:tc>
        <w:tc>
          <w:tcPr>
            <w:tcW w:w="140" w:type="dxa"/>
            <w:vAlign w:val="bottom"/>
          </w:tcPr>
          <w:p>
            <w:pPr>
              <w:spacing w:after="0"/>
              <w:rPr>
                <w:sz w:val="12"/>
                <w:szCs w:val="12"/>
                <w:color w:val="auto"/>
              </w:rPr>
            </w:pPr>
          </w:p>
        </w:tc>
        <w:tc>
          <w:tcPr>
            <w:tcW w:w="1180" w:type="dxa"/>
            <w:vAlign w:val="bottom"/>
            <w:tcBorders>
              <w:right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 plan, options and warrants</w:t>
            </w:r>
          </w:p>
        </w:tc>
        <w:tc>
          <w:tcPr>
            <w:tcW w:w="140" w:type="dxa"/>
            <w:vAlign w:val="bottom"/>
          </w:tcPr>
          <w:p>
            <w:pPr>
              <w:spacing w:after="0"/>
              <w:rPr>
                <w:sz w:val="16"/>
                <w:szCs w:val="16"/>
                <w:color w:val="auto"/>
              </w:rPr>
            </w:pPr>
          </w:p>
        </w:tc>
        <w:tc>
          <w:tcPr>
            <w:tcW w:w="11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Issuance of common stock for cash</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36"/>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27, 2020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right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68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5"/>
        </w:trPr>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20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420" w:type="dxa"/>
            <w:vAlign w:val="bottom"/>
            <w:gridSpan w:val="3"/>
          </w:tcPr>
          <w:p>
            <w:pPr>
              <w:ind w:left="4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10"/>
                <w:szCs w:val="10"/>
                <w:color w:val="auto"/>
              </w:rPr>
            </w:pPr>
          </w:p>
        </w:tc>
        <w:tc>
          <w:tcPr>
            <w:tcW w:w="110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040" w:type="dxa"/>
            <w:vAlign w:val="bottom"/>
          </w:tcPr>
          <w:p>
            <w:pPr>
              <w:jc w:val="center"/>
              <w:ind w:right="49"/>
              <w:spacing w:after="0" w:line="11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9"/>
        </w:trPr>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8"/>
        </w:trPr>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1,286.5</w:t>
            </w:r>
          </w:p>
        </w:tc>
        <w:tc>
          <w:tcPr>
            <w:tcW w:w="120" w:type="dxa"/>
            <w:vAlign w:val="bottom"/>
          </w:tcPr>
          <w:p>
            <w:pPr>
              <w:spacing w:after="0"/>
              <w:rPr>
                <w:sz w:val="15"/>
                <w:szCs w:val="15"/>
                <w:color w:val="auto"/>
              </w:rPr>
            </w:pPr>
          </w:p>
        </w:tc>
        <w:tc>
          <w:tcPr>
            <w:tcW w:w="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574.1</w:t>
            </w:r>
          </w:p>
        </w:tc>
        <w:tc>
          <w:tcPr>
            <w:tcW w:w="0" w:type="dxa"/>
            <w:vAlign w:val="bottom"/>
          </w:tcPr>
          <w:p>
            <w:pPr>
              <w:spacing w:after="0"/>
              <w:rPr>
                <w:sz w:val="1"/>
                <w:szCs w:val="1"/>
                <w:color w:val="auto"/>
              </w:rPr>
            </w:pPr>
          </w:p>
        </w:tc>
      </w:tr>
      <w:tr>
        <w:trPr>
          <w:trHeight w:val="234"/>
        </w:trPr>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319"/>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30"/>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29"/>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0" w:type="dxa"/>
            <w:vAlign w:val="bottom"/>
          </w:tcPr>
          <w:p>
            <w:pPr>
              <w:spacing w:after="0"/>
              <w:rPr>
                <w:sz w:val="1"/>
                <w:szCs w:val="1"/>
                <w:color w:val="auto"/>
              </w:rPr>
            </w:pPr>
          </w:p>
        </w:tc>
      </w:tr>
      <w:tr>
        <w:trPr>
          <w:trHeight w:val="230"/>
        </w:trPr>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34"/>
        </w:trPr>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82"/>
        </w:trPr>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1,545.4</w:t>
            </w:r>
          </w:p>
        </w:tc>
        <w:tc>
          <w:tcPr>
            <w:tcW w:w="120" w:type="dxa"/>
            <w:vAlign w:val="bottom"/>
          </w:tcPr>
          <w:p>
            <w:pPr>
              <w:spacing w:after="0"/>
              <w:rPr>
                <w:sz w:val="15"/>
                <w:szCs w:val="15"/>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835.3</w:t>
            </w:r>
          </w:p>
        </w:tc>
        <w:tc>
          <w:tcPr>
            <w:tcW w:w="0" w:type="dxa"/>
            <w:vAlign w:val="bottom"/>
          </w:tcPr>
          <w:p>
            <w:pPr>
              <w:spacing w:after="0"/>
              <w:rPr>
                <w:sz w:val="1"/>
                <w:szCs w:val="1"/>
                <w:color w:val="auto"/>
              </w:rPr>
            </w:pPr>
          </w:p>
        </w:tc>
      </w:tr>
      <w:tr>
        <w:trPr>
          <w:trHeight w:val="21"/>
        </w:trPr>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-1224915</wp:posOffset>
            </wp:positionV>
            <wp:extent cx="713232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-950595</wp:posOffset>
            </wp:positionV>
            <wp:extent cx="713232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-599440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-307975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4340" w:space="100"/>
            <w:col w:w="6800"/>
          </w:cols>
          <w:pgMar w:left="320" w:top="12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millions)</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4"/>
          </w:tcPr>
          <w:p>
            <w:pPr>
              <w:jc w:val="right"/>
              <w:ind w:right="133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7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240" w:type="dxa"/>
            <w:vAlign w:val="bottom"/>
          </w:tcPr>
          <w:p>
            <w:pPr>
              <w:spacing w:after="0"/>
              <w:rPr>
                <w:sz w:val="16"/>
                <w:szCs w:val="16"/>
                <w:color w:val="auto"/>
              </w:rPr>
            </w:pPr>
          </w:p>
        </w:tc>
        <w:tc>
          <w:tcPr>
            <w:tcW w:w="17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09"/>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13"/>
        </w:trPr>
        <w:tc>
          <w:tcPr>
            <w:tcW w:w="7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7"/>
        </w:trPr>
        <w:tc>
          <w:tcPr>
            <w:tcW w:w="7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165"/>
        </w:trPr>
        <w:tc>
          <w:tcPr>
            <w:tcW w:w="714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Adjustments to reconcile income from continuing operations to net cash provided by operating activities</w:t>
            </w:r>
          </w:p>
        </w:tc>
        <w:tc>
          <w:tcPr>
            <w:tcW w:w="2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216"/>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from continuing operations: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3"/>
        </w:trPr>
        <w:tc>
          <w:tcPr>
            <w:tcW w:w="7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9"/>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lease right-of-use assets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3"/>
        </w:trPr>
        <w:tc>
          <w:tcPr>
            <w:tcW w:w="7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9"/>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7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9"/>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9"/>
        </w:trPr>
        <w:tc>
          <w:tcPr>
            <w:tcW w:w="7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3"/>
        </w:trPr>
        <w:tc>
          <w:tcPr>
            <w:tcW w:w="71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Unbilled receivables</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7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Inventoried costs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3"/>
        </w:trPr>
        <w:tc>
          <w:tcPr>
            <w:tcW w:w="71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7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71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9"/>
        </w:trPr>
        <w:tc>
          <w:tcPr>
            <w:tcW w:w="7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71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9"/>
        </w:trPr>
        <w:tc>
          <w:tcPr>
            <w:tcW w:w="7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interest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71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Billings in excess of costs and earnings on uncompleted contracts</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7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Income tax receivable and payable</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71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7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 from continuing operations</w:t>
            </w:r>
          </w:p>
        </w:tc>
        <w:tc>
          <w:tcPr>
            <w:tcW w:w="2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0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9"/>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3"/>
        </w:trPr>
        <w:tc>
          <w:tcPr>
            <w:tcW w:w="7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9"/>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7"/>
        </w:trPr>
        <w:tc>
          <w:tcPr>
            <w:tcW w:w="71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 from continuing operations</w:t>
            </w: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3"/>
        </w:trPr>
        <w:tc>
          <w:tcPr>
            <w:tcW w:w="7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the issuance of long-term debt</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the issuance of common stock, net of issuance costs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debt</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under finance leases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3"/>
        </w:trPr>
        <w:tc>
          <w:tcPr>
            <w:tcW w:w="7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Proceeds from exercise of restricted stock units, employee stock options, and employee stock purchase plan</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2"/>
        </w:trPr>
        <w:tc>
          <w:tcPr>
            <w:tcW w:w="7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financing activities from continuing operations</w:t>
            </w:r>
          </w:p>
        </w:tc>
        <w:tc>
          <w:tcPr>
            <w:tcW w:w="2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flows of continuing operations</w:t>
            </w: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cash flows of discontinued operations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w:t>
            </w: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references to the “Company” and “Kratos” refer to Kratos Defense &amp; Security Solutions, Inc., a Delaware corporation, and its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Basis of Presentation</w:t>
      </w:r>
    </w:p>
    <w:p>
      <w:pPr>
        <w:spacing w:after="0" w:line="256" w:lineRule="exact"/>
        <w:rPr>
          <w:sz w:val="20"/>
          <w:szCs w:val="20"/>
          <w:color w:val="auto"/>
        </w:rPr>
      </w:pPr>
    </w:p>
    <w:p>
      <w:pPr>
        <w:ind w:firstLine="690"/>
        <w:spacing w:after="0" w:line="253" w:lineRule="auto"/>
        <w:rPr>
          <w:sz w:val="20"/>
          <w:szCs w:val="20"/>
          <w:color w:val="auto"/>
        </w:rPr>
      </w:pPr>
      <w:r>
        <w:rPr>
          <w:rFonts w:ascii="Times New Roman" w:cs="Times New Roman" w:eastAsia="Times New Roman" w:hAnsi="Times New Roman"/>
          <w:sz w:val="18"/>
          <w:szCs w:val="18"/>
          <w:color w:val="auto"/>
        </w:rPr>
        <w:t>The information as of September 27, 2020 and for the three and nine months ended September 27, 2020 and September 29, 2019 is unaudited. The condensed consolidated balance sheet as of December 29, 2019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29, 2019, included in the Company’s Annual Report on Form 10-K filed with the U.S. Securities and Exchange Commission (the “SEC”) on February 24, 2020 (the “Form 10-K”). Interim operating results are not necessarily indicative of operating results expected in subsequent periods or for the year as a whole.</w:t>
      </w:r>
    </w:p>
    <w:p>
      <w:pPr>
        <w:spacing w:after="0" w:line="2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Principles of Consolidation</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its 100% owned subsidiaries and its majority owned subsidiaries, FTT Inc. and FTT Core (each as defined below), each of which is 80.1% owned. All inter-company transactions have been eliminated in consolidation. Noncontrolling interest consists of the remaining 19.9% interest in FTT Inc. and FTT Core. See Note 12 for further information related to the redeemable noncontrolling interest.</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Fiscal Year</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52/53 week fiscal year ending on the last Sunday of the calendar year. The three month periods ended September 27, 2020 and September 29, 2019 consisted of 13-week periods. The nine month periods ended September 27, 2020 and September 29, 2019 consisted of 39-week periods. There are 52 calendar weeks in the fiscal years ending on December 27, 2020 and December 29, 2019.</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Accounting Estimates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the Company’s accounting estimates for the nine months ended September 27, 2020 as compared to the accounting estimates described in the Form 10-K.</w:t>
      </w:r>
    </w:p>
    <w:p>
      <w:pPr>
        <w:spacing w:after="0" w:line="18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Accounting Standards Updates</w:t>
      </w:r>
    </w:p>
    <w:p>
      <w:pPr>
        <w:spacing w:after="0" w:line="25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2016-13 (“ASU 2016-13”), </w:t>
      </w:r>
      <w:r>
        <w:rPr>
          <w:rFonts w:ascii="Times New Roman" w:cs="Times New Roman" w:eastAsia="Times New Roman" w:hAnsi="Times New Roman"/>
          <w:sz w:val="18"/>
          <w:szCs w:val="18"/>
          <w:i w:val="1"/>
          <w:iCs w:val="1"/>
          <w:color w:val="auto"/>
        </w:rPr>
        <w:t>Financial Instruments-Credit Losses (Topic 326): Measurement of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Financial Instruments</w:t>
      </w:r>
      <w:r>
        <w:rPr>
          <w:rFonts w:ascii="Times New Roman" w:cs="Times New Roman" w:eastAsia="Times New Roman" w:hAnsi="Times New Roman"/>
          <w:sz w:val="18"/>
          <w:szCs w:val="18"/>
          <w:color w:val="auto"/>
        </w:rPr>
        <w:t>. The main objective of this update is to provide financial statement users with more decision-useful information about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losses on financial instruments and other commitments to extend credit held by a reporting entity at each reporting date. To achieve this objective, the amendments in this update replace the incurred loss impairment methodology in current GAAP with a methodology that reflects expected credit losses and requires consideration of a broader range of reasonable and supportable information to inform credit loss estimates. ASU 2016-13 is effective for fiscal years beginning after December 15, 2019, including interim periods within those fiscal years. The Company has adopted ASU 2016-13 effective December 30, 2019. The implementation of this guidance did not have a material impact on its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(f)</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carrying amounts and the related estimated fair values of the Company’s long-term debt financial instruments not measured at fair value on a recurring basis at September 27, 2020 and December 29, 2019 are presented in Note 10. The carrying value of all other financial instruments, including cash equivalents, accounts receivable, unbilled receivables, accounts payable, accrued expenses, billings in excess of cost and earnings on uncompleted contracts, income taxes payable and short-term debt, approximated their estimated fair values at September 27, 2020 and December 29, 2019 due to the short-term nature of these instruments.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FTT Entities</w:t>
      </w:r>
    </w:p>
    <w:p>
      <w:pPr>
        <w:spacing w:after="0" w:line="256"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On February 27, 2019, the Company acquired 80.1% of the issued and outstanding shares of capital stock of Florida Turbine Technologies Inc., a Florida corporation (“FTT Inc.”), and 80.1% of the membership interests in FTT CORE, LLC, a Delaware limited liability company (“FTT Core” and, together with FTT Inc. and their respective subsidiaries, “FTT”), for an aggregate purchase price of approximately $60 million. The purchase price was $33 million in cash, with approximately $17.7 million paid at close and approximately $15.3 million to be paid over a three-year period, subject to adjustments for transaction expenses, indebtedness, cash on hand, certain amounts payable or potentially payable to employees of FTT and post-closing working capital adjustments, and 1,825,406 shares of common stock (with a value of approximately $27 million). On October 6, 2020, final proceeds related to net working capital adjustments of $1.95 million were distributed to the shareholders of FTT.</w:t>
      </w:r>
    </w:p>
    <w:p>
      <w:pPr>
        <w:spacing w:after="0" w:line="21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FTT is a leading turbomachinery design and manufacturing company specializing in engineering, development, and testing of gas turbines, propulsion components, engine and other systems for military and commercial applications. FTT is now the Kratos Turbine Technologies Division (the “KTT Division”), which is focused on the development and production of small, affordable, high-performance jet engines for the next generation of tactical weapon systems and tactical jet unmanned aerial systems. The KTT Division is included in the Kratos Government Solutions (“KGS”) segment.</w:t>
      </w:r>
    </w:p>
    <w:p>
      <w:pPr>
        <w:spacing w:after="0" w:line="20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enabling it to accelerate FTT’s small engine development programs, and facilitate integration of these leading-edge engine solutions with evolving Kratos tactical systems.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Simultaneously with the execution of the Purchase Agreement among the Company and the Sellers (as defined in such agreement) (the “Purchase Agreement”) and completion of the acquisition, the Company, FTT Inc., FTT Core and the Sellers entered into an exchange agreement (the “Exchange Agreement”) pursuant to which, among other things, (i) FTT Core was converted into a Delaware corporation, (ii) beginning in January 2024, the Holders (as defined in the Exchange Agreement) will have an annual right (the “Put Right”) to sell all of the minority interests in FTT Inc. and FTT Core (the “Minority Interests”) to the Company at a purchase price based on a specified multiple of the trailing 12 months EBITDA of FTT Inc., FTT Core and each of their respective subsidiaries (the “Acquired Companies”), subject to adjustment as set forth in the Exchange Agreement (the “Minority Interest Purchase Price”) (provided, however, that following certain events, including a change of control, the Put Right will be accelerated and the Minority Interest Purchase Price will be a specified increased multiple of the trailing 12 months EBITDA of the Acquired Companies), and (iii) beginning in January 2025, the Company will have an annual right to purchase all of the Minority Interests from the Holders at the Minority Interest Purchase Price.</w:t>
      </w:r>
    </w:p>
    <w:p>
      <w:pPr>
        <w:spacing w:after="0" w:line="215"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transaction has been accounted for using the acquisition method of accounting, which requires, among other things, that the assets acquired, the liabilities assumed, and the noncontrolling interest be recognized at their fair values as of the acquisition date. The fair value measurements are based primarily on significant inputs not observable in the marketplace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thus represent Level 3 measurements. The following table summarizes the allocation of the purchase price over the estimated fair values of the major assets acquired, liabilities assumed, and noncontrolling interest (in millions):</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Inventoried costs</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liabilities assumed</w:t>
            </w:r>
          </w:p>
        </w:tc>
        <w:tc>
          <w:tcPr>
            <w:tcW w:w="8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9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assets before noncontrolling interest</w:t>
            </w:r>
          </w:p>
        </w:tc>
        <w:tc>
          <w:tcPr>
            <w:tcW w:w="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8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assets acquired, excluding cash</w:t>
            </w: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
        </w:trPr>
        <w:tc>
          <w:tcPr>
            <w:tcW w:w="9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of February 27, 2019, net liabilities included $7.5 million of current liabilities. There was no contingent purchase consideration associated with the acquisition of an 80.1% majority interest in FTT. The identifiable intangible assets include customer relationships of $19.7 million with a useful life of 13 years, in-process research and development of $8.5 million that will commence amortization at the completion of the development project, backlog of $2.1 million with a useful life of two years, and trade name of $0.5 million with a useful life of two years. The Company also established a deferred tax liability of $7.0 million for the increase in the financial statement basis of the acquired assets of FTT and a corresponding increase in goodwill. The goodwill recorded in this transaction is not expected to be tax-deductible.</w:t>
      </w:r>
    </w:p>
    <w:p>
      <w:pPr>
        <w:spacing w:after="0" w:line="21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amounts of revenue and operating loss of FTT included in the Company's condensed consolidated statement of operations for the three months ended September 29, 2019 were $16.3 million and $0.7 million, respectively. The amounts of revenue and operating income of FTT included in the Company's condensed consolidated statement of operations for the nine months ended September 29, 2019 were $37.7 million and $1.0 million, respectively. Included in </w:t>
      </w:r>
      <w:r>
        <w:rPr>
          <w:rFonts w:ascii="Times New Roman" w:cs="Times New Roman" w:eastAsia="Times New Roman" w:hAnsi="Times New Roman"/>
          <w:sz w:val="18"/>
          <w:szCs w:val="18"/>
          <w:i w:val="1"/>
          <w:iCs w:val="1"/>
          <w:color w:val="auto"/>
        </w:rPr>
        <w:t>Merger and acquisition expenses</w:t>
      </w:r>
      <w:r>
        <w:rPr>
          <w:rFonts w:ascii="Times New Roman" w:cs="Times New Roman" w:eastAsia="Times New Roman" w:hAnsi="Times New Roman"/>
          <w:sz w:val="18"/>
          <w:szCs w:val="18"/>
          <w:color w:val="auto"/>
        </w:rPr>
        <w:t xml:space="preserve"> for the nine months ended September 29, 2019 were transaction expenses of $1.3 million, related to the acquisition of FTT.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summary of the consideration paid for the acquired ownership in FTT is as follow:</w:t>
            </w: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21"/>
        </w:trPr>
        <w:tc>
          <w:tcPr>
            <w:tcW w:w="9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3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purchase consideration</w:t>
            </w:r>
          </w:p>
        </w:tc>
        <w:tc>
          <w:tcPr>
            <w:tcW w:w="620" w:type="dxa"/>
            <w:vAlign w:val="bottom"/>
          </w:tcPr>
          <w:p>
            <w:pPr>
              <w:spacing w:after="0"/>
              <w:rPr>
                <w:sz w:val="19"/>
                <w:szCs w:val="19"/>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9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63.0</w:t>
            </w:r>
          </w:p>
        </w:tc>
      </w:tr>
      <w:tr>
        <w:trPr>
          <w:trHeight w:val="23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60.0</w:t>
            </w:r>
          </w:p>
        </w:tc>
      </w:tr>
      <w:tr>
        <w:trPr>
          <w:trHeight w:val="20"/>
        </w:trPr>
        <w:tc>
          <w:tcPr>
            <w:tcW w:w="9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Pro Forma Financial Information</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tables summarize the supplemental condensed consolidated statements of operations information on an unaudited pro forma basis as if the acquisition of FTT occurred on December 31, 2018 and include adjustments that were directly attributable to the foregoing transactions. There are no material, nonrecurring pro forma adjustments directly attributable to the business combination included in the reported pro forma revenue and earnings.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769"/>
        </w:trPr>
        <w:tc>
          <w:tcPr>
            <w:tcW w:w="9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 the nine months ended September 29, 2019 (all amounts, except per share amounts, are in millions):</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2"/>
        </w:trPr>
        <w:tc>
          <w:tcPr>
            <w:tcW w:w="90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revenues</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w:t>
            </w: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 before tax</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income</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 attributable to Kratos</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70"/>
        </w:trPr>
        <w:tc>
          <w:tcPr>
            <w:tcW w:w="90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pro forma income per share attributable to Kratos</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pro forma income per share attributable to Kratos</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bl>
    <w:p>
      <w:pPr>
        <w:spacing w:after="0" w:line="15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common shares used to calculate income per share also reflects the issuance of 1,825,406 shares of our common stock in conjunction with the acquisition. Comparable amounts for the three months ended September 29, 2019 are not presented as the results for FTT for the quarter were fully included in the condensed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Technical Directions, Inc.</w:t>
      </w:r>
    </w:p>
    <w:p>
      <w:pPr>
        <w:spacing w:after="0" w:line="256" w:lineRule="exact"/>
        <w:rPr>
          <w:sz w:val="20"/>
          <w:szCs w:val="20"/>
          <w:color w:val="auto"/>
        </w:rPr>
      </w:pPr>
    </w:p>
    <w:p>
      <w:pPr>
        <w:ind w:right="340" w:firstLine="648"/>
        <w:spacing w:after="0" w:line="268" w:lineRule="auto"/>
        <w:rPr>
          <w:sz w:val="20"/>
          <w:szCs w:val="20"/>
          <w:color w:val="auto"/>
        </w:rPr>
      </w:pPr>
      <w:r>
        <w:rPr>
          <w:rFonts w:ascii="Times New Roman" w:cs="Times New Roman" w:eastAsia="Times New Roman" w:hAnsi="Times New Roman"/>
          <w:sz w:val="17"/>
          <w:szCs w:val="17"/>
          <w:color w:val="auto"/>
        </w:rPr>
        <w:t>On February 24, 2020, the Company acquired Technical Directions, Inc.(“TDI”), a turbine technology company focused on tactical unmanned aerial drones, missile and other systems for approximately $10.5 million in cash, subject to adjustments for transaction expenses, indebtedness, cash on</w:t>
      </w:r>
    </w:p>
    <w:p>
      <w:pPr>
        <w:ind w:right="40"/>
        <w:spacing w:after="0"/>
        <w:rPr>
          <w:sz w:val="20"/>
          <w:szCs w:val="20"/>
          <w:color w:val="auto"/>
        </w:rPr>
      </w:pPr>
      <w:r>
        <w:rPr>
          <w:rFonts w:ascii="Times New Roman" w:cs="Times New Roman" w:eastAsia="Times New Roman" w:hAnsi="Times New Roman"/>
          <w:sz w:val="18"/>
          <w:szCs w:val="18"/>
          <w:color w:val="auto"/>
        </w:rPr>
        <w:t>hand, and post-closing working capital adjustments. Working capital adjustments of $0.3 million were settled in the third quarter of 2020. 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the acquisition have been included in the Company’s results of operations from the effective acquisition date. The amount of net sales and earnings of TDI included in the condensed consolidated statement of operations for the nine months ended September 27, 2020 are not material. Had the acquisition occurred as of December 29, 2019, net sales, net income from consolidated operations, net income attributable to Kratos, and basic and diluted net income per share attributable to Kratos on a pro forma basis for the nine months ended September 27, 2020 would not have been materially different than the reported amounts. TDI is included in the Kratos Unmanned Systems (“US”) segment.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Optimized Performance Machining, Inc.</w:t>
      </w:r>
    </w:p>
    <w:p>
      <w:pPr>
        <w:spacing w:after="0" w:line="243"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7"/>
          <w:szCs w:val="17"/>
          <w:color w:val="auto"/>
        </w:rPr>
        <w:t>On April 17, 2020, the Company acquired Optimized Performance Machining, Inc.(“OPM”), a company that primarily operates in the industrial machinery and equipment repair business industry for approximately $1.8 million in cash, subject to adjustments for transaction expenses, indebtedness,</w:t>
      </w:r>
    </w:p>
    <w:p>
      <w:pPr>
        <w:spacing w:after="0"/>
        <w:rPr>
          <w:sz w:val="20"/>
          <w:szCs w:val="20"/>
          <w:color w:val="auto"/>
        </w:rPr>
      </w:pPr>
      <w:r>
        <w:rPr>
          <w:rFonts w:ascii="Times New Roman" w:cs="Times New Roman" w:eastAsia="Times New Roman" w:hAnsi="Times New Roman"/>
          <w:sz w:val="18"/>
          <w:szCs w:val="18"/>
          <w:color w:val="auto"/>
        </w:rPr>
        <w:t>cash on hand, and post-closing working capital adjustments. Working capital adjustments of $0.03 million were settled in the third quarter of 2020. 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unaudited condensed consolidated financial statements. The operating results of the acquisition have been included in the Company’s results of operations from the effective acquisition date. The amount of net sales and earnings of OPM included in the condensed consolidated statement of operations for the nine months ended September 27, 2020 are not material. Had the acquisition occurred as of December 29, 2019, net sales, net income from consolidated operations, net income attributable to Kratos, and basic and diluted net income per share attributable to Kratos on a pro forma basis for the nine months ended September 27, 2020 would not have been materially different than the reported amounts. OPM is included in the Kratos US segment.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CPI ASC Signal Division, Inc.</w:t>
      </w:r>
    </w:p>
    <w:p>
      <w:pPr>
        <w:spacing w:after="0" w:line="24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On June 15, 2020, Kratos Integral Holdings, LLC entered into a Stock Purchase Agreement to acquire CPI ASC Signal Division, Inc. (“ASC Signal”) from Communications &amp; Power Industries LLC for approximately $35 million in cash, subject to adjustments for transaction expenses, indebtedness, cash on hand, and working capital adjustments. ASC Signal is a manufacturer of high-performance, highly engineered antenna systems for satellite communications, radar, electronic warfare, and high frequency applications. On June 30, 2020, the acquisition was completed following the satisfaction of all closing conditions, including receipt of regulatory approval from all required government authorities.</w:t>
      </w:r>
    </w:p>
    <w:p>
      <w:pPr>
        <w:spacing w:after="0" w:line="21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ASC Signal’s existing business with Kratos’ related products and customers.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transaction has been accounted for using the acquisition method of accounting, which requires, among other things, that the assets acquired and the liabilities assumed be recognized at their fair values as of the acquisition date. The fair value measurements are based primarily on significant inputs not observable in the marketplace and thus represent Level 3 measurements. The following table summarizes the preliminary allocation of the purchase price over the estimated fair values of the major assets acquired and liabilities assumed (in millions):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Inventoried costs</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liabilities assumed</w:t>
            </w:r>
          </w:p>
        </w:tc>
        <w:tc>
          <w:tcPr>
            <w:tcW w:w="8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 excluding cash</w:t>
            </w: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1"/>
        </w:trPr>
        <w:tc>
          <w:tcPr>
            <w:tcW w:w="9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Based on the Company’s preliminary estimate of fair value, as of June 30, 2020, net liabilities included $9.1 million of current liabilities. The identifiable intangible assets include trade names of $0.1 million with a remaining useful life of 1 year, customer relationships of $2.0 million with remaining useful lives of 5 years, and developed technology of $2.2 million with a remaining useful life of 7 years. The Company also established a deferred tax liability of $1.3 million for the difference between the financial statement basis and tax basis of the acquired assets of ASC Signal and a corresponding increase in goodwill. The goodwill recorded in this transaction is not expected to be tax-deductible.</w:t>
      </w:r>
    </w:p>
    <w:p>
      <w:pPr>
        <w:spacing w:after="0" w:line="210" w:lineRule="exact"/>
        <w:rPr>
          <w:sz w:val="20"/>
          <w:szCs w:val="20"/>
          <w:color w:val="auto"/>
        </w:rPr>
      </w:pPr>
    </w:p>
    <w:p>
      <w:pPr>
        <w:jc w:val="both"/>
        <w:ind w:right="140" w:firstLine="648"/>
        <w:spacing w:after="0" w:line="289" w:lineRule="auto"/>
        <w:rPr>
          <w:sz w:val="20"/>
          <w:szCs w:val="20"/>
          <w:color w:val="auto"/>
        </w:rPr>
      </w:pPr>
      <w:r>
        <w:rPr>
          <w:rFonts w:ascii="Times New Roman" w:cs="Times New Roman" w:eastAsia="Times New Roman" w:hAnsi="Times New Roman"/>
          <w:sz w:val="17"/>
          <w:szCs w:val="17"/>
          <w:color w:val="auto"/>
        </w:rPr>
        <w:t xml:space="preserve">The amounts of revenue and operating income of ASC Signal included in the Company's condensed consolidated statement of operations for the three months ended September 27, 2020 were $10.2 million and $0.7 million, respectively. Included in </w:t>
      </w:r>
      <w:r>
        <w:rPr>
          <w:rFonts w:ascii="Times New Roman" w:cs="Times New Roman" w:eastAsia="Times New Roman" w:hAnsi="Times New Roman"/>
          <w:sz w:val="17"/>
          <w:szCs w:val="17"/>
          <w:i w:val="1"/>
          <w:iCs w:val="1"/>
          <w:color w:val="auto"/>
        </w:rPr>
        <w:t>Merger and acquisition expenses</w:t>
      </w:r>
      <w:r>
        <w:rPr>
          <w:rFonts w:ascii="Times New Roman" w:cs="Times New Roman" w:eastAsia="Times New Roman" w:hAnsi="Times New Roman"/>
          <w:sz w:val="17"/>
          <w:szCs w:val="17"/>
          <w:color w:val="auto"/>
        </w:rPr>
        <w:t xml:space="preserve"> for the three and nine months ended September 27, 2020 were transaction expenses of $0.1 million and $1.1 million, respectively, related to the acquisition of ASC Signal.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summary of the consideration paid for the acquired ownership in ASC Signal is as follows:</w:t>
            </w: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21"/>
        </w:trPr>
        <w:tc>
          <w:tcPr>
            <w:tcW w:w="9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3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9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32.9</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Pro Forma Financial Information</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tables summarize the supplemental condensed consolidated statements of operations information on an unaudited pro forma basis as if the acquisition of ASC Signal occurred on December 30, 2019 and include adjustments that were directly attributable to the foregoing transactions. There are no material, nonrecurring pro forma adjustments directly attributable to the business combination included in the reported pro forma revenue and earnings (loss).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 the nine months ended September 27, 2020 (all amounts, except per share amounts, are in millions):</w:t>
            </w: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21"/>
        </w:trPr>
        <w:tc>
          <w:tcPr>
            <w:tcW w:w="90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revenues</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loss before tax</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loss</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0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pro forma loss per share</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4"/>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pro forma loss per share</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54" w:lineRule="exact"/>
        <w:rPr>
          <w:sz w:val="20"/>
          <w:szCs w:val="20"/>
          <w:color w:val="auto"/>
        </w:rPr>
      </w:pPr>
    </w:p>
    <w:p>
      <w:pPr>
        <w:jc w:val="both"/>
        <w:ind w:right="2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Accounting Standards Codification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revenue is recognized when a customer obtains control of promised goods or services. The amount of revenue recognized reflects the consideration that the Company expects to be entitled to receive in exchange for these goods or services.</w:t>
      </w:r>
    </w:p>
    <w:p>
      <w:pPr>
        <w:spacing w:after="0" w:line="202"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1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56" w:lineRule="exact"/>
        <w:rPr>
          <w:sz w:val="20"/>
          <w:szCs w:val="20"/>
          <w:color w:val="auto"/>
        </w:rPr>
      </w:pPr>
    </w:p>
    <w:p>
      <w:pPr>
        <w:ind w:right="320" w:firstLine="177"/>
        <w:spacing w:after="0" w:line="266" w:lineRule="auto"/>
        <w:rPr>
          <w:sz w:val="20"/>
          <w:szCs w:val="20"/>
          <w:color w:val="auto"/>
        </w:rPr>
      </w:pPr>
      <w:r>
        <w:rPr>
          <w:rFonts w:ascii="Times New Roman" w:cs="Times New Roman" w:eastAsia="Times New Roman" w:hAnsi="Times New Roman"/>
          <w:sz w:val="18"/>
          <w:szCs w:val="18"/>
          <w:color w:val="auto"/>
        </w:rPr>
        <w:t>The Company calculates revenues from remaining performance obligations as the dollar value of the remaining performance obligations on executed contracts. On September 27, 2020, the Company had approximately $873.1 million of remaining performance obligations. The Company expects to recognize approximately 22% of the remaining performance obligations as revenue in 2020, an additional 35% by 2021, and the balance thereafter.</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ind w:right="40" w:firstLine="180"/>
        <w:spacing w:after="0" w:line="253" w:lineRule="auto"/>
        <w:rPr>
          <w:sz w:val="20"/>
          <w:szCs w:val="20"/>
          <w:color w:val="auto"/>
        </w:rPr>
      </w:pPr>
      <w:r>
        <w:rPr>
          <w:rFonts w:ascii="Times New Roman" w:cs="Times New Roman" w:eastAsia="Times New Roman" w:hAnsi="Times New Roman"/>
          <w:sz w:val="18"/>
          <w:szCs w:val="18"/>
          <w:color w:val="auto"/>
        </w:rPr>
        <w:t>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00" w:firstLine="180"/>
        <w:spacing w:after="0" w:line="272" w:lineRule="auto"/>
        <w:rPr>
          <w:sz w:val="20"/>
          <w:szCs w:val="20"/>
          <w:color w:val="auto"/>
        </w:rPr>
      </w:pPr>
      <w:r>
        <w:rPr>
          <w:rFonts w:ascii="Times New Roman" w:cs="Times New Roman" w:eastAsia="Times New Roman" w:hAnsi="Times New Roman"/>
          <w:sz w:val="17"/>
          <w:szCs w:val="17"/>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w:t>
      </w:r>
    </w:p>
    <w:p>
      <w:pPr>
        <w:spacing w:after="0" w:line="2"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18"/>
          <w:szCs w:val="18"/>
          <w:color w:val="auto"/>
        </w:rPr>
        <w:t>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1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21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 and nine-month periods ended September 27, 2020, and September 29, 2019. Likewise, total cumulative catch-up adjustments were not material for the three and nine-month periods ended September 27, 2020, and September 29, 2019.</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1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21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contract assets and liabilities are as follows (in millions):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29, 2019</w:t>
            </w:r>
          </w:p>
        </w:tc>
        <w:tc>
          <w:tcPr>
            <w:tcW w:w="1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Net Change</w:t>
            </w:r>
          </w:p>
        </w:tc>
      </w:tr>
      <w:tr>
        <w:trPr>
          <w:trHeight w:val="226"/>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contract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Contract assets increased $13.3 million during the nine months ended September 27, 2020, primarily due to the recognition of revenue related to the satisfaction or partial satisfaction of performance obligations for which the Company has not yet billed the customers. There were no significant impairment losses related to any receivables or contract assets arising from the Company’s contracts with customers during the nine months ended September 27, 2020. Contract liabilities increased $2.0 million during the nine months ended September 27, 2020, primarily due to payments received in excess of revenue recognized on these performance obligations. For the three and nine months ended September 27, 2020 the Company recognized revenue of $3.5 million and $23.5 million, respectively, that was previously included in the contract liabilities that existed at December 29, 2019. For the three and nine months ended September 29, 2019 the Company recognized revenue of $5.3 million and $26.6 million, respectively, that was previously included in the contract liabilities that existed at December 30, 2018.</w:t>
      </w:r>
    </w:p>
    <w:p>
      <w:pPr>
        <w:spacing w:after="0" w:line="21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Under a T for C, the Company would not be able to collect the total withheld amounts until the settlement terms of the T for C have been negotiated and agreed to with the customer. At September 27, 2020 and December 29, 2019, approximately $11.5 million in unbilled receivables remained outstanding on this project. In addition, the Company is currently in dispute with an international customer in the US segment over approximately $10.0 million in unbilled receivables outstanding as of September 27, 2020 and December 29, 2019. The dispute concerns the completion of certain system requirements and certain contractual milestones. Although there could be a delay in billing and collecting amounts due to the Company under the aforementioned contracts, management has evaluated the present facts of the matters and performed a reassessment of the contractual amounts due and has determined that no adjustment to previously recognized revenue, or the corresponding unbilled receivables, is necessary at September 27, 2020.</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series of tables presents the Company’s revenue disaggregated by several categories. For the majority of contracts, the customer obtains control or receives benefits as work is performed on the contract. Revenue by contract type was as follows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22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180" w:type="dxa"/>
            <w:vAlign w:val="bottom"/>
            <w:tcBorders>
              <w:top w:val="single" w:sz="8" w:color="auto"/>
            </w:tcBorders>
            <w:gridSpan w:val="4"/>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3"/>
              <w:spacing w:after="0" w:line="13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plus fee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 and materials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30"/>
        </w:trPr>
        <w:tc>
          <w:tcPr>
            <w:tcW w:w="6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Unmanned Systems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price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29"/>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plus fee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and materials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Unmanned Systems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Revenue by customer was as follows (in millions):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6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222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18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3"/>
              <w:spacing w:after="0" w:line="13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U.S. Commercial and other customers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Unmanned Systems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30"/>
        </w:trPr>
        <w:tc>
          <w:tcPr>
            <w:tcW w:w="65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Commercial and other customers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Unmanned Systems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right="2100" w:firstLine="8"/>
        <w:spacing w:after="0" w:line="263" w:lineRule="auto"/>
        <w:tabs>
          <w:tab w:leader="none" w:pos="15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205" w:lineRule="exact"/>
        <w:rPr>
          <w:rFonts w:ascii="Times New Roman" w:cs="Times New Roman" w:eastAsia="Times New Roman" w:hAnsi="Times New Roman"/>
          <w:sz w:val="11"/>
          <w:szCs w:val="11"/>
          <w:color w:val="auto"/>
        </w:rPr>
      </w:pPr>
    </w:p>
    <w:p>
      <w:pPr>
        <w:ind w:right="2040" w:firstLine="8"/>
        <w:spacing w:after="0" w:line="263" w:lineRule="auto"/>
        <w:tabs>
          <w:tab w:leader="none" w:pos="15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Discontinued Operations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The Company and the Buyer are currently in a dispute regarding the closing net working capital adjustment. The amount in dispute is approximately $8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To date, the Company has collected approximately $6.8 million of the retained net working capital. The Company currently expects that the remaining net working capital retained by the Company will be collected during 2020 once certain legacy projects are completed and the project close-out process has been completed. The Company currently expects to recognize a net approximate break-even on the sale of the PSS business once the aggregate net proceeds from the Transaction have been collected, excluding the impact of the final settlement and determination of the closing net working capital adjustment. Any changes or adjustments to the expected net proceeds will be reflected in future periods.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results of discontinued operations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3"/>
        </w:trPr>
        <w:tc>
          <w:tcPr>
            <w:tcW w:w="6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4"/>
              <w:spacing w:after="0" w:line="13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4"/>
              <w:spacing w:after="0" w:line="134"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89"/>
        </w:trPr>
        <w:tc>
          <w:tcPr>
            <w:tcW w:w="6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taxes</w:t>
            </w: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Revenue and operating results for the three and nine months ended September 27, 2020 and September 29, 2019 reflected the performance on contracts related to the working capital retained by the Company and legal expenses incurred related to the ongoing working capital dispute with the Buyer of PSS.</w:t>
      </w: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is a summary of the assets and liabilities of discontinued operations in the accompanying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27, 2020 and December 29, 2019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29, 2019</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3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3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Other long-term liabilities of discontinued operations</w:t>
            </w:r>
          </w:p>
        </w:tc>
        <w:tc>
          <w:tcPr>
            <w:tcW w:w="33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30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7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w:t>
      </w:r>
    </w:p>
    <w:p>
      <w:pPr>
        <w:spacing w:after="0" w:line="225"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carrying amounts of goodwill as of September 27, 2020 and December 29, 2019 by reportable segment are as follows (in millions):</w:t>
      </w:r>
    </w:p>
    <w:p>
      <w:pPr>
        <w:spacing w:after="0" w:line="147"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6"/>
          <w:szCs w:val="16"/>
          <w:b w:val="1"/>
          <w:bCs w:val="1"/>
          <w:color w:val="auto"/>
        </w:rPr>
        <w:t>As of September 27,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Kratos</w:t>
            </w:r>
          </w:p>
        </w:tc>
        <w:tc>
          <w:tcPr>
            <w:tcW w:w="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Unmanned</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6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value</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29, 2019</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180"/>
              <w:spacing w:after="0" w:line="132" w:lineRule="exact"/>
              <w:rPr>
                <w:sz w:val="20"/>
                <w:szCs w:val="20"/>
                <w:color w:val="auto"/>
              </w:rPr>
            </w:pPr>
            <w:r>
              <w:rPr>
                <w:rFonts w:ascii="Times New Roman" w:cs="Times New Roman" w:eastAsia="Times New Roman" w:hAnsi="Times New Roman"/>
                <w:sz w:val="14"/>
                <w:szCs w:val="14"/>
                <w:b w:val="1"/>
                <w:bCs w:val="1"/>
                <w:color w:val="auto"/>
              </w:rPr>
              <w:t>Kratos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Unmanned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value</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Purchased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for finite-lived and indefinite-lived intangible assets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As of September 27, 2020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As of December 29, 2019</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254"/>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1"/>
                <w:szCs w:val="11"/>
                <w:color w:val="auto"/>
              </w:rPr>
            </w:pPr>
          </w:p>
        </w:tc>
        <w:tc>
          <w:tcPr>
            <w:tcW w:w="920" w:type="dxa"/>
            <w:vAlign w:val="bottom"/>
          </w:tcPr>
          <w:p>
            <w:pPr>
              <w:jc w:val="center"/>
              <w:ind w:right="174"/>
              <w:spacing w:after="0" w:line="134"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274"/>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1"/>
                <w:szCs w:val="11"/>
                <w:color w:val="auto"/>
              </w:rPr>
            </w:pPr>
          </w:p>
        </w:tc>
        <w:tc>
          <w:tcPr>
            <w:tcW w:w="920" w:type="dxa"/>
            <w:vAlign w:val="bottom"/>
          </w:tcPr>
          <w:p>
            <w:pPr>
              <w:jc w:val="right"/>
              <w:ind w:right="394"/>
              <w:spacing w:after="0" w:line="134"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8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Contracts and backlog</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75"/>
        </w:trPr>
        <w:tc>
          <w:tcPr>
            <w:tcW w:w="34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Developed technology and technical know-</w:t>
            </w: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how</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8"/>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Consolidated amortization expense related to intangible assets subject to amortization was $1.7 million and $1.7 million for the three months ended September 27, 2020 and September 29, 2019, respectively, and $5.4 million and $5.2 million for the nine months ended September 27, 2020 and September 29, 2019,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Inventoried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Inventoried costs, consisted of the following components (in millions):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20" w:type="dxa"/>
            <w:vAlign w:val="bottom"/>
          </w:tcPr>
          <w:p>
            <w:pPr>
              <w:spacing w:after="0"/>
              <w:rPr>
                <w:sz w:val="18"/>
                <w:szCs w:val="18"/>
                <w:color w:val="auto"/>
              </w:rPr>
            </w:pPr>
          </w:p>
        </w:tc>
        <w:tc>
          <w:tcPr>
            <w:tcW w:w="17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29, 2019</w:t>
            </w:r>
          </w:p>
        </w:tc>
      </w:tr>
      <w:tr>
        <w:trPr>
          <w:trHeight w:val="226"/>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inventoried costs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0"/>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Net Income (Loss) per Common Share</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calculates net income (loss) per share in accordance with FASB Accounting Standards Codification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260). </w:t>
      </w:r>
      <w:r>
        <w:rPr>
          <w:rFonts w:ascii="Times New Roman" w:cs="Times New Roman" w:eastAsia="Times New Roman" w:hAnsi="Times New Roman"/>
          <w:sz w:val="18"/>
          <w:szCs w:val="18"/>
          <w:color w:val="auto"/>
        </w:rPr>
        <w:t>Under Topic 260, basic net income (loss) per common share attributable to the Kratos shareholders is calculated by dividing net income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Kratos by the weighted-average number of common shares outstanding during the reporting period. Diluted net income (loss) per common share attributable to the Kratos shareholders reflects the effects of potentially dilutive securities. The dilutive impact of potentially dilutive common shares is determined by applying the treasury stock method.</w:t>
      </w:r>
    </w:p>
    <w:p>
      <w:pPr>
        <w:spacing w:after="0" w:line="212" w:lineRule="exact"/>
        <w:rPr>
          <w:sz w:val="20"/>
          <w:szCs w:val="20"/>
          <w:color w:val="auto"/>
        </w:rPr>
      </w:pPr>
    </w:p>
    <w:p>
      <w:pPr>
        <w:ind w:right="60" w:firstLine="567"/>
        <w:spacing w:after="0" w:line="282" w:lineRule="auto"/>
        <w:rPr>
          <w:sz w:val="20"/>
          <w:szCs w:val="20"/>
          <w:color w:val="auto"/>
        </w:rPr>
      </w:pPr>
      <w:r>
        <w:rPr>
          <w:rFonts w:ascii="Times New Roman" w:cs="Times New Roman" w:eastAsia="Times New Roman" w:hAnsi="Times New Roman"/>
          <w:sz w:val="18"/>
          <w:szCs w:val="18"/>
          <w:color w:val="auto"/>
        </w:rPr>
        <w:t>Shares from stock options and awards, excluded from the calculation of diluted net income per share because their inclusion would have been anti-dilutive, were 0.0 million and 0.6 million for the three and nine months ended September 27, 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21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depreciable life of lease assets and leasehold improvements is limited by the expected lease term, unless there is a transfer of title or purchase option reasonably certain of exercise.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components of lease expense were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7"/>
          </w:tcPr>
          <w:p>
            <w:pPr>
              <w:ind w:left="10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200" w:type="dxa"/>
            <w:vAlign w:val="bottom"/>
          </w:tcPr>
          <w:p>
            <w:pPr>
              <w:spacing w:after="0"/>
              <w:rPr>
                <w:sz w:val="16"/>
                <w:szCs w:val="16"/>
                <w:color w:val="auto"/>
              </w:rPr>
            </w:pPr>
          </w:p>
        </w:tc>
        <w:tc>
          <w:tcPr>
            <w:tcW w:w="15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8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right of use assets - finance leases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 - finance leases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lease cost (cost excluded from lease</w:t>
            </w:r>
          </w:p>
        </w:tc>
        <w:tc>
          <w:tcPr>
            <w:tcW w:w="180" w:type="dxa"/>
            <w:vAlign w:val="bottom"/>
            <w:shd w:val="clear" w:color="auto" w:fill="CCEEFF"/>
          </w:tcPr>
          <w:p>
            <w:pPr>
              <w:spacing w:after="0"/>
              <w:rPr>
                <w:sz w:val="15"/>
                <w:szCs w:val="15"/>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52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components of leases on the balance sheet were as follows (in millions):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8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 2019</w:t>
            </w:r>
          </w:p>
        </w:tc>
        <w:tc>
          <w:tcPr>
            <w:tcW w:w="0" w:type="dxa"/>
            <w:vAlign w:val="bottom"/>
          </w:tcPr>
          <w:p>
            <w:pPr>
              <w:spacing w:after="0"/>
              <w:rPr>
                <w:sz w:val="1"/>
                <w:szCs w:val="1"/>
                <w:color w:val="auto"/>
              </w:rPr>
            </w:pPr>
          </w:p>
        </w:tc>
      </w:tr>
      <w:tr>
        <w:trPr>
          <w:trHeight w:val="214"/>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8"/>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cash paid for interest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financing cash flows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lease - operating cash flows (fixed</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40" w:type="dxa"/>
            <w:vAlign w:val="bottom"/>
            <w:gridSpan w:val="2"/>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20" w:type="dxa"/>
            <w:vAlign w:val="bottom"/>
            <w:gridSpan w:val="4"/>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1640" w:type="dxa"/>
            <w:vAlign w:val="bottom"/>
            <w:gridSpan w:val="4"/>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56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Other supplemental noncash information (in millions):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8"/>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0" w:type="dxa"/>
            <w:vAlign w:val="bottom"/>
          </w:tcPr>
          <w:p>
            <w:pPr>
              <w:spacing w:after="0"/>
              <w:rPr>
                <w:sz w:val="1"/>
                <w:szCs w:val="1"/>
                <w:color w:val="auto"/>
              </w:rPr>
            </w:pPr>
          </w:p>
        </w:tc>
      </w:tr>
      <w:tr>
        <w:trPr>
          <w:trHeight w:val="155"/>
        </w:trPr>
        <w:tc>
          <w:tcPr>
            <w:tcW w:w="38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Operating lease liabilities arising from obtaining</w:t>
            </w:r>
          </w:p>
        </w:tc>
        <w:tc>
          <w:tcPr>
            <w:tcW w:w="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including impact of ASC 842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5"/>
                <w:szCs w:val="15"/>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adoption</w:t>
            </w:r>
          </w:p>
        </w:tc>
        <w:tc>
          <w:tcPr>
            <w:tcW w:w="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Finance lease liabilities arising from obtaining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including impact of ASC 842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5"/>
                <w:szCs w:val="15"/>
                <w:color w:val="auto"/>
              </w:rPr>
            </w:pPr>
          </w:p>
        </w:tc>
        <w:tc>
          <w:tcPr>
            <w:tcW w:w="1560" w:type="dxa"/>
            <w:vAlign w:val="bottom"/>
            <w:vMerge w:val="restart"/>
          </w:tcPr>
          <w:p>
            <w:pPr>
              <w:jc w:val="right"/>
              <w:ind w:right="98"/>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5"/>
                <w:szCs w:val="15"/>
                <w:color w:val="auto"/>
              </w:rPr>
            </w:pPr>
          </w:p>
        </w:tc>
        <w:tc>
          <w:tcPr>
            <w:tcW w:w="7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vMerge w:val="restart"/>
          </w:tcPr>
          <w:p>
            <w:pPr>
              <w:jc w:val="right"/>
              <w:ind w:right="113"/>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adoption</w:t>
            </w:r>
          </w:p>
        </w:tc>
        <w:tc>
          <w:tcPr>
            <w:tcW w:w="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9"/>
        </w:trPr>
        <w:tc>
          <w:tcPr>
            <w:tcW w:w="3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19.17</w:t>
            </w:r>
          </w:p>
        </w:tc>
        <w:tc>
          <w:tcPr>
            <w:tcW w:w="0" w:type="dxa"/>
            <w:vAlign w:val="bottom"/>
          </w:tcPr>
          <w:p>
            <w:pPr>
              <w:spacing w:after="0"/>
              <w:rPr>
                <w:sz w:val="1"/>
                <w:szCs w:val="1"/>
                <w:color w:val="auto"/>
              </w:rPr>
            </w:pPr>
          </w:p>
        </w:tc>
      </w:tr>
      <w:tr>
        <w:trPr>
          <w:trHeight w:val="108"/>
        </w:trPr>
        <w:tc>
          <w:tcPr>
            <w:tcW w:w="3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34"/>
        </w:trPr>
        <w:tc>
          <w:tcPr>
            <w:tcW w:w="3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6.53 %</w:t>
            </w:r>
          </w:p>
        </w:tc>
        <w:tc>
          <w:tcPr>
            <w:tcW w:w="0" w:type="dxa"/>
            <w:vAlign w:val="bottom"/>
          </w:tcPr>
          <w:p>
            <w:pPr>
              <w:spacing w:after="0"/>
              <w:rPr>
                <w:sz w:val="1"/>
                <w:szCs w:val="1"/>
                <w:color w:val="auto"/>
              </w:rPr>
            </w:pPr>
          </w:p>
        </w:tc>
      </w:tr>
      <w:tr>
        <w:trPr>
          <w:trHeight w:val="549"/>
        </w:trPr>
        <w:tc>
          <w:tcPr>
            <w:tcW w:w="40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The maturity of lease liabilities is (in millions):</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28"/>
        </w:trPr>
        <w:tc>
          <w:tcPr>
            <w:tcW w:w="382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2020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80" w:hanging="154"/>
        <w:spacing w:after="0" w:line="230" w:lineRule="auto"/>
        <w:tabs>
          <w:tab w:leader="none" w:pos="1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the nine months ended September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-123825</wp:posOffset>
            </wp:positionV>
            <wp:extent cx="2597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56" w:lineRule="exact"/>
        <w:rPr>
          <w:sz w:val="20"/>
          <w:szCs w:val="20"/>
          <w:color w:val="auto"/>
        </w:rPr>
      </w:pPr>
    </w:p>
    <w:p>
      <w:pPr>
        <w:jc w:val="both"/>
        <w:ind w:right="140" w:firstLine="567"/>
        <w:spacing w:after="0" w:line="245" w:lineRule="auto"/>
        <w:rPr>
          <w:sz w:val="20"/>
          <w:szCs w:val="20"/>
          <w:color w:val="auto"/>
        </w:rPr>
      </w:pPr>
      <w:r>
        <w:rPr>
          <w:rFonts w:ascii="Times New Roman" w:cs="Times New Roman" w:eastAsia="Times New Roman" w:hAnsi="Times New Roman"/>
          <w:sz w:val="18"/>
          <w:szCs w:val="18"/>
          <w:color w:val="auto"/>
        </w:rPr>
        <w:t>On March 27, 2020, the President signed into law the Coronavirus Aid, Relief and Economic Security Act (the “CARES Act”), which, along with earlier issued IRS guidance, provides for the deferral of certain taxes. The CARES Act, among other things, removed the 80% limitation on the utilization of net operating losses in tax years 2018-2020, and contains numerous other provisions which may benefit the Company. The CARES Act did not have a material impact on the Company’s effective tax rate for the nine months ended September 27, 2020.</w:t>
      </w:r>
    </w:p>
    <w:p>
      <w:pPr>
        <w:spacing w:after="0" w:line="208" w:lineRule="exact"/>
        <w:rPr>
          <w:sz w:val="20"/>
          <w:szCs w:val="20"/>
          <w:color w:val="auto"/>
        </w:rPr>
      </w:pPr>
    </w:p>
    <w:p>
      <w:pPr>
        <w:ind w:right="40" w:firstLine="567"/>
        <w:spacing w:after="0" w:line="266" w:lineRule="auto"/>
        <w:rPr>
          <w:sz w:val="20"/>
          <w:szCs w:val="20"/>
          <w:color w:val="auto"/>
        </w:rPr>
      </w:pPr>
      <w:r>
        <w:rPr>
          <w:rFonts w:ascii="Times New Roman" w:cs="Times New Roman" w:eastAsia="Times New Roman" w:hAnsi="Times New Roman"/>
          <w:sz w:val="18"/>
          <w:szCs w:val="18"/>
          <w:color w:val="auto"/>
        </w:rPr>
        <w:t>A reconciliation of the income tax expense (benefit) from continuing operations computed by applying the statutory federal income tax rate of 21% to income from continuing operations before income taxes to the provision for income taxes from continuing operations for the three and nine months ended September 27, 2020 and September 29, 2019 was as follows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6"/>
                <w:szCs w:val="16"/>
                <w:color w:val="auto"/>
              </w:rPr>
            </w:pPr>
          </w:p>
        </w:tc>
        <w:tc>
          <w:tcPr>
            <w:tcW w:w="23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34"/>
        </w:trPr>
        <w:tc>
          <w:tcPr>
            <w:tcW w:w="6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4"/>
              <w:spacing w:after="0" w:line="13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4"/>
              <w:spacing w:after="0" w:line="134"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89"/>
        </w:trPr>
        <w:tc>
          <w:tcPr>
            <w:tcW w:w="6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federal statutory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w w:val="97"/>
              </w:rPr>
              <w:t>2.4</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foreign taxes, net of federal tax benefit and valuation allowance</w:t>
            </w:r>
          </w:p>
        </w:tc>
        <w:tc>
          <w:tcPr>
            <w:tcW w:w="140" w:type="dxa"/>
            <w:vAlign w:val="bottom"/>
          </w:tcPr>
          <w:p>
            <w:pPr>
              <w:spacing w:after="0"/>
              <w:rPr>
                <w:sz w:val="19"/>
                <w:szCs w:val="19"/>
                <w:color w:val="auto"/>
              </w:rPr>
            </w:pPr>
          </w:p>
        </w:tc>
        <w:tc>
          <w:tcPr>
            <w:tcW w:w="108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left="594"/>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left="594"/>
              <w:spacing w:after="0"/>
              <w:rPr>
                <w:sz w:val="20"/>
                <w:szCs w:val="20"/>
                <w:color w:val="auto"/>
              </w:rPr>
            </w:pPr>
            <w:r>
              <w:rPr>
                <w:rFonts w:ascii="Times New Roman" w:cs="Times New Roman" w:eastAsia="Times New Roman" w:hAnsi="Times New Roman"/>
                <w:sz w:val="18"/>
                <w:szCs w:val="18"/>
                <w:color w:val="auto"/>
                <w:w w:val="97"/>
              </w:rPr>
              <w:t>2.5</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 of valuation allowance due to acquisitions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8"/>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140" w:type="dxa"/>
            <w:vAlign w:val="bottom"/>
          </w:tcPr>
          <w:p>
            <w:pPr>
              <w:spacing w:after="0"/>
              <w:rPr>
                <w:sz w:val="19"/>
                <w:szCs w:val="19"/>
                <w:color w:val="auto"/>
              </w:rPr>
            </w:pPr>
          </w:p>
        </w:tc>
        <w:tc>
          <w:tcPr>
            <w:tcW w:w="108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left="594"/>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left="594"/>
              <w:spacing w:after="0"/>
              <w:rPr>
                <w:sz w:val="20"/>
                <w:szCs w:val="20"/>
                <w:color w:val="auto"/>
              </w:rPr>
            </w:pPr>
            <w:r>
              <w:rPr>
                <w:rFonts w:ascii="Times New Roman" w:cs="Times New Roman" w:eastAsia="Times New Roman" w:hAnsi="Times New Roman"/>
                <w:sz w:val="18"/>
                <w:szCs w:val="18"/>
                <w:color w:val="auto"/>
                <w:w w:val="97"/>
              </w:rPr>
              <w:t>0.7</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deferred tax liabilities for indefinite-lived assets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w w:val="97"/>
              </w:rPr>
              <w:t>0.6</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reserves for uncertain tax positions</w:t>
            </w:r>
          </w:p>
        </w:tc>
        <w:tc>
          <w:tcPr>
            <w:tcW w:w="140" w:type="dxa"/>
            <w:vAlign w:val="bottom"/>
          </w:tcPr>
          <w:p>
            <w:pPr>
              <w:spacing w:after="0"/>
              <w:rPr>
                <w:sz w:val="19"/>
                <w:szCs w:val="19"/>
                <w:color w:val="auto"/>
              </w:rPr>
            </w:pPr>
          </w:p>
        </w:tc>
        <w:tc>
          <w:tcPr>
            <w:tcW w:w="108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left="594"/>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left="594"/>
              <w:spacing w:after="0"/>
              <w:rPr>
                <w:sz w:val="20"/>
                <w:szCs w:val="20"/>
                <w:color w:val="auto"/>
              </w:rPr>
            </w:pPr>
            <w:r>
              <w:rPr>
                <w:rFonts w:ascii="Times New Roman" w:cs="Times New Roman" w:eastAsia="Times New Roman" w:hAnsi="Times New Roman"/>
                <w:sz w:val="18"/>
                <w:szCs w:val="18"/>
                <w:color w:val="auto"/>
                <w:w w:val="97"/>
              </w:rPr>
              <w:t>5.4</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federal valuation allowance</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8"/>
              </w:rPr>
              <w:t>(4.2)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8"/>
              </w:rPr>
              <w:t>(2.1)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 from continuing operations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615"/>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center"/>
              <w:ind w:left="594"/>
              <w:spacing w:after="0"/>
              <w:rPr>
                <w:sz w:val="20"/>
                <w:szCs w:val="20"/>
                <w:color w:val="auto"/>
              </w:rPr>
            </w:pPr>
            <w:r>
              <w:rPr>
                <w:rFonts w:ascii="Times New Roman" w:cs="Times New Roman" w:eastAsia="Times New Roman" w:hAnsi="Times New Roman"/>
                <w:sz w:val="18"/>
                <w:szCs w:val="18"/>
                <w:color w:val="auto"/>
                <w:w w:val="97"/>
              </w:rPr>
              <w:t>2.8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615"/>
              <w:spacing w:after="0"/>
              <w:rPr>
                <w:sz w:val="20"/>
                <w:szCs w:val="20"/>
                <w:color w:val="auto"/>
              </w:rPr>
            </w:pPr>
            <w:r>
              <w:rPr>
                <w:rFonts w:ascii="Times New Roman" w:cs="Times New Roman" w:eastAsia="Times New Roman" w:hAnsi="Times New Roman"/>
                <w:sz w:val="18"/>
                <w:szCs w:val="18"/>
                <w:color w:val="auto"/>
                <w:w w:val="97"/>
              </w:rPr>
              <w:t>1.8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center"/>
              <w:ind w:left="594"/>
              <w:spacing w:after="0"/>
              <w:rPr>
                <w:sz w:val="20"/>
                <w:szCs w:val="20"/>
                <w:color w:val="auto"/>
              </w:rPr>
            </w:pPr>
            <w:r>
              <w:rPr>
                <w:rFonts w:ascii="Times New Roman" w:cs="Times New Roman" w:eastAsia="Times New Roman" w:hAnsi="Times New Roman"/>
                <w:sz w:val="18"/>
                <w:szCs w:val="18"/>
                <w:color w:val="auto"/>
                <w:w w:val="97"/>
              </w:rPr>
              <w:t>3.8</w:t>
            </w: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assessing the Company’s ability to realize deferred tax assets, management considers, on a periodic basis, whether it is more likely than not that some portion or all of its deferred tax assets will not be realized. In making this assessment, the Company has concluded that negative evidence, including cumulative losses in recent years, continues to outweigh the positive evidence. Accordingly, the Company has maintained a full valuation allowance against the Company’s U.S. federal, combined state and certain foreign net deferred tax assets. However, given the Company’s more recent earnings history, management believes that it is possible that within the next 12 months, sufficient positive evidence may become available to allow management to reach a conclusion that a significant portion of the valuation allowance will no longer be needed. Release of the valuation allowance would result in the recognition of certain deferred tax assets with a potential corresponding decrease to income tax expense for the period the release is recorded. The exact timing and amount of the valuation allowance release would be predicated on the basis of the level of profitability that the Company is able to actually achieve and believes that it would sustain.</w:t>
      </w:r>
    </w:p>
    <w:p>
      <w:pPr>
        <w:spacing w:after="0" w:line="18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was limited to $27.0 million a year for the five years succeeding the March 2010 ownership change and $11.6 million for each year thereafter subject to separate limitations for Acquired NOLs. If the entire limitation amount is not utilized in a year, the excess can be carried forward and utilized in future years.</w:t>
      </w:r>
    </w:p>
    <w:p>
      <w:pPr>
        <w:spacing w:after="0" w:line="18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27, 2020, there was no impact of such limitations on the income tax provision, since the amount of taxable income did not exceed the annual limitation amount. However, future equity offerings 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acquisitions that have equity as a component of the purchase price could also cause an “ownership change.” If and when any other “ownership change” occurs, utilization of the NOLs or other tax attributes may be further limited.</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62"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 as well.</w:t>
      </w:r>
    </w:p>
    <w:p>
      <w:pPr>
        <w:spacing w:after="0" w:line="17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As of December 29, 2019, the Company had $24.0 million of unrecognized tax benefits that, if recognized, would impact the Company’s effective income tax rate, subject to possible offset by a change in the deferred tax asset valuation allowance. During the nine months ended September 27, 2020, unrecognized tax benefits increased by $1.1 million relating to various current and prior year positions.</w:t>
      </w:r>
    </w:p>
    <w:p>
      <w:pPr>
        <w:spacing w:after="0" w:line="20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its provision for income taxes. For the nine months ended September 27, 2020 and September 29, 2019, the Company recorded an expense for interest and penalties of $0.3 million and $1.1 million, respectively. For the nine months ended September 27, 2020 and September 29, 2019, there was no material benefit recorded related to the removal of interest and penalties. The Company believes that it is reasonably possible that as much as $0.2 million of the liabilities for uncertain tax positions will expire within the next twelve months due to the expiration of various applicable statutes of limitations.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Debt</w:t>
      </w:r>
    </w:p>
    <w:p>
      <w:pPr>
        <w:spacing w:after="0" w:line="225"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6.5% Senior Secured Notes due 2025</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November 2017, the Company issued and sold $300 million aggregate principal amount of 6.5% Senior Secured Notes due 2025 (the “6.5% Notes”) in a private placement conducted pursuant to Rule 144A and Regulation S under the Securities Act of 1933, as amended. The Company incurred debt issuance costs of $6.6 million associated with the 6.5% Notes. The Company utilized the net proceeds from the sale of the 6.5% Notes, as well as cash from its recent equity offering to extinguish its outstanding 7.00% Senior Secured Notes due in 2019 (the “7% Notes”). The total reacquisition price of the 7% Notes was $385.2 million, including a $12.0 million call premium, and $0.3 million of accrued interest.</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6.5% Notes are governed by the Indenture, dated as of November 20, 2017 (the “Indenture”), among the Company, the Company’s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the Company designates such Subsidiary Guarantor as an Unrestricted Subsidiary (as defined in the Indenture); (c) the Company exercises its legal defeasance option or its covenant defeasance option; or (d) upon satisfaction and discharge of the Indenture or payment in full in cash of the principal of, premium, if any, and accrued and unpaid interest on the 6.5% Notes.</w:t>
      </w:r>
    </w:p>
    <w:p>
      <w:pPr>
        <w:spacing w:after="0" w:line="21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6.5% Notes and the guarantees (as set forth in the Indenture) are the Company’s senior secured obligations and are equal in right of payment with all other senior obligations of the Subsidiary Guarantors’ existing and future secured debt to the extent of the assets securing that secured debt. The Company’s obligations under the 6.5% Notes are secured by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the Company’s obligations under the Credit Agreement (as defined below).</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6.5% Notes will be redeemable by the Company, in whole or in part, at any time on or after November 30, 2020 at the respective redemption prices specified in the Indenture. In addition, the Company may redeem up to 40% of the 6.5% Notes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before November 30, 2020 with the net proceeds of certain equity offerings. The Company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the Company may redeem up to 10% of the original aggregate principal amount of the 6.5% Notes issued under the Indenture at a redemption price of 103.000% of the principal amount thereof, plus accrued and unpaid interest, to, but excluding, the date of redemption, if any. The Company may also be required to make an offer to purchase the 6.5% Notes upon a change of control and certain sales of its assets.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Indenture contains covenants limiting, among other things, the Company’s ability and the Subsidiary Guarantors’ ability to: (a) pay dividends on or make distributions or repurchase or redeem the Company’s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the Company’s assets; (i) enter into transactions with affiliates; and (j) enter into agreements restricting the Company’s ability and certain of its subsidiaries’ ability to pay dividends. These covenants are subject to a number of exceptions. As of September 27, 2020, the Company was in compliance with the covenants contained in the Indenture governing the 6.5% Notes.</w:t>
      </w:r>
    </w:p>
    <w:p>
      <w:pPr>
        <w:spacing w:after="0" w:line="21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27, 2020, there was $300.0 million of 6.5% Notes outstanding.</w:t>
      </w:r>
    </w:p>
    <w:p>
      <w:pPr>
        <w:spacing w:after="0" w:line="24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Other Indebtedness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Credit and Security Agreement</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20, 2017, the Company entered into an amended and restated credit and security agreement (the “Credit Agreement”), with the lenders from time to time party thereto, SunTrust Bank, as Agent (the “Agent”), PNC Bank, National Association (“PNC Bank”), as Joint Lead Arranger and Documentation Agent, and SunTrust Robinson Humphrey, Inc. (“SunTrust”), as Joint Lead Arranger and Sole Book Runner. The Credit Agreement established a five-year senior secured revolving credit facility in the aggregate principal amount of $90.0 million (subject to a potential increase of the aggregate principal amount to $115.0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the Company’s accounts receivable, inventory, deposit accounts, securities accounts, cash, securities and general intangibles (other than intellectual property) and (ii) a second priority lien, junior to the lien securing the Company’s 6.5% Notes, on all of the Company’s other assets.</w:t>
      </w:r>
    </w:p>
    <w:p>
      <w:pPr>
        <w:spacing w:after="0" w:line="21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 then held eligible raw materials inventory, work-in-process inventory, and applicable reserves.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Credit Agreement contains certain covenants, which include, but are not limited to, restrictions on indebtedness,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liens, and investments, and limits on other various payments, as well as a financial covenant relating to a minimum fixed charge coverage ratio.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the Company or any of its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September 27, 2020, no event of default had occurred and the Company believes that events or conditions having a material adverse effect, giving rise to an acceleration of any amounts outstanding under the Credit Agreement, have not occurred and the likelihood of such events or conditions occurring is remote.</w:t>
      </w:r>
    </w:p>
    <w:p>
      <w:pPr>
        <w:spacing w:after="0" w:line="224"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The measurement of a minimum fixed charge coverage ratio under the Credit Agreement was modified in November 2017 to require measurement if Excess Availability (as defined in the Credit Agreement) is less than 50% of the lesser of the borrowing base or the total commitment amount.</w:t>
      </w:r>
    </w:p>
    <w:p>
      <w:pPr>
        <w:spacing w:after="0" w:line="16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June 11, 2018, the Company entered into a first amendment (the “First Amendment”) to the amended and restated Credit Agreement. Among other things, the First Amendment permitted the sale of the PSS business, provided that certain conditions, including application of the proceeds in accordance with the terms of documents governing the Company’s outstanding indebtedness, were satisfied.</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27, 2020, there were no borrowings outstanding on the Credit Agreement and $6.1 million was outstanding on letters of credit, resulting in net borrowing base availability of $69.1 million. The Company was in compliance with the financial covenants of the Credit Agreement and its amendments as of September 27, 2020.</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Israel Debt</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August 2020, the Company entered into two 5-year term loans with two banks in Israel representing an aggregate principal amount of approximately $4.8 million. These loans were subsidized by the State of Israel as part of a COVID-19 relief package with interest at Israeli NIS prime interest, plus a margin of 1.5%. The first year of interest is paid by the State of Israel with subsequent interest and principal payments due monthly, commencing in August 2021. The Company intends to repay these loans at the end of the first year.</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2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Carrying amounts and the related estimated fair values of the Company’s long-term debt financial instruments not measured at fair value on a recurring basis at September 27, 2020 and December 29, 2019 are presented in the following table: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As of September 27, 2020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As of December 29, 2019</w:t>
            </w:r>
          </w:p>
        </w:tc>
        <w:tc>
          <w:tcPr>
            <w:tcW w:w="0" w:type="dxa"/>
            <w:vAlign w:val="bottom"/>
          </w:tcPr>
          <w:p>
            <w:pPr>
              <w:spacing w:after="0"/>
              <w:rPr>
                <w:sz w:val="1"/>
                <w:szCs w:val="1"/>
                <w:color w:val="auto"/>
              </w:rPr>
            </w:pPr>
          </w:p>
        </w:tc>
      </w:tr>
      <w:tr>
        <w:trPr>
          <w:trHeight w:val="13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8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9"/>
        </w:trPr>
        <w:tc>
          <w:tcPr>
            <w:tcW w:w="5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including current portion</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Company’s long-term debt was based upon actual trading activity (Level 1, Observable inputs -quoted prices in active markets).</w:t>
      </w:r>
    </w:p>
    <w:p>
      <w:pPr>
        <w:spacing w:after="0" w:line="189" w:lineRule="exact"/>
        <w:rPr>
          <w:sz w:val="20"/>
          <w:szCs w:val="20"/>
          <w:color w:val="auto"/>
        </w:rPr>
      </w:pPr>
    </w:p>
    <w:p>
      <w:pPr>
        <w:jc w:val="both"/>
        <w:ind w:right="80" w:firstLine="683"/>
        <w:spacing w:after="0" w:line="261" w:lineRule="auto"/>
        <w:rPr>
          <w:sz w:val="20"/>
          <w:szCs w:val="20"/>
          <w:color w:val="auto"/>
        </w:rPr>
      </w:pPr>
      <w:r>
        <w:rPr>
          <w:rFonts w:ascii="Times New Roman" w:cs="Times New Roman" w:eastAsia="Times New Roman" w:hAnsi="Times New Roman"/>
          <w:sz w:val="18"/>
          <w:szCs w:val="18"/>
          <w:color w:val="auto"/>
        </w:rPr>
        <w:t>As of September 27, 2020, the difference between the carrying amount of $300.5 million and the principal amount of $304.8 million presented in the table above is the unamortized debt issuance costs of $4.3 million, which are being accreted to interest expense over the term of the related debt. As of December 29, 2019, the difference between the carrying amount of $295.1 million and the principal amount of $300.0 million presented in the table above is the unamortized debt issuance costs of $4.9 million, which are being accreted to interest expense over the term of the related debt.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Segment Information</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Company operates in two reportable segments. The KGS reportable segment is comprised of an aggregation of KGS operating segments, including the microwave electronic products, satellite, training, and cybersecurity, modular systems, defense and rocket support services, and turbine technologies operating segments. The Unmanned Systems (“US”) reportable segment consists of its unmanned aerial system and unmanned ground and seaborne system businesses.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w:t>
      </w:r>
    </w:p>
    <w:p>
      <w:pPr>
        <w:spacing w:after="0" w:line="21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from continuing operations of the reportable business segments is reconciled to the corresponding consolidated amount. The reconciling item </w:t>
      </w:r>
      <w:r>
        <w:rPr>
          <w:rFonts w:ascii="Times New Roman" w:cs="Times New Roman" w:eastAsia="Times New Roman" w:hAnsi="Times New Roman"/>
          <w:sz w:val="18"/>
          <w:szCs w:val="18"/>
          <w:i w:val="1"/>
          <w:iCs w:val="1"/>
          <w:color w:val="auto"/>
        </w:rPr>
        <w:t>Corporate activities</w:t>
      </w:r>
      <w:r>
        <w:rPr>
          <w:rFonts w:ascii="Times New Roman" w:cs="Times New Roman" w:eastAsia="Times New Roman" w:hAnsi="Times New Roman"/>
          <w:sz w:val="18"/>
          <w:szCs w:val="18"/>
          <w:color w:val="auto"/>
        </w:rPr>
        <w:t xml:space="preserve">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216" w:lineRule="exact"/>
        <w:rPr>
          <w:sz w:val="20"/>
          <w:szCs w:val="20"/>
          <w:color w:val="auto"/>
        </w:rPr>
      </w:pPr>
    </w:p>
    <w:p>
      <w:pPr>
        <w:ind w:right="280" w:firstLine="693"/>
        <w:spacing w:after="0" w:line="282" w:lineRule="auto"/>
        <w:rPr>
          <w:sz w:val="20"/>
          <w:szCs w:val="20"/>
          <w:color w:val="auto"/>
        </w:rPr>
      </w:pPr>
      <w:r>
        <w:rPr>
          <w:rFonts w:ascii="Times New Roman" w:cs="Times New Roman" w:eastAsia="Times New Roman" w:hAnsi="Times New Roman"/>
          <w:sz w:val="18"/>
          <w:szCs w:val="18"/>
          <w:color w:val="auto"/>
        </w:rPr>
        <w:t>Revenues, depreciation and amortization, and operating income generated by the Company’s reportable segments for the three and nine month periods ended September 27, 2020 and September 29, 2019 are as follows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10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revenues</w:t>
            </w: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Unmanned Systems product sales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Unmanned Systems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from continuing operations: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Unmanned Systems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activities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income from continuing operations</w:t>
            </w: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Corporate activities</w:t>
      </w:r>
      <w:r>
        <w:rPr>
          <w:rFonts w:ascii="Times New Roman" w:cs="Times New Roman" w:eastAsia="Times New Roman" w:hAnsi="Times New Roman"/>
          <w:sz w:val="18"/>
          <w:szCs w:val="18"/>
          <w:color w:val="auto"/>
        </w:rPr>
        <w:t xml:space="preserve"> for the three and nine months ended September 27, 2020 is $0.1 million and $1.1 million of transaction expenses, respectively, related to the acquisition of ASC Signal. Included in </w:t>
      </w:r>
      <w:r>
        <w:rPr>
          <w:rFonts w:ascii="Times New Roman" w:cs="Times New Roman" w:eastAsia="Times New Roman" w:hAnsi="Times New Roman"/>
          <w:sz w:val="18"/>
          <w:szCs w:val="18"/>
          <w:i w:val="1"/>
          <w:iCs w:val="1"/>
          <w:color w:val="auto"/>
        </w:rPr>
        <w:t>Corporate activities</w:t>
      </w:r>
      <w:r>
        <w:rPr>
          <w:rFonts w:ascii="Times New Roman" w:cs="Times New Roman" w:eastAsia="Times New Roman" w:hAnsi="Times New Roman"/>
          <w:sz w:val="18"/>
          <w:szCs w:val="18"/>
          <w:color w:val="auto"/>
        </w:rPr>
        <w:t xml:space="preserve"> for the three and nine months ended September 29, 2019 is $0.0 million and $1.3 million of transaction expenses, respectively, related to the acquisition of FTT.</w:t>
      </w:r>
    </w:p>
    <w:p>
      <w:pPr>
        <w:spacing w:after="0" w:line="19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Redeemable Noncontrolling Interest</w:t>
      </w:r>
    </w:p>
    <w:p>
      <w:pPr>
        <w:spacing w:after="0" w:line="256"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As discussed in “Acquisition” in Note 2, in connection with the Company’s acquisition of FTT, (i) beginning in January 2024, the Holders will have an annual Put Right to sell all of the Minority Interests to the Company at a purchase price based on a specified multiple of the trailing 12 months EBITDA of the Acquired Companies, subject to adjustment as set forth in the Exchange Agreement (provided, however, that following certain events, including a change of control, the Put Right will be accelerated and the Minority Interest Purchase Price will be a specified increased multiple of the trailing 12 months EBITDA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of the Acquired Companies as set forth in the Exchange Agreement); and (ii) beginning in January 2025, the Company will have an annual right to purchase all of the Minority Interests from the Holders at the Minority Interest Purchase Price.</w:t>
      </w:r>
    </w:p>
    <w:p>
      <w:pPr>
        <w:spacing w:after="0" w:line="189" w:lineRule="exact"/>
        <w:rPr>
          <w:sz w:val="20"/>
          <w:szCs w:val="20"/>
          <w:color w:val="auto"/>
        </w:rPr>
      </w:pPr>
    </w:p>
    <w:p>
      <w:pPr>
        <w:ind w:right="500" w:firstLine="648"/>
        <w:spacing w:after="0" w:line="258" w:lineRule="auto"/>
        <w:rPr>
          <w:sz w:val="20"/>
          <w:szCs w:val="20"/>
          <w:color w:val="auto"/>
        </w:rPr>
      </w:pPr>
      <w:r>
        <w:rPr>
          <w:rFonts w:ascii="Times New Roman" w:cs="Times New Roman" w:eastAsia="Times New Roman" w:hAnsi="Times New Roman"/>
          <w:sz w:val="18"/>
          <w:szCs w:val="18"/>
          <w:color w:val="auto"/>
        </w:rPr>
        <w:t>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will have a corresponding effect on net income per share attributable to Kratos shareholders. As of September 27, 2020, no adjustment of the carrying value of the redeemable noncontrolling interest was required.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Stockholders’ Equity – Common Stock</w:t>
      </w:r>
    </w:p>
    <w:p>
      <w:pPr>
        <w:spacing w:after="0" w:line="229" w:lineRule="exact"/>
        <w:rPr>
          <w:sz w:val="20"/>
          <w:szCs w:val="20"/>
          <w:color w:val="auto"/>
        </w:rPr>
      </w:pPr>
    </w:p>
    <w:p>
      <w:pPr>
        <w:ind w:right="400" w:firstLine="648"/>
        <w:spacing w:after="0" w:line="314" w:lineRule="auto"/>
        <w:rPr>
          <w:sz w:val="20"/>
          <w:szCs w:val="20"/>
          <w:color w:val="auto"/>
        </w:rPr>
      </w:pPr>
      <w:r>
        <w:rPr>
          <w:rFonts w:ascii="Times New Roman" w:cs="Times New Roman" w:eastAsia="Times New Roman" w:hAnsi="Times New Roman"/>
          <w:sz w:val="17"/>
          <w:szCs w:val="17"/>
          <w:color w:val="auto"/>
        </w:rPr>
        <w:t>On June 23, 2020, the Company sold 15,525,000 shares of its common stock at a public offering price of $16.25 per share in an underwritten offering. The Company received gross proceeds of approximately $252.3 million. After deducting underwriting fees and other offering expenses, the</w:t>
      </w:r>
    </w:p>
    <w:p>
      <w:pPr>
        <w:spacing w:after="0" w:line="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Company received approximately $240.4 million in net proceeds. The Company expects to use the net proceeds for general corporate purposes, including for potential strategic “tuck-in” acquisitions, to further position the Company for projected growth from new and anticipated increased production and to facilitate its long-term strategy.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Significant Customers</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$145.3 million and $126.2 million, or 72% and 69% of total Kratos revenue, for the three months ended September 27, 2020 and September 29, 2019, respectively, and $398.8 million and $377.0 million, or 74% and 71% of total Kratos revenue for the nine months ended September 27, 2020 and September 29, 2019,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spacing w:after="0" w:line="2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Legal and Regulatory Matters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 Government Cost Claims</w:t>
      </w:r>
    </w:p>
    <w:p>
      <w:pPr>
        <w:spacing w:after="0" w:line="254"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questioning certain of the established and disclosed practices that it had previously audited and accepted. The Company’s personnel regularly scrutinizes costs incurred and allocated to contracts with the U.S. Government for compliance with regulatory standards.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Litigation Matters</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which could cause delays, cancellations or reductions of key government contracts; bid protests; changes in the scope or timing of our projects; the timing, rescheduling or cancellation of significant customer contracts and agreements; failure by our subcontractors or suppliers to perform their contractual obligations; our failure to meet performance obligations; if the unmanned systems markets do not experience significant growth, if we cannot expand our customer base or if our products do not achieve broad acceptance which could impact our ability to achieve our anticipated level of growth; consolidation by or the loss of key customers; risks of adverse regulatory action or litigation; risks associated with debt leverage; failure to successfully achieve our integration, cost reduction or divestiture strategies; risks related to security breaches, cybersecurity attacks or other significant disruptions of our information systems; risks associated with pandemics, epidemics or other public health emergencies, such as the recent outbreak of COVID-19;risks related to unknown defects or errors in our products; and competition in the marketplace, which could reduce revenues and profit margins, as well as the additional risks and uncertainties described in this Quarterly Report, in “Item 1A-Risk Factors” of our Annual Report on Form 10-K for the fiscal year ended December 29, 2019 filed with the U.S. Securities and Exchange Commission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on February 24, 2020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214"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to “us,” “we,” “our,” the “Company” and “Kratos” refer to Kratos Defense &amp; Security Solutions, Inc., a Delaware corporation,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80" w:firstLine="648"/>
        <w:spacing w:after="0" w:line="242" w:lineRule="auto"/>
        <w:rPr>
          <w:sz w:val="20"/>
          <w:szCs w:val="20"/>
          <w:color w:val="auto"/>
        </w:rPr>
      </w:pPr>
      <w:r>
        <w:rPr>
          <w:rFonts w:ascii="Times New Roman" w:cs="Times New Roman" w:eastAsia="Times New Roman" w:hAnsi="Times New Roman"/>
          <w:sz w:val="18"/>
          <w:szCs w:val="18"/>
          <w:color w:val="auto"/>
        </w:rPr>
        <w:t>Kratos is a government contractor at the forefront of the DoD’s recapitalization of strategic weapon systems to address peer and near peer threats and the DoD’s related Rapid Innovation Initiatives. Kratos is a leading technology, intellectual property, proprietary product and system company focused on the U.S. and its allies’ national security. Kratos is a recognized industry leader in the rapid development, demonstration and fielding of high technology systems and products at an affordable cost. At Kratos, affordability is a technology. Kratos’ primary focus areas are unmanned systems, space and satellite communications, microwave electronics, cybersecurity/warfare, rocket, hypersonic and missile defense systems, turbine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technologies, and Command, Control, Communication, Computing, Combat, Intelligence Surveillance and Reconnaissance (C5ISR) Systems.</w:t>
      </w:r>
    </w:p>
    <w:p>
      <w:pPr>
        <w:spacing w:after="0" w:line="239"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We believe that our technology, intellectual property, proprietary products and designed-in positions on our customers’ programs, platforms and systems, and our ability to rapidly develop, demonstrate and field affordable leading technology systems gives us a competitive advantage. We believe that our extensive past performance qualifications and demonstrated ability to meet or exceed our customers’ demanding requirements creates a high barrier to entry into our markets. Our workforce is primarily engineering and technically oriented with a significant number of Kratos employees holding national security clearances. Much of our work is performed at customer locations, or in a secure manufacturing facility. Our primary end customers are national security related agencies or entities. Our entire organization is focused on executing our strategy of becoming the leading technology and intellectual property based product and system company in our industry.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Update</w:t>
      </w:r>
    </w:p>
    <w:p>
      <w:pPr>
        <w:spacing w:after="0" w:line="22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On December 18, 2019, President Trump signed 2020 spending bills totaling $1.4 trillion. The bills allocate $738 billion to National Defense and $632 billion to non-defense agencies for fiscal 2020, representing increases over fiscal 2019 of $22 billion and $27 billion, respectively. The National Defense Authorization Act grants a base budget of approximately $666.5 billion (including the establishment of a new, sixth armed service for space) and an additional $71.5 billion for overseas contingency operations funding, a.k.a. the war budget. The federal budget and debt ceiling are expected to continue to be the subject of considerable debate, which could have a significant impact on defense spending broadly and the Company’s programs in particular. The spending Bill signed by the President also authorized approximately $741 billion for fiscal 2021 DoD, National Security and related spending. The U.S. Government’s fiscal year ends September 30.</w:t>
      </w:r>
    </w:p>
    <w:p>
      <w:pPr>
        <w:spacing w:after="0" w:line="212"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The overall Federal Government budget environment, including budget caps mandated by the Budget Control Act of 2011 (“BCA”) for fiscal years 2020 and 2021, and uncertainty surrounding the debt ceiling and the appropriations process, remain significant risks. Considerable uncertainty exists regarding how future federal budget and program decisions will unfold, including the defense spending priorities of the current Trump or other potential future Administration(s) and Congress and what challenges budget reductions (required by the BCA or otherwise) could present for the defense industry. On October 1, 2020, the Federal Government began to operate under a Continuing Resolution Authorization (“CRA”) related to the fiscal year 2021</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Federal budget. A CRA restricts new contract and program starts and restricts planned increases on existing production and other contracts, presenting resource allocation challenges for the Government customer and placing limitations on future planned program budgets. Additionally, if an annual appropriations bill for fiscal 2021 is not timely enacted, we may face another federal government shutdown of unknown duration. If a prolonged CRA and/or government shutdown of the DoD were to occur, either could result in program delays, cancellations, disruptions and/or stop work orders and could limit the U.S. Government’s ability to effectively execute programs and to make timely payments, and could also impact our ability to perform on our U.S. Government contracts and successfully compete for new work.</w:t>
      </w:r>
    </w:p>
    <w:p>
      <w:pPr>
        <w:spacing w:after="0" w:line="203" w:lineRule="exact"/>
        <w:rPr>
          <w:sz w:val="20"/>
          <w:szCs w:val="20"/>
          <w:color w:val="auto"/>
        </w:rPr>
      </w:pPr>
    </w:p>
    <w:p>
      <w:pPr>
        <w:ind w:right="240" w:firstLine="648"/>
        <w:spacing w:after="0" w:line="245" w:lineRule="auto"/>
        <w:rPr>
          <w:sz w:val="20"/>
          <w:szCs w:val="20"/>
          <w:color w:val="auto"/>
        </w:rPr>
      </w:pPr>
      <w:r>
        <w:rPr>
          <w:rFonts w:ascii="Times New Roman" w:cs="Times New Roman" w:eastAsia="Times New Roman" w:hAnsi="Times New Roman"/>
          <w:sz w:val="18"/>
          <w:szCs w:val="18"/>
          <w:color w:val="auto"/>
        </w:rPr>
        <w:t>We believe continued budget pressures, CRAs or Federal Government shutdowns would have serious negative consequences for the security of our country, the defense industrial base, including the Company and the customers, employees, suppliers, investors, and communities that rely on companies in the defense industrial base. It is likely budget and program decisions made in such an uncertain environment would have long-term implications for our Company and the entire defense industry.</w:t>
      </w:r>
    </w:p>
    <w:p>
      <w:pPr>
        <w:spacing w:after="0" w:line="208" w:lineRule="exact"/>
        <w:rPr>
          <w:sz w:val="20"/>
          <w:szCs w:val="20"/>
          <w:color w:val="auto"/>
        </w:rPr>
      </w:pPr>
    </w:p>
    <w:p>
      <w:pPr>
        <w:ind w:right="220" w:firstLine="648"/>
        <w:spacing w:after="0"/>
        <w:rPr>
          <w:sz w:val="20"/>
          <w:szCs w:val="20"/>
          <w:color w:val="auto"/>
        </w:rPr>
      </w:pPr>
      <w:r>
        <w:rPr>
          <w:rFonts w:ascii="Times New Roman" w:cs="Times New Roman" w:eastAsia="Times New Roman" w:hAnsi="Times New Roman"/>
          <w:sz w:val="18"/>
          <w:szCs w:val="18"/>
          <w:color w:val="auto"/>
        </w:rPr>
        <w:t>Additionally, funding for certain programs in which we currently participate may be reduced, delayed or cancelled, and budget uncertainty or funding cuts globally could adversely affect the viability of our partners, teammates, subcontractors and suppliers, and our employee base. While we believe that our business is well-positioned in areas that the DoD and other customers indicate are priorities for future defense spending, including in the 2018 and 2020 National Defense Strategy documents, the short and long-term impact of federal budgetary uncertainty, CRAs, the BCA, other defense spending cuts, challenges in the appropriations process, the debt ceiling and the ongoing fiscal debates remain uncertain. Such a challenging federal and DoD budgetary environment may negatively impact our business and programs and could have a material adverse effect on our forecasts, estimates, financial position, results of operations and/or cash flows.</w:t>
      </w:r>
    </w:p>
    <w:p>
      <w:pPr>
        <w:spacing w:after="0" w:line="212"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auto"/>
        </w:rPr>
        <w:t>The nature of our operations expose us to risks associated with pandemics, epidemics or other public health emergencies, such as the outbreak of COVID-19 which has spread from China to many other countries across the globe, including the United States. In March 2020, the World Health Organization categorized COVID-19 as a pandemic, and the President of the United States declared the COVID-19 outbreak a national emergency. The outbreak has resulted in governments around the world, including the U.S. Government and as related to the DoD, implementing increasingly stringent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We are a company operating in a “critical infrastructure industry”, as defined by the U.S. Department of Homeland Security. Consistent with federal guidelines and with state and local orders to date, we currently continue to operate, including our international operations. Notwithstanding our continued operations, COVID-19 has had negative impacts on certain of our operations, supply chain, vendors, transportation networks and customers, which have reduced certain of our sales and our margins, including as a result of preventative and precautionary measures that we, our suppliers, other businesses and governments are taking. The COVID-19 outbreak is a widespread public health crisis that is adversely affecting the economies and financial markets globally. Any resulting economic downturn could adversely affect demand for our products. The progression of this matter could also negatively impact our business or results of operations through the temporary closure of our operating locations or those of our customers or suppliers.</w:t>
      </w:r>
    </w:p>
    <w:p>
      <w:pPr>
        <w:spacing w:after="0" w:line="212" w:lineRule="exact"/>
        <w:rPr>
          <w:sz w:val="20"/>
          <w:szCs w:val="20"/>
          <w:color w:val="auto"/>
        </w:rPr>
      </w:pPr>
    </w:p>
    <w:p>
      <w:pPr>
        <w:ind w:right="240" w:firstLine="648"/>
        <w:spacing w:after="0" w:line="245" w:lineRule="auto"/>
        <w:rPr>
          <w:sz w:val="20"/>
          <w:szCs w:val="20"/>
          <w:color w:val="auto"/>
        </w:rPr>
      </w:pPr>
      <w:r>
        <w:rPr>
          <w:rFonts w:ascii="Times New Roman" w:cs="Times New Roman" w:eastAsia="Times New Roman" w:hAnsi="Times New Roman"/>
          <w:sz w:val="18"/>
          <w:szCs w:val="18"/>
          <w:color w:val="auto"/>
        </w:rPr>
        <w:t>The ability of our employees, our suppliers’ and our customers’ employees to work may be significantly impacted by individuals contracting or being exposed to COVID-19, or as a result of the control measures noted above, which may significantly hamper our production, operations, including throughout the supply chain. On March 27, 2020, the President of the United States signed and enacted into law the CARES Act, a $2 trillion economic relief bill. We are continuing to evaluate the impact of the CARES Act including related stimulus and economic relief actions on our business.</w:t>
      </w:r>
    </w:p>
    <w:p>
      <w:pPr>
        <w:spacing w:after="0" w:line="20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Since the end of our first quarter, COVID-19 has continued to impact our customers, markets and operations, including supply chain disruptions, delays of certain supplier deliveries, difficulties gaining access to certain locations, difficulties gaining access to customers, including instances related to previously scheduled drone and rocket system flights, demonstrations and exercises, and decreased demand requirements of certain of our commercial aero, power and satcom customers. Importantly, COVID-19 customer and contractor-related travel and social distancing restrictions have delayed a number of</w:t>
      </w:r>
    </w:p>
    <w:p>
      <w:pPr>
        <w:ind w:right="20"/>
        <w:spacing w:after="0"/>
        <w:rPr>
          <w:sz w:val="20"/>
          <w:szCs w:val="20"/>
          <w:color w:val="auto"/>
        </w:rPr>
      </w:pPr>
      <w:r>
        <w:rPr>
          <w:rFonts w:ascii="Times New Roman" w:cs="Times New Roman" w:eastAsia="Times New Roman" w:hAnsi="Times New Roman"/>
          <w:sz w:val="18"/>
          <w:szCs w:val="18"/>
          <w:color w:val="auto"/>
        </w:rPr>
        <w:t>our target drone, tactical drone and rocket system programs, missions and exercises. The extent to which COVID-19 may further impact our business depends on future developments, which are highly uncertain and unpredictable, including new information concerning the severity of the outbreak and the effectiveness of actions globally to contain or mitigate its effects. While we currently do not expect this matter to have a material impact on our results of operations, cash flows and financial position, the current level of uncertainty over the economic, business and operational impacts of COVID-19 means the related financial impact cannot be reasonably estimated at this time. Our consolidated financial statements and discussion and analysis of financial condition and results of operations reflect estimates and assumptions made by management as of September 27, 2020. Events and changes in circumstances arising after September 27, 2020, including those resulting from the continuing impacts of COVID-19, will be reflected in management’s estimates for future periods.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operates in two reportable segments. The Kratos Government Solutions (“KGS”) reportable segment is comprised of an aggregation of KGS operating segments, including our microwave electronic products, space, training, and cybersecurity, modular systems, rocket systems and missile defense, and turbine technologies operating segments. The Unmanned Systems (“US”) reportable segment consists of our unmanned aerial system and unmanned ground and seaborne system businesses.</w:t>
      </w:r>
    </w:p>
    <w:p>
      <w:pPr>
        <w:spacing w:after="0" w:line="20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11 of the accompanying Condensed Consolidated Financial Statements. From a customer and solutions perspective, we view our business as an integrated whole, leveraging skills and assets wherever possible.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Three Months Ended September 27, 2020 to the Three Months Ended September 29, 2019</w:t>
      </w:r>
    </w:p>
    <w:p>
      <w:pPr>
        <w:spacing w:after="0" w:line="227"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by operating segment for the three months ended September 27, 2020 and September 29, 2019 are as follows (dollars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260" w:type="dxa"/>
            <w:vAlign w:val="bottom"/>
          </w:tcPr>
          <w:p>
            <w:pPr>
              <w:spacing w:after="0"/>
              <w:rPr>
                <w:sz w:val="16"/>
                <w:szCs w:val="16"/>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5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Unmanned Systems product sales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23"/>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224"/>
        </w:trPr>
        <w:tc>
          <w:tcPr>
            <w:tcW w:w="5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service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sales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r>
      <w:tr>
        <w:trPr>
          <w:trHeight w:val="223"/>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79"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Revenues increased $17.9 million to $202.0 million for the three months ended September 27, 2020 from $184.1 million for the three months ended September 29, 2019. Revenues in our KGS segment increased $10.1 million due to the contribution from the recent acquisition of CPI ASC Signal Division, Inc. (“ASC Signal”) which contributed approximately $10.2 million and due to organic revenue growth in our defense and rocket support, microwave products and C5ISR businesses which generated aggregate increased revenues of $10.6 million, offset by aggregate revenue reductions of approximately $10.7 million, comprised primarily of reductions of $6.3 million in our training solutions business primarily as a result of the completion of a large foreign military sales contract, reduced revenues in our satellite communications business of approximately $1.6 million primarily as a result of the completion of large foreign satellite infrastructure deployments as well as impacts resulting from COVID-19, and reduced demand of $2.8 million from commercial aero turbine customers which have been impacted by COVID-19. Revenues in our US segment increased $7.8 million to $53.5 million for the three months ended September 27, 2020 due primarily to production progress on our SSAT 177 target drone program and certain confidential programs.</w:t>
      </w:r>
    </w:p>
    <w:p>
      <w:pPr>
        <w:spacing w:after="0" w:line="218"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Product sales increased $21.1 million to $134.4 million for the three months ended September 27, 2020 from $113.3 million for the three months ended September 29, 2019 primarily due to increased production from our KGS segment due to the contribution from the ASC Signal acquisition and the organic revenue growth in our defense and rocket support, microwave products and C5ISR businesses as well as increased revenues from our US business due primarily to the production progress on our SSAT 177 target drone program and certain confidential programs as detailed above. As a percentage of total revenue, product sales were 66.5% for the three months ended September 27, 2020 as compared to 61.5% for the three months ended September 29, 2019. Service revenues decreased by $3.2 million to $67.6 million for the three months ended September 27, 2020 from $70.8 million for the three months ended September 29, 2019. The decrease was primarily related to reductions in certain of the Company’s training solutions international contracts.</w:t>
      </w:r>
    </w:p>
    <w:p>
      <w:pPr>
        <w:spacing w:after="0" w:line="210"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increased $9.4 million to $144.9 million for the three months ended September 27, 2020 from $135.5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September 29, 2019. The increase in cost of revenues was primarily a result of the increase in revenues discussed above.</w:t>
      </w:r>
    </w:p>
    <w:p>
      <w:pPr>
        <w:spacing w:after="0" w:line="18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Gross margin increased to 28.3% for the three months ended September 27, 2020 from 26.4% for the three months ended September 29, 2019. Margins on services decreased to 25.3% for the three months ended September 27, 2020 from 29.1% for the three months ended September 29, 2019, due primarily to a less favorable mix of revenues, primarily in our Space, Training &amp; Cyber business and our recently acquired FTT (as defined below) business. Margins on products increased to 29.8% for the three months ended September 27, 2020 from 24.7% for the three months ended September 29, 2019, primarily due to a more favorable mix of certain programs and products in more mature program lifecycles for the three months ended September 27, 2020. Margins in the KGS segment increased to 30.7% for the three months ended September 27, 2020 from 28.0% for the three months ended September 29, 2019, primarily due to a more favorable mix of products including products in more mature production lifecycles. Margins in the US segment decreased to 21.5% for the three months ended September 27, 2020 from 21.7% for the three months ended September 29, 2019, primarily due to a less favorable mix of products being produced.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Selling, General and Administrative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Expenses. </w:t>
      </w:r>
      <w:r>
        <w:rPr>
          <w:rFonts w:ascii="Times New Roman" w:cs="Times New Roman" w:eastAsia="Times New Roman" w:hAnsi="Times New Roman"/>
          <w:sz w:val="18"/>
          <w:szCs w:val="18"/>
          <w:color w:val="auto"/>
        </w:rPr>
        <w:t>SG&amp;A expense was $36.3 million for the three months ended September 27, 2020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$32.5 million for the three months ended September 29, 2019. As a percentage of revenues, SG&amp;A increased to 18.0% at September 27, 2020 from 17.7% at September 29, 2019, due primarily to an increase in stock compensation expense of $2.2 million from $2.8 million in the three months ended September 29, 2019 to $5.0 million in the three months ended September 27, 2020.</w:t>
      </w:r>
    </w:p>
    <w:p>
      <w:pPr>
        <w:spacing w:after="0" w:line="191"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7"/>
          <w:szCs w:val="17"/>
          <w:i w:val="1"/>
          <w:iCs w:val="1"/>
          <w:color w:val="auto"/>
        </w:rPr>
        <w:t>Research and Development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R&amp;D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Expenses. </w:t>
      </w:r>
      <w:r>
        <w:rPr>
          <w:rFonts w:ascii="Times New Roman" w:cs="Times New Roman" w:eastAsia="Times New Roman" w:hAnsi="Times New Roman"/>
          <w:sz w:val="17"/>
          <w:szCs w:val="17"/>
          <w:color w:val="auto"/>
        </w:rPr>
        <w:t>R&amp;D expenses increased $3.1 million to $7.7 million for the three months ended September 27,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2020 from $4.6 million for the three months ended September 29, 2019, with the primary increases in our space and satellite communications business. As a percentage of revenues, R&amp;D increased to 3.8% for the three months ended September 27, 2020 from 2.5% for the three months ended September 29, 2019.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209"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Expenses and Other. </w:t>
      </w:r>
      <w:r>
        <w:rPr>
          <w:rFonts w:ascii="Times New Roman" w:cs="Times New Roman" w:eastAsia="Times New Roman" w:hAnsi="Times New Roman"/>
          <w:sz w:val="18"/>
          <w:szCs w:val="18"/>
          <w:color w:val="auto"/>
        </w:rPr>
        <w:t>Restructuring expenses and other increased to $0.3 million for the three months ended September 27,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$0.1 million of income for the three months ended September 29, 2019. The expenses for the three months ended September 27, 2020 are primarily employee termination costs related to personnel reduction actions taken in the period.</w:t>
      </w:r>
    </w:p>
    <w:p>
      <w:pPr>
        <w:spacing w:after="0" w:line="200"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Other Expense, Net. </w:t>
      </w:r>
      <w:r>
        <w:rPr>
          <w:rFonts w:ascii="Times New Roman" w:cs="Times New Roman" w:eastAsia="Times New Roman" w:hAnsi="Times New Roman"/>
          <w:sz w:val="18"/>
          <w:szCs w:val="18"/>
          <w:color w:val="auto"/>
        </w:rPr>
        <w:t>Total other expense, net decreased to $5.1 million from $6.1 million for the three months ended September 27,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September 29, 2019, respectively.</w:t>
      </w:r>
    </w:p>
    <w:p>
      <w:pPr>
        <w:spacing w:after="0" w:line="18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from Continuing Operations. </w:t>
      </w:r>
      <w:r>
        <w:rPr>
          <w:rFonts w:ascii="Times New Roman" w:cs="Times New Roman" w:eastAsia="Times New Roman" w:hAnsi="Times New Roman"/>
          <w:sz w:val="18"/>
          <w:szCs w:val="18"/>
          <w:color w:val="auto"/>
        </w:rPr>
        <w:t>The income tax expense from continuing operations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27, 2020 and September 29, 2019 was $5.0 million and $2.8 million, respectively. For the three months ended September 27, 2020, the expense included current foreign, federal and state taxes of $1.9 million and uncertain tax positions of $2.3 million. The expense for the three months ended September 29, 2019 included a $1.3 million benefit recorded in the third quarter of 2019 for the acquisition of 80.1% of the issued and outstanding shares of capital stock of Florida Turbine Technologies Inc., a Florida corporation (“FTT Inc.”), and 80.1% the membership interest in FTT CORE, LLC, a Delaware limited liability company (“FTT Core” and, together with FTT, Inc., and their respective subsidiaries, “FTT”). In accordance with ASC Topic 805, we established deferred tax liabilities of approximately $1.3 million for the increase in the financial statement basis of the acquired assets of FTT. As a result of our ability to recognize deferred tax assets for these deferred tax liabilities, we released the valuation allowance against our deferred tax assets and recognized an income tax benefit of $1.3 million. This benefit was partially offset by current foreign, federal and state taxes of $1.3 million and uncertain tax position liabilities of $2.5 million.</w:t>
      </w:r>
    </w:p>
    <w:p>
      <w:pPr>
        <w:spacing w:after="0" w:line="215" w:lineRule="exact"/>
        <w:rPr>
          <w:sz w:val="20"/>
          <w:szCs w:val="20"/>
          <w:color w:val="auto"/>
        </w:rPr>
      </w:pPr>
    </w:p>
    <w:p>
      <w:pPr>
        <w:ind w:right="140"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Income (Loss) from Discontinued Operations. </w:t>
      </w:r>
      <w:r>
        <w:rPr>
          <w:rFonts w:ascii="Times New Roman" w:cs="Times New Roman" w:eastAsia="Times New Roman" w:hAnsi="Times New Roman"/>
          <w:sz w:val="18"/>
          <w:szCs w:val="18"/>
          <w:color w:val="auto"/>
        </w:rPr>
        <w:t>The loss from discontinued operations was $0.2 million for the three months ended September 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primarily reflecting the work performed in relation to outstanding tasks on legacy projects retained by us following the sale of Kratos Public Safety</w:t>
      </w:r>
    </w:p>
    <w:p>
      <w:pPr>
        <w:spacing w:after="0" w:line="1" w:lineRule="exact"/>
        <w:rPr>
          <w:sz w:val="20"/>
          <w:szCs w:val="20"/>
          <w:color w:val="auto"/>
        </w:rPr>
      </w:pPr>
    </w:p>
    <w:p>
      <w:pPr>
        <w:ind w:right="280" w:firstLine="8"/>
        <w:spacing w:after="0" w:line="243" w:lineRule="auto"/>
        <w:tabs>
          <w:tab w:leader="none" w:pos="1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Solutions, Inc. (“PSS”), as well as legal expenses related to the ongoing closing net working capital adjustment dispute with the buyer of the PSS business. The income from discontinued operations was $0.0 million for the three months ended September 29,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Nine Months Ended September 27, 2020 to the Nine Months Ended September 29, 2019</w:t>
      </w:r>
    </w:p>
    <w:p>
      <w:pPr>
        <w:spacing w:after="0" w:line="254"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by operating segment for the nine months ended September 27, 2020 and September 29, 2019 are as follows (dollars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260" w:type="dxa"/>
            <w:vAlign w:val="bottom"/>
          </w:tcPr>
          <w:p>
            <w:pPr>
              <w:spacing w:after="0"/>
              <w:rPr>
                <w:sz w:val="16"/>
                <w:szCs w:val="16"/>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5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229"/>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5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Unmanned Systems product sales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48"/>
        </w:trPr>
        <w:tc>
          <w:tcPr>
            <w:tcW w:w="5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17"/>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service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product sales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48"/>
        </w:trPr>
        <w:tc>
          <w:tcPr>
            <w:tcW w:w="5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Revenues increased $8.9 million to $541.3 million for the nine months ended September 27, 2020 from $532.4 million for the nine months ended September 29, 2019. Revenues in our KGS segment decreased $5.5 million due to reduced revenues in our training solutions business of $25.2 million primarily reflecting the completion and rescoping of certain international and foreign military sales contracts and reductions in our commercial satellite business as a result of the completion of large foreign satellite infrastructure deployments and from impacts resulting from COVID-19. These reductions were partially offset by revenues from the recent FTT and ASC Signal acquisitions, which contributed an aggregate of approximately $14.0 million, and increases in our microwave products, defense and rocket support and C5ISR businesses. Revenues in our US segment increased $14.4 million to $137.5 million for the nine months ended September 27, 2020 primarily due to work performed on certain confidential drone programs.</w:t>
      </w:r>
    </w:p>
    <w:p>
      <w:pPr>
        <w:spacing w:after="0" w:line="212"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Product sales increased $21.9 million to $347.2 million for the nine months ended September 27, 2020 from $325.3 million for the nine months ended September 29, 2019, primarily as a result of increased production activity in our US segment, and increased production in our microwave products, modular systems and rocket support businesses offset partially by reductions in our space and satellite business. As a percentage of total revenue, product sales were 64.1% for the nine months ended September 27, 2020 as compared to 61.1% for the nine months ended September 29, 2019. Service revenues decreased by $13.0 million to $194.1 million for the nine months ended September 27, 2020 from $207.1 million for the nine months ended September 29, 2019. The decrease was primarily related to the completion or rescoping of certain international contracts in our training solutions business, reductions in our space and satellite communications business primarily resulting from the completion of large international satellite infrastructure deployments as well as impacts resulting from COVID-19, and reduced demand in our commercial turbine business as a result of COVID-19.</w:t>
      </w:r>
    </w:p>
    <w:p>
      <w:pPr>
        <w:spacing w:after="0" w:line="212"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Cost of revenues increased $1.6 million to $392.4 million for the nine months ended September 27, 2020 from $390.8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29, 2019. The increase in cost of revenues was primarily a result of the revenue changes discussed above.</w:t>
      </w:r>
    </w:p>
    <w:p>
      <w:pPr>
        <w:spacing w:after="0" w:line="187"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Gross margin increased to 27.5% for the nine months ended September 27, 2020 from 26.6% for the nine months ended September 29, 2019. Margins on services decreased to 26.9% for the nine months ended September 27, 2020 from 31.0% for the nine months ended September 29, 2019. Margins on product sales increased to 27.9% for the nine months ended September 27, 2020 from 23.8% for the nine months ended September 29, 2019, primarily due to a favorable mix of certain programs and products in more mature lifecycles. Margins in the KGS segment increased to 29.9% for the nine months ended September 27, 2020 from 28.5% for the nine months ended September 29, 2019, primarily due to a more favorable mix of products including products in more mature production lifecycles during the nine months ended September 27, 2020. Margins in the US segment increased to 20.6% for the nine months ended September 27, 2020 from 20.4% for the nine months ended September 29, 2019, primarily due to a more favorable mix of products produced and shipped during the nine months ended September 27, 2020.</w:t>
      </w:r>
    </w:p>
    <w:p>
      <w:pPr>
        <w:spacing w:after="0" w:line="212"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SG&amp;A Expenses</w:t>
      </w:r>
      <w:r>
        <w:rPr>
          <w:rFonts w:ascii="Times New Roman" w:cs="Times New Roman" w:eastAsia="Times New Roman" w:hAnsi="Times New Roman"/>
          <w:sz w:val="18"/>
          <w:szCs w:val="18"/>
          <w:color w:val="auto"/>
        </w:rPr>
        <w:t>. SG&amp;A expense was $107.2 million for the nine months ended September 27, 2020 and $97.7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29, 2019. As a percentage of revenues, SG&amp;A increased to 19.8% at</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September 27, 2020 from 18.4% at September 29, 2019, due primarily to an increase in stock compensation expense of $6.3 million from $8.2 million in the nine months ended September 29, 2019 to $14.5 million in the nine months ended September 27, 2020.</w:t>
      </w:r>
    </w:p>
    <w:p>
      <w:pPr>
        <w:spacing w:after="0" w:line="174" w:lineRule="exact"/>
        <w:rPr>
          <w:sz w:val="20"/>
          <w:szCs w:val="20"/>
          <w:color w:val="auto"/>
        </w:rPr>
      </w:pPr>
    </w:p>
    <w:p>
      <w:pPr>
        <w:jc w:val="both"/>
        <w:ind w:right="120" w:firstLine="648"/>
        <w:spacing w:after="0" w:line="223" w:lineRule="auto"/>
        <w:rPr>
          <w:sz w:val="20"/>
          <w:szCs w:val="20"/>
          <w:color w:val="auto"/>
        </w:rPr>
      </w:pPr>
      <w:r>
        <w:rPr>
          <w:rFonts w:ascii="Times New Roman" w:cs="Times New Roman" w:eastAsia="Times New Roman" w:hAnsi="Times New Roman"/>
          <w:sz w:val="18"/>
          <w:szCs w:val="18"/>
          <w:i w:val="1"/>
          <w:iCs w:val="1"/>
          <w:color w:val="auto"/>
        </w:rPr>
        <w:t>R&amp;D Expenses</w:t>
      </w:r>
      <w:r>
        <w:rPr>
          <w:rFonts w:ascii="Times New Roman" w:cs="Times New Roman" w:eastAsia="Times New Roman" w:hAnsi="Times New Roman"/>
          <w:sz w:val="18"/>
          <w:szCs w:val="18"/>
          <w:color w:val="auto"/>
        </w:rPr>
        <w:t>. R&amp;D expenses were $19.4 million for the nine months ended September 27, 2020 and $13.0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29, 2019. As a percentage of revenues, R&amp;D increased to 3.6% for the nine months ended September 27, 2020 from 2.4% for the nine months ended September 29, 2019.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199"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Restructuring Expenses and Other</w:t>
      </w:r>
      <w:r>
        <w:rPr>
          <w:rFonts w:ascii="Times New Roman" w:cs="Times New Roman" w:eastAsia="Times New Roman" w:hAnsi="Times New Roman"/>
          <w:sz w:val="18"/>
          <w:szCs w:val="18"/>
          <w:color w:val="auto"/>
        </w:rPr>
        <w:t>. Restructuring expenses and other increased to $0.5 million for the nine months ended September 27,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$0.3 million for the nine months ended September 29, 2019. These expenses are primarily employee termination costs related to personnel reduction actions taken in each period.</w:t>
      </w:r>
    </w:p>
    <w:p>
      <w:pPr>
        <w:spacing w:after="0" w:line="200"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Total Other Expense, Net</w:t>
      </w:r>
      <w:r>
        <w:rPr>
          <w:rFonts w:ascii="Times New Roman" w:cs="Times New Roman" w:eastAsia="Times New Roman" w:hAnsi="Times New Roman"/>
          <w:sz w:val="18"/>
          <w:szCs w:val="18"/>
          <w:color w:val="auto"/>
        </w:rPr>
        <w:t>. Total other expense, net, decreased to $16.3 million from $17.3 million for the nine months ended September 27,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September 29, 2019, respectively.</w:t>
      </w:r>
    </w:p>
    <w:p>
      <w:pPr>
        <w:spacing w:after="0" w:line="18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7"/>
          <w:szCs w:val="17"/>
          <w:i w:val="1"/>
          <w:iCs w:val="1"/>
          <w:color w:val="auto"/>
        </w:rPr>
        <w:t>Provision for Income Taxes from Continuing Operations</w:t>
      </w:r>
      <w:r>
        <w:rPr>
          <w:rFonts w:ascii="Times New Roman" w:cs="Times New Roman" w:eastAsia="Times New Roman" w:hAnsi="Times New Roman"/>
          <w:sz w:val="17"/>
          <w:szCs w:val="17"/>
          <w:color w:val="auto"/>
        </w:rPr>
        <w:t>. The income tax expense from continuing operations for the nine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27, 2020 and September 29, 2019 was $1.8 million and $3.8 million, respectively. For the nine months ended September 27, 2020, a benefit was recorded related to the acquisitions of ASC Signal and Technical Directions, Inc. (“TDI”). In accordance with ASC Topic 805, we established deferred tax liabilities of approximately $1.0 million for the increase in the financial statement basis of the acquired assets of ASC Signal and TDI. As a result of our ability to recognize deferred tax assets for these deferred tax liabilities, we released the valuation allowance against our deferred tax assets and recognized an income tax benefit of $1.0 million. This benefit was partially offset by current foreign, federal and state taxes of $1.2 million and uncertain tax position liabilities of $1.2 million. The expense for the nine months ended September 29, 2019 included a $4.7 million benefit recorded for the acquisition of 80.1% of the issued and outstanding shares of capital stock of FTT Inc., and 80.1% the membership interest in FTT Core. In accordance with ASC Topic 805, we established deferred tax liabilities of approximately $4.7 million for the increase in the financial statement basis of the acquired assets of FTT. As a result of our ability to recognize deferred tax assets for these deferred tax liabilities, we released the valuation allowance against our deferred tax assets and</w:t>
      </w:r>
    </w:p>
    <w:p>
      <w:pPr>
        <w:spacing w:after="0" w:line="6"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8"/>
          <w:szCs w:val="18"/>
          <w:color w:val="auto"/>
        </w:rPr>
        <w:t>recognized an income tax benefit of $4.7 million. This benefit was partially offset by current foreign, federal and state taxes of $2.5 million and uncertain tax position liabilities of $5.4 million.</w:t>
      </w:r>
    </w:p>
    <w:p>
      <w:pPr>
        <w:spacing w:after="0" w:line="179"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Income (Loss) from Discontinued Operations. </w:t>
      </w:r>
      <w:r>
        <w:rPr>
          <w:rFonts w:ascii="Times New Roman" w:cs="Times New Roman" w:eastAsia="Times New Roman" w:hAnsi="Times New Roman"/>
          <w:sz w:val="18"/>
          <w:szCs w:val="18"/>
          <w:color w:val="auto"/>
        </w:rPr>
        <w:t>The loss from discontinued operations was $0.8 million for the nine months ended September 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primarily reflecting the work performed in relation to outstanding tasks on legacy projects retained by us following the sale of the PSS business, as well as legal expenses related to the ongoing net closing working capital adjustment dispute with the buyer of the PSS business. The income from discontinued operations was $2.4 million for the nine months ended September 29, 2019, and includes a $3.6 million gain as a result of the release of an indemnification liability following the lapse of the statute of limitations associated with a potential tax liability that was recorded in 2015 as part of the sale of the our Electronics Products Division. This gain was offset by a loss of $1.2 million from operating activities primarily reflecting the work performed in relation to outstanding tasks on legacy projects retained by us following the sale of the PSS business and legal expenses related to the closing net working capital adjustment dispute with the buyer of the PSS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September 27, 2020, we had approximately $873.1 million of total backlog, of which $579.3 million was funded. We expect to recognize approximately 22% of the remaining total backlog as revenue in 2020, an additional 35% by 2021 and the balance thereafter. Our comparable total backlog balance as of September 29, 2019, was approximately $608.7 million of which $518.7 million was funded.</w:t>
      </w:r>
    </w:p>
    <w:p>
      <w:pPr>
        <w:spacing w:after="0" w:line="20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3"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its backlog until a related contract award is received.</w:t>
      </w:r>
    </w:p>
    <w:p>
      <w:pPr>
        <w:spacing w:after="0" w:line="20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As of September 27, 2020, we had cash and cash equivalents of $374.7 million compared with cash and cash equivalents of $172.6 million as of December 29, 2019, which includes $29.1 million and $24.6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U.S. they could be repatriated, and their repatriation into the U.S. may cause us to incur additional foreign withholding taxes. We do not currently intend to repatriate these earnings.</w:t>
      </w:r>
    </w:p>
    <w:p>
      <w:pPr>
        <w:spacing w:after="0" w:line="195"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total long-term debt, including principal due on our 6.5% Notes (as defined below), increased from $295.1 million at December 29, 2019 to $300.5 million at September 27, 2020, due to the amortization of debt issuance costs and approximately $4.8 million in new loans entered into with two banks in Israel during the three months ended September 27, 2020 (as fully described below).</w:t>
      </w:r>
    </w:p>
    <w:p>
      <w:pPr>
        <w:spacing w:after="0" w:line="20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We use our operating cash flow to finance trade accounts receivable, fund necessary increases in inventory, fund capital expenditures, our internal research and development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(“DSO”) have decreased from 134 days as of December 29, 2019 to 124 days at September 27, 2020, primarily reflecting the achievement of certain contractual billing milestones. Our DSOs are impacted by the achievement of contractual billing milestones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w:t>
      </w:r>
    </w:p>
    <w:p>
      <w:pPr>
        <w:spacing w:after="0" w:line="1"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In November 2019, a large training solutions program was terminated for convenience (“T for C”) by the customer. Under a T for C, a contractor is entitled to seek specified costs through a termination settlement process including (1) the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contract price for completed supplies and services accepted by the government but not previously paid for; (2) the cost incurred in the performance of work terminated plus a reasonable profit on those costs; and (3) and its costs incurred in settling with subcontractors and preparing and settling the termination proposal. However, we will not be able to collect the total withheld amounts until the settlement terms of the T for C have been negotiated and agreed to with the customer. At September 27, 2020, approximately $11.5 million in unbilled receivables remain outstanding on this project. In addition, we are currently in dispute with an international customer in our US segment over approximately $10.0 million in unbilled receivables outstanding as of September 27, 2020. The dispute concerns the completion of certain system requirements and contractual milestones. Although there could be a delay in billing and collecting amounts due to us under the aforementioned contracts, we have evaluated the present facts of the matters and performed a reassessment of the contractual amounts due and have determined that no adjustment to previously recognized revenue, or the corresponding unbilled receivables, is necessary at September 27, 2020.</w:t>
      </w:r>
    </w:p>
    <w:p>
      <w:pPr>
        <w:spacing w:after="0" w:line="21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 summary of our net cash provided by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Borders>
              <w:bottom w:val="single" w:sz="8" w:color="auto"/>
            </w:tcBorders>
          </w:tcPr>
          <w:p>
            <w:pPr>
              <w:spacing w:after="0"/>
              <w:rPr>
                <w:sz w:val="16"/>
                <w:szCs w:val="16"/>
                <w:color w:val="auto"/>
              </w:rPr>
            </w:pPr>
          </w:p>
        </w:tc>
      </w:tr>
      <w:tr>
        <w:trPr>
          <w:trHeight w:val="188"/>
        </w:trPr>
        <w:tc>
          <w:tcPr>
            <w:tcW w:w="844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2019</w:t>
            </w:r>
          </w:p>
        </w:tc>
      </w:tr>
      <w:tr>
        <w:trPr>
          <w:trHeight w:val="223"/>
        </w:trPr>
        <w:tc>
          <w:tcPr>
            <w:tcW w:w="84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9"/>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cash flows of discontinued operations</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bl>
    <w:p>
      <w:pPr>
        <w:spacing w:after="0" w:line="11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from continuing operations for the nine months ended September 27, 2020 was impacted by the working capital requirements of, as well as certain investments we are making in, our ballistic missile business and US business.</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from continuing operations for the nine months ended September 27, 2020 is comprised of the acquisitions of ASC Signal, TDI and Optimized Performance Machining, Inc., a payment due under the FTT acquisition agreement, and capital expenditures, which consist primarily of investments in machinery, computer hardware and software and improvement of our physical properties in order to maintain suitable conditions in which to conduct our business. Net cash used in investing activities from continuing operations for the nine months ended September 29, 2019 is comprised of the acquisition of FTT and capital expenditures, which consist primarily of investments in machinery, computer hardware and software and improvement of our physical properties in order to maintain suitable conditions in which to conduct our business. During the nine months ended September 27, 2020, capital expenditures of approximately $11.3 million were incurred in our US business, primarily related to our unmanned combat target initiative. We expect our capital expenditures for our calendar year 2020 to continue to be significant for investments we are making, specifically in our US business totaling approximately $18 to $23 million, including approximately $13 to $16 million for capital aerial targets and related support equipment.</w:t>
      </w:r>
    </w:p>
    <w:p>
      <w:pPr>
        <w:spacing w:after="0" w:line="22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from continuing operations was $248.0 million for the nine months ended September 27, 2020 and consisted primarily of net proceeds of $240.4 million from our recently completed equity offering of approximately 15.5 million shares of common stock. Net cash provided by financing activities from continuing operations was $2.6 million for the nine months ended September 29, 2019.</w:t>
      </w:r>
    </w:p>
    <w:p>
      <w:pPr>
        <w:spacing w:after="0" w:line="20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net operating cash flows of discontinued operations for the nine months ended September 27, 2020 is substantially related to approximately $3.1 million collected on amounts due related to the legacy projects retained by us following the sale our PSS business unit partially offset by the loss from operations from our discontinued PSS business unit of $0.8 million.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6.5% Senior Secured Notes due 2025</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November 2017, we issued and sold $300 million aggregate principal amount of 6.5% Senior Secured Notes due 2025 (the “6.5% Notes”) in a private placement conducted pursuant to Rule 144A and Regulation S under the Securities Act of 1933, as amended. We incurred debt issuance costs of $6.6 million associated with the 6.5% Notes. We utilized the net proceeds from the sale of the 6.5% Notes, as well as cash from its recent equity offering to extinguish the outstanding 7.00% Senior Secured Notes due in 2019 (the “7% Notes”). The total reacquisition price of the 7% Notes was $385.2 million, including a $12.0 million call premium, and $0.3 million of accrued interest.</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6.5% Notes are governed by the Indenture, dated as of November 20, 2017 (the “Indenture”), among the Company, our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we designate such Subsidiary Guarantor as an Unrestricted Subsidiary (as defined in the Indenture); (c) we exercise our legal defeasance option or our covenant defeasance option; or (d) upon satisfaction and discharge of the Indenture or payment in full in cash of the principal of, premium, if any, and accrued and unpaid interest on the 6.5% Notes.</w:t>
      </w:r>
    </w:p>
    <w:p>
      <w:pPr>
        <w:spacing w:after="0" w:line="21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6.5% Notes and the guarantees (as set forth in the Indenture) are our senior secured obligations and are equal in right of payment with all other senior obligations of the Subsidiary Guarantors’ existing and future secured debt to the extent of the assets securing that secured debt. Our obligations under the 6.5% Notes are secured by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our obligations under the Credit Agreement (as defined below).</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6.5% Notes will be redeemable, in whole or in part, at any time on or after November 30, 2020 at the respective redemption prices specified in the Indenture. In addition, we may redeem up to 40% of the 6.5% Notes before November 30, 2020 with the net proceeds of certain equity offerings. We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we may redeem up to 10% of the original aggregate principal amount of the 6.5% Notes issued under the Indenture at a redemption price of 103.000% of the principal amount thereof, plus accrued and unpaid interest, to, but excluding, the date of redemption, if any. We may also be required to make an offer to purchase the 6.5% Notes upon a change of control and certain sales of its assets.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Indenture contains covenants limiting, among other things, our ability and the Subsidiary Guarantors’ ability to: (a) pay dividends on or make distributions or repurchase or redeem our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our assets; (i) enter into transactions with affiliates; and (j) enter into agreements restricting our ability and certain of its subsidiaries’ ability to pay dividends. These covenants are subject to a number of exceptions. As of September 27, 2020, we were in compliance with the covenants contained in the Indenture governing the 6.5% Notes.</w:t>
      </w:r>
    </w:p>
    <w:p>
      <w:pPr>
        <w:spacing w:after="0" w:line="21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27, 2020, there was $300.0 million of 6.5% Notes outstanding.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Indebtedness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Credit and Security Agreement</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20, 2017, we entered into an amended and restated credit and security agreement (the “Credit Agreement”), with the lenders from time to time party thereto, SunTrust Bank, as Agent (the “Agent”), PNC Bank, National Association (“PNC Bank”), as Joint Lead Arranger and Documentation Agent, and SunTrust Robinson Humphrey, Inc. (“SunTrust”), as Joint Lead Arranger and Sole Book Runner. The Credit Agreement established a five-year senior secured revolving credit facility in the aggregate principal amount of $90.0 million (subject to a potential increase of the aggregate principal amount to $115.0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our accounts receivable, inventory, deposit accounts, securities accounts, cash, securities and general intangibles (other than intellectual property)and (ii) a second priority lien, junior to the lien securing our 6.5% Notes, on all of our other assets.</w:t>
      </w:r>
    </w:p>
    <w:p>
      <w:pPr>
        <w:spacing w:after="0" w:line="21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w:t>
      </w:r>
    </w:p>
    <w:p>
      <w:pPr>
        <w:spacing w:after="0" w:line="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2.00%-2.50%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 then held eligible raw materials inventory, work-in-process inventory, and applicable reserves.</w:t>
      </w:r>
    </w:p>
    <w:p>
      <w:pPr>
        <w:spacing w:after="0" w:line="21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of September 27, 2020, there were no borrowings outstanding on the Credit Agreement and $6.1 million was outstanding on letters of credit, resulting in net borrowing base availability of $69.1 million. We were in compliance with the financial covenants of the Credit Agreement and its amendments as of September 27, 2020.</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Israel Debt</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August 2020, we entered into two 5-year term loans with two banks in Israel representing an aggregate principal amount of approximately $4.8 million. These loans were subsidized by the State of Israel as part of a COVID-19 relief package with interest at Israeli NIS prime interest, plus a margin of 1.5%. The first year of interest is paid by the State of Israel with subsequent interest and principal payments due monthly commencing in August 2021. We intend to repay these loans at the end of the first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Matters</w:t>
      </w:r>
    </w:p>
    <w:p>
      <w:pPr>
        <w:spacing w:after="0" w:line="229" w:lineRule="exact"/>
        <w:rPr>
          <w:sz w:val="20"/>
          <w:szCs w:val="20"/>
          <w:color w:val="auto"/>
        </w:rPr>
      </w:pPr>
    </w:p>
    <w:p>
      <w:pPr>
        <w:ind w:right="340" w:firstLine="648"/>
        <w:spacing w:after="0" w:line="276" w:lineRule="auto"/>
        <w:rPr>
          <w:sz w:val="20"/>
          <w:szCs w:val="20"/>
          <w:color w:val="auto"/>
        </w:rPr>
      </w:pPr>
      <w:r>
        <w:rPr>
          <w:rFonts w:ascii="Times New Roman" w:cs="Times New Roman" w:eastAsia="Times New Roman" w:hAnsi="Times New Roman"/>
          <w:sz w:val="17"/>
          <w:szCs w:val="17"/>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 As discussed below and in</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Part 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Principles and Estimates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foregoing discussion of our financial condition and results of operations is based on the condensed consolidated financial statements included in this Quarterly Report.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December 30, 2019, we adopted the requirements of ASC 326, Measurement of Credit Losses on Financial Instruments, as discussed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Note 1 to the accompanying Condensed Consolidated Financial Statements. Other than the adoption of ASC 326, there have been no significant changes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“Critical Accounting Policies or Estimates” as compared to the significant accounting policies described in the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Since December 29, 2019, there have been no material changes in the quantitative or qualitative aspects of our market risk profile. For additional information regarding the Company’s exposure to certain market risks, see “Item 7A. Quantitative and Qualitative Disclosures About Market Risk” included in the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Conclusions Regarding the Effectiveness of Disclosure Controls and Procedures</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21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20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our Principal Executive Officer and Principal Financial Officer concluded that our disclosure controls and procedures were effective at the reasonable assurance level as of September 27, 2020.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operate under the COSO (Committee of Sponsoring Organizations) 2013 Framework. There was no change in our internal control over financial reporting during the three months ended September 27,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Note 15 of the Notes to the Condensed Consolidated Financial Statements contained within this Quarterly Report for a discussion of our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evaluating us and our common stock, we urge you to carefully consider the risks and other information in this Quarterly Report, as well as the risk factors disclosed in Item 1A. to Part I of the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there have been no material changes in our risk factors as previously disclosed.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20" w:type="dxa"/>
            <w:vAlign w:val="bottom"/>
            <w:gridSpan w:val="24"/>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9"/>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gridSpan w:val="27"/>
          </w:tcPr>
          <w:p>
            <w:pPr>
              <w:spacing w:after="0" w:line="18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Stock Purchase Agreement, dated February 28, 2018,</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among Kratos Defense &amp; Security Solutions, Inc.,</w:t>
              </w:r>
            </w:hyperlink>
          </w:p>
        </w:tc>
        <w:tc>
          <w:tcPr>
            <w:tcW w:w="20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27"/>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Kratos Public Safety &amp; Security Solutions, Inc. and</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Securitas Electronic Security,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27"/>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Purchase Agreement, dated February 27, 2019, by and</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among Kratos Defense &amp; Security Solutions, Inc.,</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Shirley Brostmeyer, (“SB”), Joseph Brostmeyer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(“JB”), certain trusts established by SB, JB and</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u w:val="single" w:color="auto"/>
                <w:color w:val="0000FF"/>
              </w:rPr>
            </w:pPr>
            <w:hyperlink r:id="rId73">
              <w:r>
                <w:rPr>
                  <w:rFonts w:ascii="Times New Roman" w:cs="Times New Roman" w:eastAsia="Times New Roman" w:hAnsi="Times New Roman"/>
                  <w:sz w:val="16"/>
                  <w:szCs w:val="16"/>
                  <w:u w:val="single" w:color="auto"/>
                  <w:color w:val="0000FF"/>
                </w:rPr>
                <w:t>members of their immediate family, and JB, as</w:t>
              </w:r>
            </w:hyperlink>
          </w:p>
        </w:tc>
        <w:tc>
          <w:tcPr>
            <w:tcW w:w="580" w:type="dxa"/>
            <w:vAlign w:val="bottom"/>
            <w:gridSpan w:val="19"/>
          </w:tcPr>
          <w:p>
            <w:pPr>
              <w:spacing w:after="0" w:line="142" w:lineRule="exact"/>
              <w:rPr>
                <w:rFonts w:ascii="Times New Roman" w:cs="Times New Roman" w:eastAsia="Times New Roman" w:hAnsi="Times New Roman"/>
                <w:sz w:val="16"/>
                <w:szCs w:val="16"/>
                <w:u w:val="single" w:color="auto"/>
                <w:color w:val="0000FF"/>
              </w:rPr>
            </w:pPr>
            <w:hyperlink r:id="rId73">
              <w:r>
                <w:rPr>
                  <w:rFonts w:ascii="Times New Roman" w:cs="Times New Roman" w:eastAsia="Times New Roman" w:hAnsi="Times New Roman"/>
                  <w:sz w:val="16"/>
                  <w:szCs w:val="16"/>
                  <w:u w:val="single" w:color="auto"/>
                  <w:color w:val="0000FF"/>
                </w:rPr>
                <w:t>the</w:t>
              </w:r>
            </w:hyperlink>
          </w:p>
        </w:tc>
        <w:tc>
          <w:tcPr>
            <w:tcW w:w="0" w:type="dxa"/>
            <w:vAlign w:val="bottom"/>
          </w:tcPr>
          <w:p>
            <w:pPr>
              <w:spacing w:after="0"/>
              <w:rPr>
                <w:sz w:val="1"/>
                <w:szCs w:val="1"/>
                <w:color w:val="auto"/>
              </w:rPr>
            </w:pPr>
          </w:p>
        </w:tc>
      </w:tr>
      <w:tr>
        <w:trPr>
          <w:trHeight w:val="225"/>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gridSpan w:val="27"/>
          </w:tcPr>
          <w:p>
            <w:pPr>
              <w:spacing w:after="0"/>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Sellers Representative.</w:t>
              </w:r>
            </w:hyperlink>
          </w:p>
        </w:tc>
        <w:tc>
          <w:tcPr>
            <w:tcW w:w="0" w:type="dxa"/>
            <w:vAlign w:val="bottom"/>
          </w:tcPr>
          <w:p>
            <w:pPr>
              <w:spacing w:after="0"/>
              <w:rPr>
                <w:sz w:val="1"/>
                <w:szCs w:val="1"/>
                <w:color w:val="auto"/>
              </w:rPr>
            </w:pPr>
          </w:p>
        </w:tc>
      </w:tr>
      <w:tr>
        <w:trPr>
          <w:trHeight w:val="194"/>
        </w:trPr>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gridSpan w:val="27"/>
          </w:tcPr>
          <w:p>
            <w:pPr>
              <w:spacing w:after="0" w:line="194"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Amended and Restated Certificate of Incorporation of</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Kratos Defense &amp; Security Solutions, Inc., as</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74">
              <w:r>
                <w:rPr>
                  <w:rFonts w:ascii="Times New Roman" w:cs="Times New Roman" w:eastAsia="Times New Roman" w:hAnsi="Times New Roman"/>
                  <w:sz w:val="18"/>
                  <w:szCs w:val="18"/>
                  <w:color w:val="0000FF"/>
                  <w:w w:val="97"/>
                </w:rPr>
                <w:t>amended.</w:t>
              </w:r>
            </w:hyperlink>
          </w:p>
        </w:tc>
        <w:tc>
          <w:tcPr>
            <w:tcW w:w="2580" w:type="dxa"/>
            <w:vAlign w:val="bottom"/>
            <w:tcBorders>
              <w:top w:val="single" w:sz="8" w:color="0000FF"/>
            </w:tcBorders>
            <w:gridSpan w:val="6"/>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27"/>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Second Amended and Restated Bylaws of Kratos</w:t>
              </w:r>
            </w:hyperlink>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60" w:type="dxa"/>
            <w:vAlign w:val="bottom"/>
            <w:tcBorders>
              <w:top w:val="single" w:sz="8" w:color="0000FF"/>
            </w:tcBorders>
            <w:gridSpan w:val="12"/>
          </w:tcPr>
          <w:p>
            <w:pPr>
              <w:spacing w:after="0" w:line="191" w:lineRule="exact"/>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Defense &amp; Security Solutions, Inc., as amended.</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gridSpan w:val="27"/>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u w:val="single" w:color="auto"/>
                  <w:color w:val="0000FF"/>
                </w:rPr>
                <w:t>Specimen Stock Certificate</w:t>
              </w:r>
              <w:r>
                <w:rPr>
                  <w:rFonts w:ascii="Times New Roman" w:cs="Times New Roman" w:eastAsia="Times New Roman" w:hAnsi="Times New Roman"/>
                  <w:sz w:val="18"/>
                  <w:szCs w:val="18"/>
                  <w:color w:val="0000FF"/>
                </w:rPr>
                <w:t>.</w:t>
              </w:r>
            </w:hyperlink>
          </w:p>
        </w:tc>
        <w:tc>
          <w:tcPr>
            <w:tcW w:w="0" w:type="dxa"/>
            <w:vAlign w:val="bottom"/>
          </w:tcPr>
          <w:p>
            <w:pPr>
              <w:spacing w:after="0"/>
              <w:rPr>
                <w:sz w:val="1"/>
                <w:szCs w:val="1"/>
                <w:color w:val="auto"/>
              </w:rPr>
            </w:pPr>
          </w:p>
        </w:tc>
      </w:tr>
      <w:tr>
        <w:trPr>
          <w:trHeight w:val="36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Indenture, dated as of November 20, 2017, among</w:t>
              </w:r>
            </w:hyperlink>
          </w:p>
        </w:tc>
        <w:tc>
          <w:tcPr>
            <w:tcW w:w="3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27"/>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Kratos Defense &amp; Security Solutions, Inc., as Issuer,</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the Guarantors party thereto, and Wilmington Trust,</w:t>
              </w:r>
            </w:hyperlink>
          </w:p>
        </w:tc>
        <w:tc>
          <w:tcPr>
            <w:tcW w:w="20" w:type="dxa"/>
            <w:vAlign w:val="bottom"/>
            <w:tcBorders>
              <w:top w:val="single" w:sz="8" w:color="0000FF"/>
            </w:tcBorders>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gridSpan w:val="27"/>
          </w:tcPr>
          <w:p>
            <w:pPr>
              <w:spacing w:after="0" w:line="191" w:lineRule="exact"/>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National Association, as Trustee and Collateral Agent.</w:t>
              </w:r>
            </w:hyperlink>
          </w:p>
        </w:tc>
        <w:tc>
          <w:tcPr>
            <w:tcW w:w="0" w:type="dxa"/>
            <w:vAlign w:val="bottom"/>
          </w:tcPr>
          <w:p>
            <w:pPr>
              <w:spacing w:after="0"/>
              <w:rPr>
                <w:sz w:val="1"/>
                <w:szCs w:val="1"/>
                <w:color w:val="auto"/>
              </w:rPr>
            </w:pPr>
          </w:p>
        </w:tc>
      </w:tr>
      <w:tr>
        <w:trPr>
          <w:trHeight w:val="194"/>
        </w:trPr>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gridSpan w:val="27"/>
          </w:tcPr>
          <w:p>
            <w:pPr>
              <w:spacing w:after="0" w:line="194"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First Supplemental Indenture, dated as of December</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21, 2017, among Kratos Defense &amp; Security</w:t>
              </w:r>
            </w:hyperlink>
          </w:p>
        </w:tc>
        <w:tc>
          <w:tcPr>
            <w:tcW w:w="16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27"/>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Solutions, Inc., as Issuer, the Guarantor as party</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gridSpan w:val="27"/>
          </w:tcPr>
          <w:p>
            <w:pPr>
              <w:spacing w:after="0" w:line="142" w:lineRule="exact"/>
              <w:rPr>
                <w:rFonts w:ascii="Times New Roman" w:cs="Times New Roman" w:eastAsia="Times New Roman" w:hAnsi="Times New Roman"/>
                <w:sz w:val="16"/>
                <w:szCs w:val="16"/>
                <w:u w:val="single" w:color="auto"/>
                <w:color w:val="0000FF"/>
              </w:rPr>
            </w:pPr>
            <w:hyperlink r:id="rId78">
              <w:r>
                <w:rPr>
                  <w:rFonts w:ascii="Times New Roman" w:cs="Times New Roman" w:eastAsia="Times New Roman" w:hAnsi="Times New Roman"/>
                  <w:sz w:val="16"/>
                  <w:szCs w:val="16"/>
                  <w:u w:val="single" w:color="auto"/>
                  <w:color w:val="0000FF"/>
                </w:rPr>
                <w:t>thereto, and Wilmington Trust, National Association,</w:t>
              </w:r>
            </w:hyperlink>
          </w:p>
        </w:tc>
        <w:tc>
          <w:tcPr>
            <w:tcW w:w="0" w:type="dxa"/>
            <w:vAlign w:val="bottom"/>
          </w:tcPr>
          <w:p>
            <w:pPr>
              <w:spacing w:after="0"/>
              <w:rPr>
                <w:sz w:val="1"/>
                <w:szCs w:val="1"/>
                <w:color w:val="auto"/>
              </w:rPr>
            </w:pPr>
          </w:p>
        </w:tc>
      </w:tr>
      <w:tr>
        <w:trPr>
          <w:trHeight w:val="225"/>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gridSpan w:val="27"/>
          </w:tcPr>
          <w:p>
            <w:pPr>
              <w:spacing w:after="0"/>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as Trustee.</w:t>
              </w:r>
            </w:hyperlink>
          </w:p>
        </w:tc>
        <w:tc>
          <w:tcPr>
            <w:tcW w:w="0" w:type="dxa"/>
            <w:vAlign w:val="bottom"/>
          </w:tcPr>
          <w:p>
            <w:pPr>
              <w:spacing w:after="0"/>
              <w:rPr>
                <w:sz w:val="1"/>
                <w:szCs w:val="1"/>
                <w:color w:val="auto"/>
              </w:rPr>
            </w:pPr>
          </w:p>
        </w:tc>
      </w:tr>
      <w:tr>
        <w:trPr>
          <w:trHeight w:val="194"/>
        </w:trPr>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gridSpan w:val="27"/>
          </w:tcPr>
          <w:p>
            <w:pPr>
              <w:spacing w:after="0" w:line="194" w:lineRule="exact"/>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Certification of Chief Executive Officer pursuant to</w:t>
              </w:r>
            </w:hyperlink>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40" w:type="dxa"/>
            <w:vAlign w:val="bottom"/>
            <w:tcBorders>
              <w:top w:val="single" w:sz="8" w:color="0000FF"/>
            </w:tcBorders>
            <w:gridSpan w:val="19"/>
          </w:tcPr>
          <w:p>
            <w:pPr>
              <w:spacing w:after="0" w:line="191" w:lineRule="exact"/>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Section 302 of the Sarbanes Oxley Act of 2002.</w:t>
              </w:r>
            </w:hyperlink>
          </w:p>
        </w:tc>
        <w:tc>
          <w:tcPr>
            <w:tcW w:w="20" w:type="dxa"/>
            <w:vAlign w:val="bottom"/>
          </w:tcPr>
          <w:p>
            <w:pPr>
              <w:spacing w:after="0"/>
              <w:rPr>
                <w:sz w:val="16"/>
                <w:szCs w:val="16"/>
                <w:color w:val="auto"/>
              </w:rPr>
            </w:pPr>
          </w:p>
        </w:tc>
        <w:tc>
          <w:tcPr>
            <w:tcW w:w="180" w:type="dxa"/>
            <w:vAlign w:val="bottom"/>
            <w:gridSpan w:val="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gridSpan w:val="27"/>
          </w:tcPr>
          <w:p>
            <w:pPr>
              <w:spacing w:after="0" w:line="194" w:lineRule="exact"/>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Certification of Chief Financial Officer pursuant to</w:t>
              </w:r>
            </w:hyperlink>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top w:val="single" w:sz="8" w:color="0000FF"/>
            </w:tcBorders>
            <w:gridSpan w:val="17"/>
          </w:tcPr>
          <w:p>
            <w:pPr>
              <w:spacing w:after="0" w:line="191" w:lineRule="exact"/>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Section 302 of the Sarbanes Oxley Act of 2002</w:t>
              </w:r>
            </w:hyperlink>
          </w:p>
        </w:tc>
        <w:tc>
          <w:tcPr>
            <w:tcW w:w="80" w:type="dxa"/>
            <w:vAlign w:val="bottom"/>
            <w:gridSpan w:val="3"/>
          </w:tcPr>
          <w:p>
            <w:pPr>
              <w:spacing w:after="0"/>
              <w:rPr>
                <w:sz w:val="16"/>
                <w:szCs w:val="16"/>
                <w:color w:val="auto"/>
              </w:rPr>
            </w:pPr>
          </w:p>
        </w:tc>
        <w:tc>
          <w:tcPr>
            <w:tcW w:w="180" w:type="dxa"/>
            <w:vAlign w:val="bottom"/>
            <w:gridSpan w:val="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gridSpan w:val="27"/>
          </w:tcPr>
          <w:p>
            <w:pPr>
              <w:spacing w:after="0" w:line="194" w:lineRule="exact"/>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Certification pursuant to 18 U.S.C. Section 1350, as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adopted pursuant to Section 906 of the Sarbanes-</w:t>
              </w:r>
            </w:hyperlink>
          </w:p>
        </w:tc>
        <w:tc>
          <w:tcPr>
            <w:tcW w:w="18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40" w:type="dxa"/>
            <w:vAlign w:val="bottom"/>
            <w:tcBorders>
              <w:top w:val="single" w:sz="8" w:color="0000FF"/>
            </w:tcBorders>
            <w:gridSpan w:val="11"/>
          </w:tcPr>
          <w:p>
            <w:pPr>
              <w:spacing w:after="0" w:line="191" w:lineRule="exact"/>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Oxley Act of 2002 for Eric M. DeMarco.</w:t>
              </w:r>
            </w:hyperlink>
          </w:p>
        </w:tc>
        <w:tc>
          <w:tcPr>
            <w:tcW w:w="6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10"/>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gridSpan w:val="27"/>
          </w:tcPr>
          <w:p>
            <w:pPr>
              <w:spacing w:after="0" w:line="194" w:lineRule="exact"/>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Certification pursuant to 18 U.S.C. Section 1350, as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adopted pursuant to Section 906 of the Sarbanes-</w:t>
              </w:r>
            </w:hyperlink>
          </w:p>
        </w:tc>
        <w:tc>
          <w:tcPr>
            <w:tcW w:w="18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Oxley Act of 2002 for Deanna Lund.</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10"/>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18"/>
                <w:szCs w:val="18"/>
                <w:color w:val="auto"/>
              </w:rPr>
            </w:pPr>
          </w:p>
        </w:tc>
        <w:tc>
          <w:tcPr>
            <w:tcW w:w="3980" w:type="dxa"/>
            <w:vAlign w:val="bottom"/>
            <w:gridSpan w:val="27"/>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XBRL Instance Document-the instance document</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6"/>
              </w:rPr>
            </w:pPr>
            <w:hyperlink w:anchor="page3">
              <w:r>
                <w:rPr>
                  <w:rFonts w:ascii="Times New Roman" w:cs="Times New Roman" w:eastAsia="Times New Roman" w:hAnsi="Times New Roman"/>
                  <w:sz w:val="18"/>
                  <w:szCs w:val="18"/>
                  <w:color w:val="0000FF"/>
                  <w:w w:val="96"/>
                </w:rPr>
                <w:t>does not appear in the Interactive Data File because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11"/>
          </w:tcPr>
          <w:p>
            <w:pPr>
              <w:ind w:left="100"/>
              <w:spacing w:after="0" w:line="156"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its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XBRL tags are embedded within the Inline XBRL</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w:anchor="page3">
              <w:r>
                <w:rPr>
                  <w:rFonts w:ascii="Times New Roman" w:cs="Times New Roman" w:eastAsia="Times New Roman" w:hAnsi="Times New Roman"/>
                  <w:sz w:val="18"/>
                  <w:szCs w:val="18"/>
                  <w:color w:val="0000FF"/>
                  <w:w w:val="98"/>
                </w:rPr>
                <w:t>document</w:t>
              </w:r>
            </w:hyperlink>
          </w:p>
        </w:tc>
        <w:tc>
          <w:tcPr>
            <w:tcW w:w="29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1"/>
                <w:szCs w:val="21"/>
                <w:color w:val="auto"/>
              </w:rPr>
            </w:pPr>
          </w:p>
        </w:tc>
        <w:tc>
          <w:tcPr>
            <w:tcW w:w="3980" w:type="dxa"/>
            <w:vAlign w:val="bottom"/>
            <w:gridSpan w:val="27"/>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XBRL Taxonomy Extension Schema Document</w:t>
              </w:r>
            </w:hyperlink>
          </w:p>
        </w:tc>
        <w:tc>
          <w:tcPr>
            <w:tcW w:w="0" w:type="dxa"/>
            <w:vAlign w:val="bottom"/>
          </w:tcPr>
          <w:p>
            <w:pPr>
              <w:spacing w:after="0"/>
              <w:rPr>
                <w:sz w:val="1"/>
                <w:szCs w:val="1"/>
                <w:color w:val="auto"/>
              </w:rPr>
            </w:pPr>
          </w:p>
        </w:tc>
      </w:tr>
      <w:tr>
        <w:trPr>
          <w:trHeight w:val="194"/>
        </w:trPr>
        <w:tc>
          <w:tcPr>
            <w:tcW w:w="142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6"/>
                <w:szCs w:val="16"/>
                <w:color w:val="auto"/>
              </w:rPr>
            </w:pPr>
          </w:p>
        </w:tc>
        <w:tc>
          <w:tcPr>
            <w:tcW w:w="3980" w:type="dxa"/>
            <w:vAlign w:val="bottom"/>
            <w:gridSpan w:val="27"/>
          </w:tcPr>
          <w:p>
            <w:pPr>
              <w:spacing w:after="0" w:line="194"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XBRL Taxonomy Extension Calculation Linkbase</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w:anchor="page3">
              <w:r>
                <w:rPr>
                  <w:rFonts w:ascii="Times New Roman" w:cs="Times New Roman" w:eastAsia="Times New Roman" w:hAnsi="Times New Roman"/>
                  <w:sz w:val="18"/>
                  <w:szCs w:val="18"/>
                  <w:color w:val="0000FF"/>
                  <w:w w:val="98"/>
                </w:rPr>
                <w:t>Document</w:t>
              </w:r>
            </w:hyperlink>
          </w:p>
        </w:tc>
        <w:tc>
          <w:tcPr>
            <w:tcW w:w="2900" w:type="dxa"/>
            <w:vAlign w:val="bottom"/>
            <w:tcBorders>
              <w:top w:val="single" w:sz="8" w:color="0000FF"/>
            </w:tcBorders>
            <w:gridSpan w:val="13"/>
          </w:tcPr>
          <w:p>
            <w:pPr>
              <w:spacing w:after="0"/>
              <w:rPr>
                <w:sz w:val="13"/>
                <w:szCs w:val="13"/>
                <w:color w:val="auto"/>
              </w:rPr>
            </w:pPr>
          </w:p>
        </w:tc>
        <w:tc>
          <w:tcPr>
            <w:tcW w:w="3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Incorporated by</w:t>
      </w:r>
    </w:p>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Reference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35"/>
        </w:trPr>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Period End</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42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3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00" w:type="dxa"/>
            <w:vAlign w:val="bottom"/>
          </w:tcPr>
          <w:p>
            <w:pPr>
              <w:spacing w:after="0"/>
              <w:rPr>
                <w:sz w:val="14"/>
                <w:szCs w:val="14"/>
                <w:color w:val="auto"/>
              </w:rPr>
            </w:pPr>
          </w:p>
        </w:tc>
        <w:tc>
          <w:tcPr>
            <w:tcW w:w="13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05/10/2018</w:t>
            </w:r>
          </w:p>
        </w:tc>
        <w:tc>
          <w:tcPr>
            <w:tcW w:w="120" w:type="dxa"/>
            <w:vAlign w:val="bottom"/>
          </w:tcPr>
          <w:p>
            <w:pPr>
              <w:spacing w:after="0"/>
              <w:rPr>
                <w:sz w:val="14"/>
                <w:szCs w:val="14"/>
                <w:color w:val="auto"/>
              </w:rPr>
            </w:pPr>
          </w:p>
        </w:tc>
        <w:tc>
          <w:tcPr>
            <w:tcW w:w="13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05/08/2019</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3"/>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02/27/2017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02/27/2017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4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02/27/2017</w:t>
            </w:r>
          </w:p>
        </w:tc>
        <w:tc>
          <w:tcPr>
            <w:tcW w:w="12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4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11/21/2017</w:t>
            </w:r>
          </w:p>
        </w:tc>
        <w:tc>
          <w:tcPr>
            <w:tcW w:w="12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02/28/2018</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w:t>
      </w:r>
    </w:p>
    <w:p>
      <w:pPr>
        <w:spacing w:after="0" w:line="37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w:t>
      </w:r>
    </w:p>
    <w:p>
      <w:pPr>
        <w:spacing w:after="0" w:line="37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00"/>
            <w:col w:w="5620"/>
          </w:cols>
          <w:pgMar w:left="320" w:top="121" w:right="4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35"/>
        </w:trPr>
        <w:tc>
          <w:tcPr>
            <w:tcW w:w="14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20" w:type="dxa"/>
            <w:vAlign w:val="bottom"/>
            <w:gridSpan w:val="6"/>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Period End</w:t>
            </w:r>
          </w:p>
        </w:tc>
        <w:tc>
          <w:tcPr>
            <w:tcW w:w="14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320" w:type="dxa"/>
            <w:vAlign w:val="bottom"/>
            <w:gridSpan w:val="6"/>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13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gridSpan w:val="6"/>
          </w:tcPr>
          <w:p>
            <w:pPr>
              <w:spacing w:after="0" w:line="182"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XBRL Taxonomy Extension Definition Linkbase</w:t>
              </w:r>
            </w:hyperlink>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w:anchor="page3">
              <w:r>
                <w:rPr>
                  <w:rFonts w:ascii="Times New Roman" w:cs="Times New Roman" w:eastAsia="Times New Roman" w:hAnsi="Times New Roman"/>
                  <w:sz w:val="18"/>
                  <w:szCs w:val="18"/>
                  <w:color w:val="0000FF"/>
                  <w:w w:val="98"/>
                </w:rPr>
                <w:t>Document</w:t>
              </w:r>
            </w:hyperlink>
          </w:p>
        </w:tc>
        <w:tc>
          <w:tcPr>
            <w:tcW w:w="2780" w:type="dxa"/>
            <w:vAlign w:val="bottom"/>
            <w:tcBorders>
              <w:top w:val="single" w:sz="8" w:color="0000FF"/>
            </w:tcBorders>
            <w:gridSpan w:val="3"/>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8"/>
                <w:szCs w:val="18"/>
                <w:color w:val="auto"/>
              </w:rPr>
            </w:pPr>
          </w:p>
        </w:tc>
        <w:tc>
          <w:tcPr>
            <w:tcW w:w="4080" w:type="dxa"/>
            <w:vAlign w:val="bottom"/>
            <w:gridSpan w:val="7"/>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XBRL Taxonomy Extension Label Linkbase</w:t>
              </w:r>
            </w:hyperlink>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w:anchor="page3">
              <w:r>
                <w:rPr>
                  <w:rFonts w:ascii="Times New Roman" w:cs="Times New Roman" w:eastAsia="Times New Roman" w:hAnsi="Times New Roman"/>
                  <w:sz w:val="18"/>
                  <w:szCs w:val="18"/>
                  <w:color w:val="0000FF"/>
                  <w:w w:val="98"/>
                </w:rPr>
                <w:t>Document</w:t>
              </w:r>
            </w:hyperlink>
          </w:p>
        </w:tc>
        <w:tc>
          <w:tcPr>
            <w:tcW w:w="2460" w:type="dxa"/>
            <w:vAlign w:val="bottom"/>
            <w:tcBorders>
              <w:top w:val="single" w:sz="8" w:color="0000FF"/>
            </w:tcBorders>
            <w:gridSpan w:val="2"/>
          </w:tcPr>
          <w:p>
            <w:pPr>
              <w:spacing w:after="0"/>
              <w:rPr>
                <w:sz w:val="13"/>
                <w:szCs w:val="13"/>
                <w:color w:val="auto"/>
              </w:rPr>
            </w:pPr>
          </w:p>
        </w:tc>
        <w:tc>
          <w:tcPr>
            <w:tcW w:w="480" w:type="dxa"/>
            <w:vAlign w:val="bottom"/>
            <w:gridSpan w:val="2"/>
          </w:tcPr>
          <w:p>
            <w:pPr>
              <w:spacing w:after="0"/>
              <w:rPr>
                <w:sz w:val="13"/>
                <w:szCs w:val="13"/>
                <w:color w:val="auto"/>
              </w:rPr>
            </w:pPr>
          </w:p>
        </w:tc>
        <w:tc>
          <w:tcPr>
            <w:tcW w:w="38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18"/>
                <w:szCs w:val="18"/>
                <w:color w:val="auto"/>
              </w:rPr>
            </w:pPr>
          </w:p>
        </w:tc>
        <w:tc>
          <w:tcPr>
            <w:tcW w:w="4080" w:type="dxa"/>
            <w:vAlign w:val="bottom"/>
            <w:gridSpan w:val="7"/>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XBRL Taxonomy Extension Presentation Linkbase</w:t>
              </w:r>
            </w:hyperlink>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w:anchor="page3">
              <w:r>
                <w:rPr>
                  <w:rFonts w:ascii="Times New Roman" w:cs="Times New Roman" w:eastAsia="Times New Roman" w:hAnsi="Times New Roman"/>
                  <w:sz w:val="18"/>
                  <w:szCs w:val="18"/>
                  <w:color w:val="0000FF"/>
                  <w:w w:val="98"/>
                </w:rPr>
                <w:t>Document</w:t>
              </w:r>
            </w:hyperlink>
          </w:p>
        </w:tc>
        <w:tc>
          <w:tcPr>
            <w:tcW w:w="2940" w:type="dxa"/>
            <w:vAlign w:val="bottom"/>
            <w:tcBorders>
              <w:top w:val="single" w:sz="8" w:color="0000FF"/>
            </w:tcBorders>
            <w:gridSpan w:val="4"/>
          </w:tcPr>
          <w:p>
            <w:pPr>
              <w:spacing w:after="0"/>
              <w:rPr>
                <w:sz w:val="13"/>
                <w:szCs w:val="13"/>
                <w:color w:val="auto"/>
              </w:rPr>
            </w:pPr>
          </w:p>
        </w:tc>
        <w:tc>
          <w:tcPr>
            <w:tcW w:w="38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00" w:firstLine="8"/>
        <w:spacing w:after="0" w:line="282" w:lineRule="auto"/>
        <w:tabs>
          <w:tab w:leader="none" w:pos="2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189" w:lineRule="exact"/>
        <w:rPr>
          <w:sz w:val="20"/>
          <w:szCs w:val="20"/>
          <w:color w:val="auto"/>
        </w:rPr>
      </w:pPr>
    </w:p>
    <w:p>
      <w:pPr>
        <w:ind w:firstLine="8"/>
        <w:spacing w:after="0" w:line="282" w:lineRule="auto"/>
        <w:tabs>
          <w:tab w:leader="none" w:pos="2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contained in this Exhibit has been omitted because it is both (i) not material and (ii) would be competitively harmful if publicly disclosed.</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KRATOS DEFENSE &amp; SECURITY SOLUTIONS, INC.</w:t>
      </w:r>
    </w:p>
    <w:p>
      <w:pPr>
        <w:spacing w:after="0" w:line="200" w:lineRule="exact"/>
        <w:rPr>
          <w:sz w:val="20"/>
          <w:szCs w:val="20"/>
          <w:color w:val="auto"/>
        </w:rPr>
      </w:pPr>
    </w:p>
    <w:p>
      <w:pPr>
        <w:spacing w:after="0" w:line="282" w:lineRule="exact"/>
        <w:rPr>
          <w:sz w:val="20"/>
          <w:szCs w:val="20"/>
          <w:color w:val="auto"/>
        </w:rPr>
      </w:pPr>
    </w:p>
    <w:tbl>
      <w:tblPr>
        <w:tblLayout w:type="fixed"/>
        <w:tblInd w:w="54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M. DEMARCO</w:t>
            </w:r>
          </w:p>
        </w:tc>
      </w:tr>
      <w:tr>
        <w:trPr>
          <w:trHeight w:val="216"/>
        </w:trPr>
        <w:tc>
          <w:tcPr>
            <w:tcW w:w="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Eric M. DeMarco</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Chief Executive Officer, President</w:t>
            </w:r>
          </w:p>
        </w:tc>
      </w:tr>
      <w:tr>
        <w:trPr>
          <w:trHeight w:val="236"/>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68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DEANNA H. LUND, CPA</w:t>
            </w:r>
          </w:p>
        </w:tc>
      </w:tr>
      <w:tr>
        <w:trPr>
          <w:trHeight w:val="216"/>
        </w:trPr>
        <w:tc>
          <w:tcPr>
            <w:tcW w:w="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Deanna H. Lund</w:t>
            </w:r>
          </w:p>
        </w:tc>
      </w:tr>
      <w:tr>
        <w:trPr>
          <w:trHeight w:val="230"/>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Chief Financial Officer</w:t>
            </w:r>
          </w:p>
        </w:tc>
      </w:tr>
      <w:tr>
        <w:trPr>
          <w:trHeight w:val="236"/>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71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MARIA CERVANTES DE BURGREEN, CPA</w:t>
            </w:r>
          </w:p>
        </w:tc>
      </w:tr>
      <w:tr>
        <w:trPr>
          <w:trHeight w:val="216"/>
        </w:trPr>
        <w:tc>
          <w:tcPr>
            <w:tcW w:w="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Maria Cervantes de Burgreen</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Vice President and Corporate Controller</w:t>
            </w:r>
          </w:p>
        </w:tc>
      </w:tr>
      <w:tr>
        <w:trPr>
          <w:trHeight w:val="236"/>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bl>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29,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320" w:top="121" w:right="3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Kratos Defense &amp; Security Solutions, Inc.;</w:t>
      </w:r>
    </w:p>
    <w:p>
      <w:pPr>
        <w:spacing w:after="0" w:line="23" w:lineRule="exact"/>
        <w:rPr>
          <w:rFonts w:ascii="Times New Roman" w:cs="Times New Roman" w:eastAsia="Times New Roman" w:hAnsi="Times New Roman"/>
          <w:sz w:val="16"/>
          <w:szCs w:val="16"/>
          <w:color w:val="auto"/>
        </w:rPr>
      </w:pPr>
    </w:p>
    <w:p>
      <w:pPr>
        <w:ind w:left="660" w:hanging="652"/>
        <w:spacing w:after="0" w:line="246"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520" w:hanging="652"/>
        <w:spacing w:after="0" w:line="246"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0" w:hanging="652"/>
        <w:spacing w:after="0" w:line="251"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Times New Roman" w:cs="Times New Roman" w:eastAsia="Times New Roman" w:hAnsi="Times New Roman"/>
          <w:sz w:val="16"/>
          <w:szCs w:val="16"/>
          <w:color w:val="auto"/>
        </w:rPr>
      </w:pPr>
    </w:p>
    <w:p>
      <w:pPr>
        <w:ind w:left="1300" w:right="300" w:hanging="644"/>
        <w:spacing w:after="0" w:line="254" w:lineRule="auto"/>
        <w:tabs>
          <w:tab w:leader="none" w:pos="1291"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100" w:hanging="644"/>
        <w:spacing w:after="0" w:line="246" w:lineRule="auto"/>
        <w:tabs>
          <w:tab w:leader="none" w:pos="13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6"/>
          <w:szCs w:val="16"/>
          <w:color w:val="auto"/>
        </w:rPr>
      </w:pPr>
    </w:p>
    <w:p>
      <w:pPr>
        <w:ind w:left="1300" w:right="160" w:hanging="644"/>
        <w:spacing w:after="0" w:line="246" w:lineRule="auto"/>
        <w:tabs>
          <w:tab w:leader="none" w:pos="1291"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51" w:lineRule="auto"/>
        <w:tabs>
          <w:tab w:leader="none" w:pos="134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16"/>
          <w:szCs w:val="16"/>
          <w:color w:val="auto"/>
        </w:rPr>
      </w:pPr>
    </w:p>
    <w:p>
      <w:pPr>
        <w:ind w:left="660" w:right="120" w:hanging="652"/>
        <w:spacing w:after="0" w:line="280"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left="1300" w:right="80" w:hanging="644"/>
        <w:spacing w:after="0" w:line="258" w:lineRule="auto"/>
        <w:tabs>
          <w:tab w:leader="none" w:pos="1291"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00" w:hanging="644"/>
        <w:spacing w:after="0" w:line="257" w:lineRule="auto"/>
        <w:tabs>
          <w:tab w:leader="none" w:pos="13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29, 2020</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37465</wp:posOffset>
            </wp:positionV>
            <wp:extent cx="34544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Eric M. DeMarco</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9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Deanna H. Lund, certify that:</w:t>
      </w:r>
    </w:p>
    <w:p>
      <w:pPr>
        <w:spacing w:after="0" w:line="20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quarterly report on Form 10-Q of Kratos Defense &amp; Security Solutions, Inc.;</w:t>
      </w:r>
    </w:p>
    <w:p>
      <w:pPr>
        <w:spacing w:after="0" w:line="9" w:lineRule="exact"/>
        <w:rPr>
          <w:rFonts w:ascii="Times New Roman" w:cs="Times New Roman" w:eastAsia="Times New Roman" w:hAnsi="Times New Roman"/>
          <w:sz w:val="18"/>
          <w:szCs w:val="18"/>
          <w:color w:val="auto"/>
        </w:rPr>
      </w:pPr>
    </w:p>
    <w:p>
      <w:pPr>
        <w:ind w:left="660" w:hanging="652"/>
        <w:spacing w:after="0" w:line="253"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520" w:hanging="652"/>
        <w:spacing w:after="0" w:line="24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0" w:hanging="652"/>
        <w:spacing w:after="0" w:line="25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Times New Roman" w:cs="Times New Roman" w:eastAsia="Times New Roman" w:hAnsi="Times New Roman"/>
          <w:sz w:val="18"/>
          <w:szCs w:val="18"/>
          <w:color w:val="auto"/>
        </w:rPr>
      </w:pPr>
    </w:p>
    <w:p>
      <w:pPr>
        <w:ind w:left="1300" w:right="280" w:hanging="644"/>
        <w:spacing w:after="0" w:line="251" w:lineRule="auto"/>
        <w:tabs>
          <w:tab w:leader="none" w:pos="12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120" w:hanging="644"/>
        <w:spacing w:after="0" w:line="247"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ind w:left="1300" w:right="140" w:hanging="644"/>
        <w:spacing w:after="0" w:line="248" w:lineRule="auto"/>
        <w:tabs>
          <w:tab w:leader="none" w:pos="12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51" w:lineRule="auto"/>
        <w:tabs>
          <w:tab w:leader="none" w:pos="133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Times New Roman" w:cs="Times New Roman" w:eastAsia="Times New Roman" w:hAnsi="Times New Roman"/>
          <w:sz w:val="18"/>
          <w:szCs w:val="18"/>
          <w:color w:val="auto"/>
        </w:rPr>
      </w:pPr>
    </w:p>
    <w:p>
      <w:pPr>
        <w:ind w:left="660" w:right="120" w:hanging="652"/>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Times New Roman" w:cs="Times New Roman" w:eastAsia="Times New Roman" w:hAnsi="Times New Roman"/>
          <w:sz w:val="18"/>
          <w:szCs w:val="18"/>
          <w:color w:val="auto"/>
        </w:rPr>
      </w:pPr>
    </w:p>
    <w:p>
      <w:pPr>
        <w:ind w:left="1300" w:right="80" w:hanging="644"/>
        <w:spacing w:after="0" w:line="253" w:lineRule="auto"/>
        <w:tabs>
          <w:tab w:leader="none" w:pos="12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00" w:hanging="644"/>
        <w:spacing w:after="0" w:line="258"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29, 2020</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37465</wp:posOffset>
            </wp:positionV>
            <wp:extent cx="34544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Deanna H. Lund</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Financial Officer and Acting Principal Accounting Officer)</w:t>
      </w:r>
    </w:p>
    <w:p>
      <w:pPr>
        <w:sectPr>
          <w:pgSz w:w="11900" w:h="16838" w:orient="portrait"/>
          <w:cols w:equalWidth="0" w:num="1">
            <w:col w:w="11240"/>
          </w:cols>
          <w:pgMar w:left="320" w:top="89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76" w:lineRule="exact"/>
        <w:rPr>
          <w:sz w:val="20"/>
          <w:szCs w:val="20"/>
          <w:color w:val="auto"/>
        </w:rPr>
      </w:pPr>
    </w:p>
    <w:p>
      <w:pPr>
        <w:ind w:right="40" w:firstLine="162"/>
        <w:spacing w:after="0" w:line="263" w:lineRule="auto"/>
        <w:rPr>
          <w:sz w:val="20"/>
          <w:szCs w:val="20"/>
          <w:color w:val="auto"/>
        </w:rPr>
      </w:pPr>
      <w:r>
        <w:rPr>
          <w:rFonts w:ascii="Times New Roman" w:cs="Times New Roman" w:eastAsia="Times New Roman" w:hAnsi="Times New Roman"/>
          <w:sz w:val="16"/>
          <w:szCs w:val="16"/>
          <w:color w:val="auto"/>
        </w:rPr>
        <w:t>In connection with the accompanying Quarterly Report of Kratos Defense &amp; Security Solutions, Inc. (the “Company”) on Form 10-Q for the quarter ended September 27, 2020 (the “Report”), I, Eric M. DeMarco, Chief Executive Officer of the Company, certify, pursuant to 18 U.S.C. Section 1350, as adopted pursuant to Section 906 of the Sarbanes-Oxley Act of 2002, that:</w:t>
      </w:r>
    </w:p>
    <w:p>
      <w:pPr>
        <w:spacing w:after="0" w:line="151"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29, 2020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37465</wp:posOffset>
            </wp:positionV>
            <wp:extent cx="35401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Eric M. DeMarco</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9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76" w:lineRule="exact"/>
        <w:rPr>
          <w:sz w:val="20"/>
          <w:szCs w:val="20"/>
          <w:color w:val="auto"/>
        </w:rPr>
      </w:pPr>
    </w:p>
    <w:p>
      <w:pPr>
        <w:ind w:right="40" w:firstLine="162"/>
        <w:spacing w:after="0" w:line="263" w:lineRule="auto"/>
        <w:rPr>
          <w:sz w:val="20"/>
          <w:szCs w:val="20"/>
          <w:color w:val="auto"/>
        </w:rPr>
      </w:pPr>
      <w:r>
        <w:rPr>
          <w:rFonts w:ascii="Times New Roman" w:cs="Times New Roman" w:eastAsia="Times New Roman" w:hAnsi="Times New Roman"/>
          <w:sz w:val="16"/>
          <w:szCs w:val="16"/>
          <w:color w:val="auto"/>
        </w:rPr>
        <w:t>In connection with the accompanying Quarterly Report of Kratos Defense &amp; Security Solutions, Inc. (the “Company”) on Form 10-Q for the quarter ended September 27, 2020 (the “Report”), I, Deanna H. Lund, Chief Financial Officer of the Company, certify, pursuant to 18 U.S.C. Section 1350, as adopted pursuant to Section 906 of the Sarbanes-Oxley Act of 2002, that:</w:t>
      </w:r>
    </w:p>
    <w:p>
      <w:pPr>
        <w:spacing w:after="0" w:line="151"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29, 2020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37465</wp:posOffset>
            </wp:positionV>
            <wp:extent cx="35401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Deanna H. Lund</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Financial Officer and Acting Principal Accounting Officer)</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amp;"/>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72" Type="http://schemas.openxmlformats.org/officeDocument/2006/relationships/hyperlink" Target="http://www.sec.gov/Archives/edgar/data/1069258/000106925818000021/ktos20180401ex-22.htm" TargetMode="External"/><Relationship Id="rId73" Type="http://schemas.openxmlformats.org/officeDocument/2006/relationships/hyperlink" Target="http://www.sec.gov/Archives/edgar/data/1069258/000106925819000017/exhibit23redacted.htm" TargetMode="External"/><Relationship Id="rId74" Type="http://schemas.openxmlformats.org/officeDocument/2006/relationships/hyperlink" Target="http://www.sec.gov/Archives/edgar/data/1069258/000106925817000009/ktos20161225ex-31.htm" TargetMode="External"/><Relationship Id="rId75" Type="http://schemas.openxmlformats.org/officeDocument/2006/relationships/hyperlink" Target="http://www.sec.gov/Archives/edgar/data/1069258/000106925817000009/ktos20161225ex-32.htm" TargetMode="External"/><Relationship Id="rId76" Type="http://schemas.openxmlformats.org/officeDocument/2006/relationships/hyperlink" Target="http://www.sec.gov/Archives/edgar/data/1069258/000106925817000009/kratoscommonformofcertif.htm" TargetMode="External"/><Relationship Id="rId77" Type="http://schemas.openxmlformats.org/officeDocument/2006/relationships/hyperlink" Target="http://www.sec.gov/Archives/edgar/data/1069258/000110465917069690/a17-27375_1ex4d1.htm" TargetMode="External"/><Relationship Id="rId78" Type="http://schemas.openxmlformats.org/officeDocument/2006/relationships/hyperlink" Target="http://www.sec.gov/Archives/edgar/data/1069258/000106925818000006/ktos20171231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2020-10-29T15:38:15Z</dcterms:created>
  <dcterms:modified xsi:type="dcterms:W3CDTF">2020-10-29T15:38:15Z</dcterms:modified>
</cp:coreProperties>
</file>