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76">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20"/>
          </w:cols>
          <w:pgMar w:left="240" w:top="469" w:right="5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1480" w:hanging="939"/>
        <w:spacing w:after="0" w:line="256" w:lineRule="auto"/>
        <w:tabs>
          <w:tab w:leader="none" w:pos="1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39" w:lineRule="exact"/>
        <w:rPr>
          <w:sz w:val="24"/>
          <w:szCs w:val="24"/>
          <w:color w:val="auto"/>
        </w:rPr>
      </w:pPr>
    </w:p>
    <w:p>
      <w:pPr>
        <w:ind w:left="1480" w:right="780" w:hanging="898"/>
        <w:spacing w:after="0" w:line="256" w:lineRule="auto"/>
        <w:tabs>
          <w:tab w:leader="none" w:pos="1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(Registrant formerly known as: Wireless Facilities, Inc.)</w:t>
      </w:r>
    </w:p>
    <w:p>
      <w:pPr>
        <w:spacing w:after="0" w:line="213"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13-3818604</w:t>
      </w:r>
    </w:p>
    <w:p>
      <w:pPr>
        <w:spacing w:after="0" w:line="21" w:lineRule="exact"/>
        <w:rPr>
          <w:sz w:val="24"/>
          <w:szCs w:val="24"/>
          <w:color w:val="auto"/>
        </w:rPr>
      </w:pPr>
    </w:p>
    <w:p>
      <w:pPr>
        <w:ind w:left="1800"/>
        <w:spacing w:after="0"/>
        <w:tabs>
          <w:tab w:leader="none" w:pos="732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incorporation or organization)</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(858) 812-7300</w:t>
      </w:r>
    </w:p>
    <w:p>
      <w:pPr>
        <w:spacing w:after="0" w:line="21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including zip code, and telephone number,</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Exchange Act):</w:t>
      </w:r>
    </w:p>
    <w:p>
      <w:pPr>
        <w:spacing w:after="0" w:line="186" w:lineRule="exact"/>
        <w:rPr>
          <w:sz w:val="24"/>
          <w:szCs w:val="24"/>
          <w:color w:val="auto"/>
        </w:rPr>
      </w:pPr>
    </w:p>
    <w:p>
      <w:pPr>
        <w:ind w:left="940"/>
        <w:spacing w:after="0" w:line="207" w:lineRule="exact"/>
        <w:tabs>
          <w:tab w:leader="none" w:pos="5000" w:val="left"/>
          <w:tab w:leader="none" w:pos="87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26, 2007, 74,196,924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69" w:right="5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105"/>
        </w:trPr>
        <w:tc>
          <w:tcPr>
            <w:tcW w:w="1060" w:type="dxa"/>
            <w:vAlign w:val="bottom"/>
          </w:tcPr>
          <w:p>
            <w:pPr>
              <w:spacing w:after="0"/>
              <w:rPr>
                <w:sz w:val="9"/>
                <w:szCs w:val="9"/>
                <w:color w:val="auto"/>
              </w:rPr>
            </w:pPr>
          </w:p>
        </w:tc>
        <w:tc>
          <w:tcPr>
            <w:tcW w:w="99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105"/>
        </w:trPr>
        <w:tc>
          <w:tcPr>
            <w:tcW w:w="1060" w:type="dxa"/>
            <w:vAlign w:val="bottom"/>
          </w:tcPr>
          <w:p>
            <w:pPr>
              <w:spacing w:after="0"/>
              <w:rPr>
                <w:sz w:val="9"/>
                <w:szCs w:val="9"/>
                <w:color w:val="auto"/>
              </w:rPr>
            </w:pPr>
          </w:p>
        </w:tc>
        <w:tc>
          <w:tcPr>
            <w:tcW w:w="99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216"/>
        </w:trPr>
        <w:tc>
          <w:tcPr>
            <w:tcW w:w="1060" w:type="dxa"/>
            <w:vAlign w:val="bottom"/>
            <w:shd w:val="clear" w:color="auto" w:fill="CCEEFF"/>
          </w:tcPr>
          <w:p>
            <w:pPr>
              <w:spacing w:after="0"/>
              <w:rPr>
                <w:sz w:val="18"/>
                <w:szCs w:val="18"/>
                <w:color w:val="auto"/>
              </w:rPr>
            </w:pPr>
          </w:p>
        </w:tc>
        <w:tc>
          <w:tcPr>
            <w:tcW w:w="9900" w:type="dxa"/>
            <w:vAlign w:val="bottom"/>
            <w:shd w:val="clear" w:color="auto" w:fill="CCEEFF"/>
          </w:tcPr>
          <w:p>
            <w:pPr>
              <w:jc w:val="center"/>
              <w:ind w:right="492"/>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44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 w:type="dxa"/>
            <w:vAlign w:val="bottom"/>
            <w:shd w:val="clear" w:color="auto" w:fill="CCEEFF"/>
          </w:tcPr>
          <w:p>
            <w:pPr>
              <w:spacing w:after="0"/>
              <w:rPr>
                <w:sz w:val="18"/>
                <w:szCs w:val="18"/>
                <w:color w:val="auto"/>
              </w:rPr>
            </w:pPr>
          </w:p>
        </w:tc>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Balance Sheets at December 31, 2006 and September 30, 2007 (unaudited)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w w:val="97"/>
              </w:rPr>
              <w:t>Consolidated Statements of Operations for the Three and Nine Months Ended September 30, 2006 and 2007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 w:type="dxa"/>
            <w:vAlign w:val="bottom"/>
            <w:shd w:val="clear" w:color="auto" w:fill="CCEEFF"/>
          </w:tcPr>
          <w:p>
            <w:pPr>
              <w:spacing w:after="0"/>
              <w:rPr>
                <w:sz w:val="18"/>
                <w:szCs w:val="18"/>
                <w:color w:val="auto"/>
              </w:rPr>
            </w:pPr>
          </w:p>
        </w:tc>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Statements of Cash Flows for the Nine Months Ended September 30, 2006 and 2007 (unaudited)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Notes to Consolidated Financial Statements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tcPr>
          <w:p>
            <w:pPr>
              <w:ind w:left="440"/>
              <w:spacing w:after="0"/>
              <w:rPr>
                <w:sz w:val="20"/>
                <w:szCs w:val="20"/>
                <w:color w:val="auto"/>
              </w:rPr>
            </w:pPr>
            <w:r>
              <w:rPr>
                <w:rFonts w:ascii="Arial" w:cs="Arial" w:eastAsia="Arial" w:hAnsi="Arial"/>
                <w:sz w:val="18"/>
                <w:szCs w:val="18"/>
                <w:color w:val="auto"/>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Controls and Procedures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457"/>
        </w:trPr>
        <w:tc>
          <w:tcPr>
            <w:tcW w:w="1060" w:type="dxa"/>
            <w:vAlign w:val="bottom"/>
          </w:tcPr>
          <w:p>
            <w:pPr>
              <w:spacing w:after="0"/>
              <w:rPr>
                <w:sz w:val="24"/>
                <w:szCs w:val="24"/>
                <w:color w:val="auto"/>
              </w:rPr>
            </w:pPr>
          </w:p>
        </w:tc>
        <w:tc>
          <w:tcPr>
            <w:tcW w:w="9900" w:type="dxa"/>
            <w:vAlign w:val="bottom"/>
          </w:tcPr>
          <w:p>
            <w:pPr>
              <w:jc w:val="center"/>
              <w:ind w:right="512"/>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tcPr>
          <w:p>
            <w:pPr>
              <w:spacing w:after="0"/>
              <w:rPr>
                <w:sz w:val="24"/>
                <w:szCs w:val="24"/>
                <w:color w:val="auto"/>
              </w:rPr>
            </w:pPr>
          </w:p>
        </w:tc>
      </w:tr>
      <w:tr>
        <w:trPr>
          <w:trHeight w:val="218"/>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Legal Proceedings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900" w:type="dxa"/>
            <w:vAlign w:val="bottom"/>
          </w:tcPr>
          <w:p>
            <w:pPr>
              <w:ind w:left="440"/>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Exhibits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430"/>
        </w:trPr>
        <w:tc>
          <w:tcPr>
            <w:tcW w:w="1060" w:type="dxa"/>
            <w:vAlign w:val="bottom"/>
          </w:tcPr>
          <w:p>
            <w:pPr>
              <w:spacing w:after="0"/>
              <w:rPr>
                <w:sz w:val="24"/>
                <w:szCs w:val="24"/>
                <w:color w:val="auto"/>
              </w:rPr>
            </w:pPr>
          </w:p>
        </w:tc>
        <w:tc>
          <w:tcPr>
            <w:tcW w:w="9900" w:type="dxa"/>
            <w:vAlign w:val="bottom"/>
          </w:tcPr>
          <w:p>
            <w:pPr>
              <w:jc w:val="center"/>
              <w:ind w:right="492"/>
              <w:spacing w:after="0"/>
              <w:rPr>
                <w:sz w:val="20"/>
                <w:szCs w:val="20"/>
                <w:color w:val="auto"/>
              </w:rPr>
            </w:pPr>
            <w:r>
              <w:rPr>
                <w:rFonts w:ascii="Arial" w:cs="Arial" w:eastAsia="Arial" w:hAnsi="Arial"/>
                <w:sz w:val="18"/>
                <w:szCs w:val="18"/>
                <w:color w:val="auto"/>
                <w:w w:val="79"/>
              </w:rPr>
              <w:t>2</w:t>
            </w:r>
          </w:p>
        </w:tc>
        <w:tc>
          <w:tcPr>
            <w:tcW w:w="460" w:type="dxa"/>
            <w:vAlign w:val="bottom"/>
          </w:tcPr>
          <w:p>
            <w:pPr>
              <w:spacing w:after="0"/>
              <w:rPr>
                <w:sz w:val="24"/>
                <w:szCs w:val="24"/>
                <w:color w:val="auto"/>
              </w:rPr>
            </w:pPr>
          </w:p>
        </w:tc>
      </w:tr>
      <w:tr>
        <w:trPr>
          <w:trHeight w:val="228"/>
        </w:trPr>
        <w:tc>
          <w:tcPr>
            <w:tcW w:w="106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-2449830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-2449830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4840" w:type="dxa"/>
            <w:vAlign w:val="bottom"/>
          </w:tcPr>
          <w:p>
            <w:pPr>
              <w:ind w:left="4140"/>
              <w:spacing w:after="0"/>
              <w:rPr>
                <w:sz w:val="20"/>
                <w:szCs w:val="20"/>
                <w:color w:val="auto"/>
              </w:rPr>
            </w:pPr>
            <w:r>
              <w:rPr>
                <w:rFonts w:ascii="Arial" w:cs="Arial" w:eastAsia="Arial" w:hAnsi="Arial"/>
                <w:sz w:val="18"/>
                <w:szCs w:val="18"/>
                <w:b w:val="1"/>
                <w:bCs w:val="1"/>
                <w:color w:val="auto"/>
              </w:rPr>
              <w:t>PART I.</w:t>
            </w:r>
          </w:p>
        </w:tc>
        <w:tc>
          <w:tcPr>
            <w:tcW w:w="344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FINANCIAL INFORMATION</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48"/>
        </w:trPr>
        <w:tc>
          <w:tcPr>
            <w:tcW w:w="828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w w:val="97"/>
              </w:rPr>
              <w:t>KRATOS DEFENSE &amp; SECURITY SOLUTIONS, INC.</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828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w w:val="96"/>
              </w:rPr>
              <w:t>CONSOLIDATED BALANCE SHEETS</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8280" w:type="dxa"/>
            <w:vAlign w:val="bottom"/>
            <w:gridSpan w:val="3"/>
          </w:tcPr>
          <w:p>
            <w:pPr>
              <w:jc w:val="center"/>
              <w:ind w:left="3030"/>
              <w:spacing w:after="0"/>
              <w:rPr>
                <w:sz w:val="20"/>
                <w:szCs w:val="20"/>
                <w:color w:val="auto"/>
              </w:rPr>
            </w:pPr>
            <w:r>
              <w:rPr>
                <w:rFonts w:ascii="Arial" w:cs="Arial" w:eastAsia="Arial" w:hAnsi="Arial"/>
                <w:sz w:val="18"/>
                <w:szCs w:val="18"/>
                <w:b w:val="1"/>
                <w:bCs w:val="1"/>
                <w:color w:val="auto"/>
                <w:w w:val="87"/>
              </w:rPr>
              <w:t>(in millions, except par value and number of shares)</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4840" w:type="dxa"/>
            <w:vAlign w:val="bottom"/>
          </w:tcPr>
          <w:p>
            <w:pPr>
              <w:spacing w:after="0"/>
              <w:rPr>
                <w:sz w:val="24"/>
                <w:szCs w:val="24"/>
                <w:color w:val="auto"/>
              </w:rPr>
            </w:pPr>
          </w:p>
        </w:tc>
        <w:tc>
          <w:tcPr>
            <w:tcW w:w="344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89"/>
              </w:rPr>
              <w:t>(Unaudited)</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0"/>
        </w:trPr>
        <w:tc>
          <w:tcPr>
            <w:tcW w:w="4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December 31, 2006</w:t>
            </w:r>
          </w:p>
        </w:tc>
        <w:tc>
          <w:tcPr>
            <w:tcW w:w="10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September 30, 2007</w:t>
            </w: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484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right"/>
              <w:ind w:right="2500"/>
              <w:spacing w:after="0" w:line="149" w:lineRule="exact"/>
              <w:rPr>
                <w:sz w:val="20"/>
                <w:szCs w:val="20"/>
                <w:color w:val="auto"/>
              </w:rPr>
            </w:pPr>
            <w:r>
              <w:rPr>
                <w:rFonts w:ascii="Arial" w:cs="Arial" w:eastAsia="Arial" w:hAnsi="Arial"/>
                <w:sz w:val="14"/>
                <w:szCs w:val="14"/>
                <w:b w:val="1"/>
                <w:bCs w:val="1"/>
                <w:color w:val="auto"/>
              </w:rPr>
              <w:t>Assets</w:t>
            </w:r>
          </w:p>
        </w:tc>
        <w:tc>
          <w:tcPr>
            <w:tcW w:w="13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3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Notes receivable</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2"/>
                <w:szCs w:val="12"/>
                <w:color w:val="auto"/>
              </w:rPr>
            </w:pPr>
          </w:p>
        </w:tc>
      </w:tr>
      <w:tr>
        <w:trPr>
          <w:trHeight w:val="172"/>
        </w:trPr>
        <w:tc>
          <w:tcPr>
            <w:tcW w:w="4840" w:type="dxa"/>
            <w:vAlign w:val="bottom"/>
          </w:tcPr>
          <w:p>
            <w:pPr>
              <w:ind w:left="220"/>
              <w:spacing w:after="0"/>
              <w:rPr>
                <w:sz w:val="20"/>
                <w:szCs w:val="20"/>
                <w:color w:val="auto"/>
              </w:rPr>
            </w:pPr>
            <w:r>
              <w:rPr>
                <w:rFonts w:ascii="Arial" w:cs="Arial" w:eastAsia="Arial" w:hAnsi="Arial"/>
                <w:sz w:val="14"/>
                <w:szCs w:val="14"/>
                <w:color w:val="auto"/>
              </w:rPr>
              <w:t>Current assets of discontinued operations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r>
      <w:tr>
        <w:trPr>
          <w:trHeight w:val="95"/>
        </w:trPr>
        <w:tc>
          <w:tcPr>
            <w:tcW w:w="4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4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20" w:type="dxa"/>
            <w:vAlign w:val="bottom"/>
            <w:shd w:val="clear" w:color="auto" w:fill="CCEEFF"/>
          </w:tcPr>
          <w:p>
            <w:pPr>
              <w:spacing w:after="0"/>
              <w:rPr>
                <w:sz w:val="12"/>
                <w:szCs w:val="12"/>
                <w:color w:val="auto"/>
              </w:rPr>
            </w:pPr>
          </w:p>
        </w:tc>
      </w:tr>
      <w:tr>
        <w:trPr>
          <w:trHeight w:val="297"/>
        </w:trPr>
        <w:tc>
          <w:tcPr>
            <w:tcW w:w="48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24"/>
                <w:szCs w:val="24"/>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Investments in unconsolidated affiliates</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r>
      <w:tr>
        <w:trPr>
          <w:trHeight w:val="172"/>
        </w:trPr>
        <w:tc>
          <w:tcPr>
            <w:tcW w:w="4840" w:type="dxa"/>
            <w:vAlign w:val="bottom"/>
          </w:tcPr>
          <w:p>
            <w:pPr>
              <w:spacing w:after="0"/>
              <w:rPr>
                <w:sz w:val="20"/>
                <w:szCs w:val="20"/>
                <w:color w:val="auto"/>
              </w:rPr>
            </w:pPr>
            <w:r>
              <w:rPr>
                <w:rFonts w:ascii="Arial" w:cs="Arial" w:eastAsia="Arial" w:hAnsi="Arial"/>
                <w:sz w:val="14"/>
                <w:szCs w:val="14"/>
                <w:color w:val="auto"/>
              </w:rPr>
              <w:t>Non current assets of discontinued operations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95"/>
        </w:trPr>
        <w:tc>
          <w:tcPr>
            <w:tcW w:w="4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4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3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w:t>
            </w:r>
          </w:p>
        </w:tc>
        <w:tc>
          <w:tcPr>
            <w:tcW w:w="220" w:type="dxa"/>
            <w:vAlign w:val="bottom"/>
            <w:shd w:val="clear" w:color="auto" w:fill="CCEEFF"/>
          </w:tcPr>
          <w:p>
            <w:pPr>
              <w:spacing w:after="0"/>
              <w:rPr>
                <w:sz w:val="12"/>
                <w:szCs w:val="12"/>
                <w:color w:val="auto"/>
              </w:rPr>
            </w:pPr>
          </w:p>
        </w:tc>
      </w:tr>
      <w:tr>
        <w:trPr>
          <w:trHeight w:val="105"/>
        </w:trPr>
        <w:tc>
          <w:tcPr>
            <w:tcW w:w="81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8180" w:type="dxa"/>
            <w:vAlign w:val="bottom"/>
            <w:gridSpan w:val="2"/>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r>
        <w:trPr>
          <w:trHeight w:val="496"/>
        </w:trPr>
        <w:tc>
          <w:tcPr>
            <w:tcW w:w="8280" w:type="dxa"/>
            <w:vAlign w:val="bottom"/>
            <w:gridSpan w:val="3"/>
          </w:tcPr>
          <w:p>
            <w:pPr>
              <w:ind w:left="4560"/>
              <w:spacing w:after="0"/>
              <w:rPr>
                <w:sz w:val="20"/>
                <w:szCs w:val="20"/>
                <w:color w:val="auto"/>
              </w:rPr>
            </w:pPr>
            <w:r>
              <w:rPr>
                <w:rFonts w:ascii="Arial" w:cs="Arial" w:eastAsia="Arial" w:hAnsi="Arial"/>
                <w:sz w:val="14"/>
                <w:szCs w:val="14"/>
                <w:b w:val="1"/>
                <w:bCs w:val="1"/>
                <w:color w:val="auto"/>
              </w:rPr>
              <w:t>Liabilities and Stockholders' Equity</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3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Accrued compensation</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Line of credit</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Billings in excess of costs on uncompleted contracts</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tax liabilities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Accrual for contingent acquisition consideration</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Accrual for unused office space</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Capital lease obligations</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r>
      <w:tr>
        <w:trPr>
          <w:trHeight w:val="172"/>
        </w:trPr>
        <w:tc>
          <w:tcPr>
            <w:tcW w:w="4840" w:type="dxa"/>
            <w:vAlign w:val="bottom"/>
          </w:tcPr>
          <w:p>
            <w:pPr>
              <w:ind w:left="220"/>
              <w:spacing w:after="0"/>
              <w:rPr>
                <w:sz w:val="20"/>
                <w:szCs w:val="20"/>
                <w:color w:val="auto"/>
              </w:rPr>
            </w:pPr>
            <w:r>
              <w:rPr>
                <w:rFonts w:ascii="Arial" w:cs="Arial" w:eastAsia="Arial" w:hAnsi="Arial"/>
                <w:sz w:val="14"/>
                <w:szCs w:val="14"/>
                <w:color w:val="auto"/>
              </w:rPr>
              <w:t>Current liabilities of discontinued operations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w:t>
            </w:r>
          </w:p>
        </w:tc>
        <w:tc>
          <w:tcPr>
            <w:tcW w:w="220" w:type="dxa"/>
            <w:vAlign w:val="bottom"/>
          </w:tcPr>
          <w:p>
            <w:pPr>
              <w:spacing w:after="0"/>
              <w:rPr>
                <w:sz w:val="14"/>
                <w:szCs w:val="14"/>
                <w:color w:val="auto"/>
              </w:rPr>
            </w:pPr>
          </w:p>
        </w:tc>
      </w:tr>
      <w:tr>
        <w:trPr>
          <w:trHeight w:val="95"/>
        </w:trPr>
        <w:tc>
          <w:tcPr>
            <w:tcW w:w="4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4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Accrual for unused office space, net of current portion</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2"/>
                <w:szCs w:val="12"/>
                <w:color w:val="auto"/>
              </w:rPr>
            </w:pPr>
          </w:p>
        </w:tc>
      </w:tr>
      <w:tr>
        <w:trPr>
          <w:trHeight w:val="172"/>
        </w:trPr>
        <w:tc>
          <w:tcPr>
            <w:tcW w:w="4840" w:type="dxa"/>
            <w:vAlign w:val="bottom"/>
          </w:tcPr>
          <w:p>
            <w:pPr>
              <w:spacing w:after="0"/>
              <w:rPr>
                <w:sz w:val="20"/>
                <w:szCs w:val="20"/>
                <w:color w:val="auto"/>
              </w:rPr>
            </w:pPr>
            <w:r>
              <w:rPr>
                <w:rFonts w:ascii="Arial" w:cs="Arial" w:eastAsia="Arial" w:hAnsi="Arial"/>
                <w:sz w:val="14"/>
                <w:szCs w:val="14"/>
                <w:color w:val="auto"/>
              </w:rPr>
              <w:t>Non current liabilities of discontinued operations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r>
      <w:tr>
        <w:trPr>
          <w:trHeight w:val="95"/>
        </w:trPr>
        <w:tc>
          <w:tcPr>
            <w:tcW w:w="4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4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220" w:type="dxa"/>
            <w:vAlign w:val="bottom"/>
            <w:shd w:val="clear" w:color="auto" w:fill="CCEEFF"/>
          </w:tcPr>
          <w:p>
            <w:pPr>
              <w:spacing w:after="0"/>
              <w:rPr>
                <w:sz w:val="12"/>
                <w:szCs w:val="12"/>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(Notes 5, 6, 7, 9 and 13)</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38"/>
        </w:trPr>
        <w:tc>
          <w:tcPr>
            <w:tcW w:w="8280" w:type="dxa"/>
            <w:vAlign w:val="bottom"/>
            <w:gridSpan w:val="3"/>
          </w:tcPr>
          <w:p>
            <w:pPr>
              <w:ind w:left="220"/>
              <w:spacing w:after="0" w:line="138" w:lineRule="exact"/>
              <w:rPr>
                <w:sz w:val="20"/>
                <w:szCs w:val="20"/>
                <w:color w:val="auto"/>
              </w:rPr>
            </w:pPr>
            <w:r>
              <w:rPr>
                <w:rFonts w:ascii="Arial" w:cs="Arial" w:eastAsia="Arial" w:hAnsi="Arial"/>
                <w:sz w:val="14"/>
                <w:szCs w:val="14"/>
                <w:color w:val="auto"/>
                <w:w w:val="99"/>
              </w:rPr>
              <w:t>Preferred stock, 5,000,000 shares authorized, Series B Convertible Preferred Stock, $.001 par value; 10,000 shares outstanding at</w:t>
            </w: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4840" w:type="dxa"/>
            <w:vAlign w:val="bottom"/>
          </w:tcPr>
          <w:p>
            <w:pPr>
              <w:ind w:left="220"/>
              <w:spacing w:after="0" w:line="159" w:lineRule="exact"/>
              <w:rPr>
                <w:sz w:val="20"/>
                <w:szCs w:val="20"/>
                <w:color w:val="auto"/>
              </w:rPr>
            </w:pPr>
            <w:r>
              <w:rPr>
                <w:rFonts w:ascii="Arial" w:cs="Arial" w:eastAsia="Arial" w:hAnsi="Arial"/>
                <w:sz w:val="14"/>
                <w:szCs w:val="14"/>
                <w:color w:val="auto"/>
                <w:w w:val="90"/>
              </w:rPr>
              <w:t>December 31, 2006 and September 30, 2007, (liquidation preference $5.0 million)</w:t>
            </w: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r>
      <w:tr>
        <w:trPr>
          <w:trHeight w:val="138"/>
        </w:trPr>
        <w:tc>
          <w:tcPr>
            <w:tcW w:w="828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w w:val="91"/>
              </w:rPr>
              <w:t>Common Stock, $.001 par value, 195,000,000 shares authorized; 73,883,950 shares and 74,061,650 issued and outstanding at December 31,</w:t>
            </w:r>
          </w:p>
        </w:tc>
        <w:tc>
          <w:tcPr>
            <w:tcW w:w="13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9"/>
        </w:trPr>
        <w:tc>
          <w:tcPr>
            <w:tcW w:w="4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2006 and September 30, 2007, respectively</w:t>
            </w:r>
          </w:p>
        </w:tc>
        <w:tc>
          <w:tcPr>
            <w:tcW w:w="3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r>
      <w:tr>
        <w:trPr>
          <w:trHeight w:val="149"/>
        </w:trPr>
        <w:tc>
          <w:tcPr>
            <w:tcW w:w="4840" w:type="dxa"/>
            <w:vAlign w:val="bottom"/>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391.7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392.8</w:t>
            </w:r>
          </w:p>
        </w:tc>
        <w:tc>
          <w:tcPr>
            <w:tcW w:w="220" w:type="dxa"/>
            <w:vAlign w:val="bottom"/>
          </w:tcPr>
          <w:p>
            <w:pPr>
              <w:spacing w:after="0"/>
              <w:rPr>
                <w:sz w:val="12"/>
                <w:szCs w:val="12"/>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deficit</w:t>
            </w:r>
          </w:p>
        </w:tc>
        <w:tc>
          <w:tcPr>
            <w:tcW w:w="3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(204.6)</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(234.0)</w:t>
            </w:r>
          </w:p>
        </w:tc>
      </w:tr>
      <w:tr>
        <w:trPr>
          <w:trHeight w:val="118"/>
        </w:trPr>
        <w:tc>
          <w:tcPr>
            <w:tcW w:w="4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266"/>
        </w:trPr>
        <w:tc>
          <w:tcPr>
            <w:tcW w:w="484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3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158.8</w:t>
            </w:r>
          </w:p>
        </w:tc>
        <w:tc>
          <w:tcPr>
            <w:tcW w:w="220" w:type="dxa"/>
            <w:vAlign w:val="bottom"/>
          </w:tcPr>
          <w:p>
            <w:pPr>
              <w:spacing w:after="0"/>
              <w:rPr>
                <w:sz w:val="23"/>
                <w:szCs w:val="23"/>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4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3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w:t>
            </w:r>
          </w:p>
        </w:tc>
        <w:tc>
          <w:tcPr>
            <w:tcW w:w="220" w:type="dxa"/>
            <w:vAlign w:val="bottom"/>
            <w:shd w:val="clear" w:color="auto" w:fill="CCEEFF"/>
          </w:tcPr>
          <w:p>
            <w:pPr>
              <w:spacing w:after="0"/>
              <w:rPr>
                <w:sz w:val="12"/>
                <w:szCs w:val="12"/>
                <w:color w:val="auto"/>
              </w:rPr>
            </w:pPr>
          </w:p>
        </w:tc>
      </w:tr>
      <w:tr>
        <w:trPr>
          <w:trHeight w:val="105"/>
        </w:trPr>
        <w:tc>
          <w:tcPr>
            <w:tcW w:w="4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484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-5965825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-5965825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-5965825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-5965825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-4867910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-4867910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-4867910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-4867910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-3864610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-3864610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-3864610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-3864610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-2063750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-2063750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-2063750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-2063750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-1532255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-1532255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-1532255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-1532255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-528955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-528955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-528955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-528955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-280035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-280035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-280035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-280035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7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restructuring charges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Stock option investigation and related fees</w:t>
            </w:r>
          </w:p>
        </w:tc>
        <w:tc>
          <w:tcPr>
            <w:tcW w:w="2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net</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6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-5783580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-5783580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-5783580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-5783580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-5535295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-5535295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-5535295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-5535295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-5535295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-5535295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-5535295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-5535295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-5106035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-5106035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-5106035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-5106035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-5106035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-5106035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-5106035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-5106035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-4403090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-4403090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-4403090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-4403090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-4403090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-4403090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-4403090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-4403090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-3700145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-3700145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-3700145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-3700145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-3700145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-3700145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-3700145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-3700145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-3408045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-3408045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-3408045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-3408045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-3408045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-3408045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-3408045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-3408045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-2979420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-2979420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-2979420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-2979420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-2979420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-2979420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-2979420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-2979420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-2550795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-2550795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-2550795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-2550795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-2550795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-2550795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-2550795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-2550795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-1675765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-1675765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-1675765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-1675765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-1675765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-1675765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-1675765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-1675765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-801370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-801370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-801370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-801370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-801370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-801370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-801370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-801370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from continuing operations to net cash provided by continuing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Write-off and disposal of fixed assets</w:t>
            </w:r>
          </w:p>
        </w:tc>
        <w:tc>
          <w:tcPr>
            <w:tcW w:w="1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Accrual for unused office space</w:t>
            </w:r>
          </w:p>
        </w:tc>
        <w:tc>
          <w:tcPr>
            <w:tcW w:w="1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contingent acquisition consideration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Billings in excess of costs on uncompleted contracts</w:t>
            </w:r>
          </w:p>
        </w:tc>
        <w:tc>
          <w:tcPr>
            <w:tcW w:w="1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8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86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operations</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Cash paid for contingent acquisition consideration</w:t>
            </w:r>
          </w:p>
        </w:tc>
        <w:tc>
          <w:tcPr>
            <w:tcW w:w="1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release of restricted cash</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Proceeds from the disposition of discontinued operations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84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6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Borrowings under line of credit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under line of credit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6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18"/>
        </w:trPr>
        <w:tc>
          <w:tcPr>
            <w:tcW w:w="88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860" w:type="dxa"/>
            <w:vAlign w:val="bottom"/>
            <w:gridSpan w:val="2"/>
          </w:tcPr>
          <w:p>
            <w:pPr>
              <w:spacing w:after="0"/>
              <w:rPr>
                <w:sz w:val="20"/>
                <w:szCs w:val="20"/>
                <w:color w:val="auto"/>
              </w:rPr>
            </w:pPr>
            <w:r>
              <w:rPr>
                <w:rFonts w:ascii="Arial" w:cs="Arial" w:eastAsia="Arial" w:hAnsi="Arial"/>
                <w:sz w:val="18"/>
                <w:szCs w:val="18"/>
                <w:color w:val="auto"/>
              </w:rPr>
              <w:t>Net cash flows of continuing operations</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Operating cash flows</w:t>
            </w:r>
          </w:p>
        </w:tc>
        <w:tc>
          <w:tcPr>
            <w:tcW w:w="1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cash flows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Financing cash flows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840" w:type="dxa"/>
            <w:vAlign w:val="bottom"/>
          </w:tcPr>
          <w:p>
            <w:pPr>
              <w:ind w:left="640"/>
              <w:spacing w:after="0"/>
              <w:rPr>
                <w:sz w:val="20"/>
                <w:szCs w:val="20"/>
                <w:color w:val="auto"/>
              </w:rPr>
            </w:pPr>
            <w:r>
              <w:rPr>
                <w:rFonts w:ascii="Arial" w:cs="Arial" w:eastAsia="Arial" w:hAnsi="Arial"/>
                <w:sz w:val="18"/>
                <w:szCs w:val="18"/>
                <w:color w:val="auto"/>
              </w:rPr>
              <w:t>Net cash flows of discontinued operations</w:t>
            </w:r>
          </w:p>
        </w:tc>
        <w:tc>
          <w:tcPr>
            <w:tcW w:w="16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60" w:type="dxa"/>
            <w:vAlign w:val="bottom"/>
            <w:gridSpan w:val="2"/>
            <w:vMerge w:val="continu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-8219440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-8219440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-7970520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-7970520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-7970520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-7970520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-7404735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-7404735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-7404735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-7404735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-4780280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-4780280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-4780280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-4780280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-4488815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-4488815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-4488815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-4488815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-3648075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-3648075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-3648075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-3648075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-3356610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-3356610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-3356610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-3356610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-2653665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-2653665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-2653665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-2653665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-2362200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-2362200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-2362200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-2362200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-1384300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-1384300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-1384300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-1384300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-1092835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-1092835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-1092835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-1092835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-664210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-664210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-664210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-664210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ectPr>
          <w:pgSz w:w="11900" w:h="16838" w:orient="portrait"/>
          <w:cols w:equalWidth="0" w:num="1">
            <w:col w:w="11420"/>
          </w:cols>
          <w:pgMar w:left="240" w:top="341" w:right="239" w:bottom="18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8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45"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Kratos Defense &amp; Security Solutions, Inc. ("Kratos" or "the Company") was initially incorporated in the state of New York on December 19, 1994 as Wireless Facilities, Inc. ("WFI"), commenced operations in March 1995 and was reincorporated in Delaware in 1998. Kratos historically conducted business in three segments: Wireless Network Services ("WNS"), Government Network Services ("GNS") and Enterprise Network Services ("ENS"). Kratos was an independent, global provider of outsourced communications and security systems engineering and integration services for the wireless communications industry through WNS, the U.S. government through GNS, and enterprise customers through ENS.</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2006 and 2007, the Company undertook a transformation strategy that culminated in the divestiture in 2007 of its wireless-related businesses and chose to aggressively pursue business with the federal government, primarily the U.S. Department of Defense, through strategic acquisition. See Note 6, Significant Transactions. The Company's divestiture of its European wireless engineering services business which was discontinued and held for sale in December 2006 was completed in March 2007. In addition, the Company's divestiture of its domestic wireless engineering services business was completed on June 4, 2007 and the Company's divestiture of its wireless deployment services business was completed on July 24, 2007. Accordingly, the accompanying financial statements reflect the domestic wireless engineering services business divestiture as of June 4, 2007 and the results of operations through the date of divestiture are reflected as discontinued operations in the accompanying statements of operations. Similarly, the accompanying financial statements reflect the Company's divestiture of its wireless network deployment business as of July 24, 2007, and the results of operations through the date of divestiture are reflected as discontinued operations in the accompanying financial statements.</w:t>
      </w:r>
    </w:p>
    <w:p>
      <w:pPr>
        <w:spacing w:after="0" w:line="17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a result of the divestment of the Company's wireless related assets and businesses in 2007, the Company changed its corporate name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All previous financial statements prior to September 12, 2007 were issued under the Company's previous name, Wireless Facilities, Inc.</w:t>
      </w:r>
    </w:p>
    <w:p>
      <w:pPr>
        <w:spacing w:after="0" w:line="194"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information as of September 30, 2007, and for the three and nine months ended September 30, 2006 and 2007 is unaudited. The consolidated balance sheet as of December 31, 2006 was derived from the Company's audited consolidated financial statements at that date. In the opinion of management, these unaudited consolidated financial statements include all adjustments, consisting of normal recurring adjustments, necessary for a fair presentation of our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These unaudited consolidated financial statements should be read in conjunction with the consolidated financial statements and the related notes included in the Company's annual consolidated financial statements for the year ended December 31, 2006, filed on Form 10-K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ind w:right="400"/>
        <w:spacing w:after="0" w:line="268" w:lineRule="auto"/>
        <w:rPr>
          <w:sz w:val="20"/>
          <w:szCs w:val="20"/>
          <w:color w:val="auto"/>
        </w:rPr>
      </w:pPr>
      <w:r>
        <w:rPr>
          <w:rFonts w:ascii="Arial" w:cs="Arial" w:eastAsia="Arial" w:hAnsi="Arial"/>
          <w:sz w:val="18"/>
          <w:szCs w:val="18"/>
          <w:color w:val="auto"/>
        </w:rPr>
        <w:t>September 11, 2007 with the United States Securities and Exchange Commission. Interim operating results are not necessarily indicative of operating results expected in subsequent periods or for the year as a whole.</w:t>
      </w:r>
    </w:p>
    <w:p>
      <w:pPr>
        <w:spacing w:after="0" w:line="19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Principles of Consolidation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the Company has no significant influence over the affiliates.</w:t>
      </w:r>
    </w:p>
    <w:p>
      <w:pPr>
        <w:spacing w:after="0" w:line="213"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Company's fiscal year end is on the last day of the year, December 31st. The interim fiscal periods are on the last day of the calendar month of each quarter.</w:t>
      </w:r>
    </w:p>
    <w:p>
      <w:pPr>
        <w:spacing w:after="0" w:line="19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194"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jc w:val="both"/>
        <w:ind w:right="80"/>
        <w:spacing w:after="0" w:line="259" w:lineRule="auto"/>
        <w:rPr>
          <w:sz w:val="20"/>
          <w:szCs w:val="20"/>
          <w:color w:val="auto"/>
        </w:rPr>
      </w:pPr>
      <w:r>
        <w:rPr>
          <w:rFonts w:ascii="Arial" w:cs="Arial" w:eastAsia="Arial" w:hAnsi="Arial"/>
          <w:sz w:val="18"/>
          <w:szCs w:val="18"/>
          <w:color w:val="auto"/>
        </w:rPr>
        <w:t>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quarter ended September 30, 2007.</w:t>
      </w:r>
    </w:p>
    <w:p>
      <w:pPr>
        <w:spacing w:after="0" w:line="194"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Under the terms of substantially all of the Company's fixed price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or other modifications are subject to reimbursement of costs incurred to date with a reasonable profit margin based on the contract value and completed work at that time. The inherent aforementioned risks are reflected in the Company's ongoing periodic assessment of the "total contract value" and the associated revenue recognized. Total net unbilled accounts receivable at December 31, 2006 and September 30, 2007 were $23.6 million and $24.6 million, respectively. Approximately, $0.2 million and $5.9 million of the unbilled receivables as of December 31, 2006 and September 30, 2007, respectively, are expected to be collected after one year as they are related to future milestone payments and retainages. Retainages receivable which are included in net unbilled accounts receivable are $0.5 million and $0.6 million as of December 31, 2006 and September 30, 2007, respectively, and $0.3 million and</w:t>
      </w:r>
    </w:p>
    <w:p>
      <w:pPr>
        <w:spacing w:after="0" w:line="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$0.4 million of this balance for the periods ended December 31, 2006 and September 30, 2007, respectively, are expected to be collected after one year. The Company periodically performs work under authorizations to proceed or work orders from its customers for which a formal purchase order may not be received until after the work has commenced. As of September 30, 2007, approximately $0.5 million of the Company's unbilled accounts receivable balance were under an authorization to proceed or work order from its customers where a formal purchase order had not yet been received. Included in accounts receivables are certain amounts that the Company is currently in settlement discussions with customers that are subject to arbitration proceedings in accordance with the contractual arrangements with those customers. The total amounts subject to these proceedings is approximately $3 million as of September 30, 2007. The Company believes that all the costs incurred related to these amounts are recoverable under the terms of these contracts. However, in the event the Company is unsuccessful in these arbitration proceedings, there could be further write-downs of the amounts recorded.</w:t>
      </w:r>
    </w:p>
    <w:p>
      <w:pPr>
        <w:spacing w:after="0" w:line="17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194"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61" w:lineRule="exact"/>
        <w:rPr>
          <w:sz w:val="20"/>
          <w:szCs w:val="20"/>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and are included in other current assets in the accompanying balance sheets.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2006 and September 30, 2007, the Company had $1.6 million and $1.9 million, respectively, of inventories which were reflected in Other Current Assets of continuing operations on the Consolidated Balance Sheets.</w:t>
      </w:r>
    </w:p>
    <w:p>
      <w:pPr>
        <w:spacing w:after="0" w:line="19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ind w:left="540" w:hanging="532"/>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accompanying statements of cash flows separately reflect the operating, investing and financing portions of the cash flows attributable to the Company's discontinued operations for each of the periods presented. These amounts were reported on a combined basis as a single amount in prior statements of cash flows. In addition, the balance sheets and statements of operations have been reclassified to present the discontinued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The Company is in the process of determining the impact of this statement on its consolidated financial statements.</w:t>
      </w:r>
    </w:p>
    <w:p>
      <w:pPr>
        <w:spacing w:after="0" w:line="172"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 xml:space="preserve">In February 2007, the FASB issued FASB Statement No.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198"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4" w:right="279" w:bottom="1440" w:gutter="0" w:footer="0" w:header="0"/>
        </w:sectPr>
      </w:pPr>
    </w:p>
    <w:bookmarkStart w:id="10" w:name="page11"/>
    <w:bookmarkEnd w:id="10"/>
    <w:p>
      <w:pPr>
        <w:ind w:right="100"/>
        <w:spacing w:after="0" w:line="268" w:lineRule="auto"/>
        <w:rPr>
          <w:sz w:val="20"/>
          <w:szCs w:val="20"/>
          <w:color w:val="auto"/>
        </w:rPr>
      </w:pPr>
      <w:r>
        <w:rPr>
          <w:rFonts w:ascii="Arial" w:cs="Arial" w:eastAsia="Arial" w:hAnsi="Arial"/>
          <w:sz w:val="18"/>
          <w:szCs w:val="18"/>
          <w:color w:val="auto"/>
        </w:rPr>
        <w:t xml:space="preserve">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Company is currently evaluating if it will elect the fair value option for any of its eligible financial instruments and other items.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May 2007, the FASB issued FASB Staff Position ("FSP") FIN 48-1 Definition of Settlement in FASB Interpretation No. 48 (FSP FIN 48-1). FSP FIN 48-1 provides guidance on how to determine whether a tax position is effectively settled for the purpose of recognizing previously unrecognized tax benefits. FSP FIN 48-1 is effective retroactively to January 1, 2007. The implementation of this standard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had the following three stock option plans under which shares were available for grant at September 30, 2007: the 1999 Equity Incentive Plan (the "1999 Plan"), the 2000 Non-Statutory Stock Option Plan (the "2000 Plan") and the 2005 Equity Incentive Plan (the "2005 Plan").</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January 10, 2007, the Compensation Committee of the Board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 We recognize compensation expense on a straight-line basis over the vesting periods based on the market price of our stock on the grant date. Of the shares granted in the first nine months of 2007, the vesting periods ranged from 11 months to 10 years with accelerated vesting occurring upon a change in control or termination. Upon exercise of the RSU, the Company issues new shares of stock.</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following table summarizes the Company's Restricted Stock Unit activity: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7"/>
              </w:rPr>
              <w:t>Restricted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5"/>
              </w:rPr>
              <w:t>Stock Units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74"/>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340" w:type="dxa"/>
            <w:vAlign w:val="bottom"/>
          </w:tcPr>
          <w:p>
            <w:pPr>
              <w:spacing w:after="0"/>
              <w:rPr>
                <w:sz w:val="15"/>
                <w:szCs w:val="15"/>
                <w:color w:val="auto"/>
              </w:rPr>
            </w:pPr>
          </w:p>
        </w:tc>
        <w:tc>
          <w:tcPr>
            <w:tcW w:w="1260" w:type="dxa"/>
            <w:vAlign w:val="bottom"/>
          </w:tcPr>
          <w:p>
            <w:pPr>
              <w:jc w:val="center"/>
              <w:ind w:left="412"/>
              <w:spacing w:after="0"/>
              <w:rPr>
                <w:sz w:val="20"/>
                <w:szCs w:val="20"/>
                <w:color w:val="auto"/>
              </w:rPr>
            </w:pPr>
            <w:r>
              <w:rPr>
                <w:rFonts w:ascii="Arial" w:cs="Arial" w:eastAsia="Arial" w:hAnsi="Arial"/>
                <w:sz w:val="14"/>
                <w:szCs w:val="14"/>
                <w:b w:val="1"/>
                <w:bCs w:val="1"/>
                <w:color w:val="auto"/>
                <w:w w:val="86"/>
              </w:rPr>
              <w:t>(000's)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beginning of year</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Grants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2,676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Cancellations/Forfeitures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restricted stock units, September 30, 2007</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2,506</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-1026160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-1026160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-1026160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-1026160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Effective January 2007, for various business reasons, the Company discontinued issuing stock option grants as a form of incentive compensation in lieu of other equity-based incentives. Prior to that time, the Company issued stock option grants as a form of incentive compensation.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right="60" w:firstLine="348"/>
        <w:spacing w:after="0" w:line="298" w:lineRule="auto"/>
        <w:rPr>
          <w:sz w:val="20"/>
          <w:szCs w:val="20"/>
          <w:color w:val="auto"/>
        </w:rPr>
      </w:pPr>
      <w:r>
        <w:rPr>
          <w:rFonts w:ascii="Arial" w:cs="Arial" w:eastAsia="Arial" w:hAnsi="Arial"/>
          <w:sz w:val="16"/>
          <w:szCs w:val="16"/>
          <w:color w:val="auto"/>
        </w:rPr>
        <w:t>The following table shows the amounts recognized in the financial statements for the three and nine months ended September 30, 2006 and 2007 for share-based compensation expense related to employees (in millions, except per share data). The share based compensation expense for the three and nine months ended September 30, 2006 relates to stock option grants and the compensation expense for the three and nine months ended September 30, 2007 primarily relates to the grant of restricted stock units. All outstanding restricted stock unit grants as of September 30, 2007 were unvested.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9"/>
              </w:rPr>
              <w:t>For the Three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8"/>
              </w:rPr>
              <w:t>For the Nine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4"/>
              </w:rPr>
              <w:t>September 30</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7"/>
              </w:rPr>
              <w:t>September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254"/>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cost of employee share-based compensation included in loss from continuing operations,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before income tax</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Amount increasing loss from continuing operations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 charged against income (loss) from discontinued operations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Amount increasing net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20" w:type="dxa"/>
            <w:vAlign w:val="bottom"/>
            <w:gridSpan w:val="2"/>
          </w:tcPr>
          <w:p>
            <w:pPr>
              <w:spacing w:after="0"/>
              <w:rPr>
                <w:sz w:val="20"/>
                <w:szCs w:val="20"/>
                <w:color w:val="auto"/>
              </w:rPr>
            </w:pPr>
            <w:r>
              <w:rPr>
                <w:rFonts w:ascii="Arial" w:cs="Arial" w:eastAsia="Arial" w:hAnsi="Arial"/>
                <w:sz w:val="18"/>
                <w:szCs w:val="18"/>
                <w:color w:val="auto"/>
              </w:rPr>
              <w:t>Total impact on net loss per common share:</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-2477770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-2477770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-2477770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-2477770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-2228850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-2228850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-2228850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-2228850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-2228850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-2228850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-2228850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-2228850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-1800225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-1800225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-1800225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-1800225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-1800225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-1800225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-1800225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-1800225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-1233805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-1233805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-1233805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-1233805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-1233805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-1233805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-1233805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-1233805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-805180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-805180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-805180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-805180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-805180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-805180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-805180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-805180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expense for 2007 is primarily related to restricted stock units that were granted in the first quarter of 2007. In addition, for the three and nine months ended September 30, 2006 and 2007, there were no incremental tax benefits from stock options exercised in those periods.</w:t>
      </w:r>
    </w:p>
    <w:p>
      <w:pPr>
        <w:spacing w:after="0" w:line="139"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Total unrecognized compensation cost related to unvested stock options at September 30, 2007 was approximately $25,000, which is expected to be expensed over a weighted average period of 1.2 years. Total unrecognized compensation cost related to unvested RSU's at September 30, 2007 was $5.1 million which is expected to be expensed over a period of 9.3 years. The total intrinsic value of options exercised during the three and nine months ended September 30, 2006 was approximately $2,000 and $182,000, respectively, and for the three and nine months ended September 30, 2007 was zero and $3,000, respectively. The total fair value of RSU's vested for the three and nine months ended September 30, 2007 was zero and $0.3 million,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stockholders' equity for the nine months ended September 30, 2007 were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5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4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Cumulative effect adjustment upon adoption of FIN No. 48 (Note 5)</w:t>
            </w:r>
          </w:p>
        </w:tc>
        <w:tc>
          <w:tcPr>
            <w:tcW w:w="4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5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4720" w:type="dxa"/>
            <w:vAlign w:val="bottom"/>
            <w:vMerge w:val="restart"/>
          </w:tcPr>
          <w:p>
            <w:pPr>
              <w:jc w:val="right"/>
              <w:ind w:right="405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4720" w:type="dxa"/>
            <w:vAlign w:val="bottom"/>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-820420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-820420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calculates net income (loss) per share in accordance with the provisions of SFAS No. 128, "Earnings Per Share". Under SFAS No. 128, basic net income (loss) per common share is calculated by dividing net income (loss) by the weighted-average number of common shares outstanding during the reporting period. The Company adopted EITF No. 03-6 "Participating Securities and the Two-Class Method Under FASB Statement No. 128" on January 1, 2006. In accordance with EITF No. 03-6, the Company determined that its Series B Convertible Preferred Stock were participating securities and therefore were required to be included in the weighted average basic shares if dilutive. Diluted net income (loss) per common share reflects the effects of potentially dilutive securities. Weighted average shares used to compute basic and diluted net income (loss) per share are presented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9"/>
              </w:rPr>
              <w:t>For the Three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8"/>
              </w:rPr>
              <w:t>For the Nine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left="316"/>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left="336"/>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4"/>
              </w:rPr>
              <w:t>September 30</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253"/>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7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05"/>
        </w:trPr>
        <w:tc>
          <w:tcPr>
            <w:tcW w:w="69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4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40" w:type="dxa"/>
            <w:vAlign w:val="bottom"/>
            <w:gridSpan w:val="2"/>
          </w:tcPr>
          <w:p>
            <w:pPr>
              <w:spacing w:after="0"/>
              <w:rPr>
                <w:sz w:val="20"/>
                <w:szCs w:val="20"/>
                <w:color w:val="auto"/>
              </w:rPr>
            </w:pPr>
            <w:r>
              <w:rPr>
                <w:rFonts w:ascii="Arial" w:cs="Arial" w:eastAsia="Arial" w:hAnsi="Arial"/>
                <w:sz w:val="18"/>
                <w:szCs w:val="18"/>
                <w:color w:val="auto"/>
              </w:rPr>
              <w:t>Shares used in basic per share amounts: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used in diluted per share amounts: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Dilutive weighted average shares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 from continuing operations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Basic net income (loss) per share from discontinued operations</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05"/>
        </w:trPr>
        <w:tc>
          <w:tcPr>
            <w:tcW w:w="69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4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940" w:type="dxa"/>
            <w:vAlign w:val="bottom"/>
            <w:gridSpan w:val="2"/>
          </w:tcPr>
          <w:p>
            <w:pPr>
              <w:spacing w:after="0"/>
              <w:rPr>
                <w:sz w:val="20"/>
                <w:szCs w:val="20"/>
                <w:color w:val="auto"/>
              </w:rPr>
            </w:pPr>
            <w:r>
              <w:rPr>
                <w:rFonts w:ascii="Arial" w:cs="Arial" w:eastAsia="Arial" w:hAnsi="Arial"/>
                <w:sz w:val="18"/>
                <w:szCs w:val="18"/>
                <w:color w:val="auto"/>
              </w:rPr>
              <w:t>Diluted net loss per share from continuing operations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(loss) per share from discontinued operations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18"/>
        </w:trPr>
        <w:tc>
          <w:tcPr>
            <w:tcW w:w="694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40" w:type="dxa"/>
            <w:vAlign w:val="bottom"/>
            <w:gridSpan w:val="2"/>
          </w:tcPr>
          <w:p>
            <w:pPr>
              <w:spacing w:after="0"/>
              <w:rPr>
                <w:sz w:val="20"/>
                <w:szCs w:val="20"/>
                <w:color w:val="auto"/>
              </w:rPr>
            </w:pPr>
            <w:r>
              <w:rPr>
                <w:rFonts w:ascii="Arial" w:cs="Arial" w:eastAsia="Arial" w:hAnsi="Arial"/>
                <w:sz w:val="18"/>
                <w:szCs w:val="18"/>
                <w:color w:val="auto"/>
              </w:rPr>
              <w:t>Diluted net loss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Anti-dilutive weighted average shares from assumed conversion of Series B Convertible</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w w:val="94"/>
              </w:rPr>
              <w:t>Anti-dilutive weighted average shares from stock options and restricted stock units excluded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from calculation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per share market value of common stock</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Average outstanding stock option exercise price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-4381500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-4381500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-4381500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-4381500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-4132580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-4132580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-4132580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-4132580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-4132580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-4132580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-4132580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-4132580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-3703955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-3703955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-3703955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-3703955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-3703955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-3703955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-3703955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-3703955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-2691765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-2691765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-2691765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-2691765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-2691765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-2691765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-2691765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-2691765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-1954530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-1954530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-1954530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-1954530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-1954530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-1954530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-1954530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-1954530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-1216660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-1216660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-1216660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-1216660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-1216660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-1216660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-1216660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-1216660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 July 2006, the FASB issued Interpretation No. 48, Accounting for Uncertainty in Income Taxes—An Interpretation of FASB Statement No. 109 ("FIN 48"). FIN 48 clarifies the accounting for uncertainty in income taxes recognized in an entity's financial statements in accordance with FASB Statement No. 109, Accounting for Income Taxes, and prescribes a recognition threshold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right="20"/>
        <w:spacing w:after="0" w:line="298" w:lineRule="auto"/>
        <w:rPr>
          <w:sz w:val="20"/>
          <w:szCs w:val="20"/>
          <w:color w:val="auto"/>
        </w:rPr>
      </w:pPr>
      <w:r>
        <w:rPr>
          <w:rFonts w:ascii="Arial" w:cs="Arial" w:eastAsia="Arial" w:hAnsi="Arial"/>
          <w:sz w:val="16"/>
          <w:szCs w:val="16"/>
          <w:color w:val="auto"/>
        </w:rPr>
        <w:t>measurement attributes for financial statement disclosure of tax positions taken or expected to be taken on a tax return. Under FIN 48, the impact of an uncertain income tax position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adopted the provisions of FIN 48 on January 1, 2007. The total liability for unrecognized tax benefits as of the date of adoption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As a result of the implementation of FIN 48, the Company recognized a $0.7 million increase in the liability for unrecognized tax benefits,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net decrease in valuation allowance, $0.1 million charged to retained earnings, and $0.4 million recorded to goodwill. In addition,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its gross deferred tax assets by $10.8 million for unrecognized tax benefits, which was offset by a reduction in its valuation allowance by the same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Included in the FIN 48 liability of $15.1 million of unrecognized tax benefits at January 1, 2007 are $4.3 million of unrecognized tax benefits related to current liabilities, which if recognized, would impact the effective tax rate. The Company has an additional $10.8 million of unrecognized tax benefits, which if recognized, would also impact the effective tax rate, subject to the Company's ability to recognize the resulting deferred tax asset. Recognition of the resulting deferred tax asset may be offset by an increase in the Company's valuation allowance, resulting in no benefit to the effective tax rate.</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provision for income taxes. Upon adoption of FIN 48 on January 1, 2007, the Company did not record any interest or penalties.</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is subject to taxation in the U.S., various state and foreign tax jurisdictions. The Company's tax years for 2001 and forward are subject to examination by the U.S., foreign and state tax authorities due to the existence of net operating loss carryforwards.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nine months ended September 30, 2007, the Company's liability for unrecognized tax benefits was reduced by $1.4 million to a balance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$3.3 million at September 30, 2007. The reduction was the result of the expiration of the statute of limitations for certain federal, foreign and state tax returns. The recognition of these tax benefits resulted in a credit to the tax provision of $1.2 million through discontinued operations and a reduction to goodwill for $0.2 million.</w:t>
      </w:r>
    </w:p>
    <w:p>
      <w:pPr>
        <w:spacing w:after="0" w:line="19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197"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As of September 30, 2007, the Company had a net deferred tax liability of $1.8 million. The deferred tax assets and liabilities are allocated based upon the underlying asset or liability that produced the deferred taxes. As of September 30, 2007, there were no deferred tax assets or liabilities allocated to discontinued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Significant Transactions</w:t>
      </w:r>
    </w:p>
    <w:p>
      <w:pPr>
        <w:spacing w:after="0" w:line="24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Discontinued Operations—Latin American and South American, EMEA Operations, and WNS Operations</w:t>
      </w:r>
    </w:p>
    <w:p>
      <w:pPr>
        <w:spacing w:after="0" w:line="225" w:lineRule="exact"/>
        <w:rPr>
          <w:sz w:val="20"/>
          <w:szCs w:val="20"/>
          <w:color w:val="auto"/>
        </w:rPr>
      </w:pPr>
    </w:p>
    <w:p>
      <w:pPr>
        <w:jc w:val="both"/>
        <w:ind w:right="260" w:firstLine="351"/>
        <w:spacing w:after="0" w:line="323" w:lineRule="auto"/>
        <w:rPr>
          <w:sz w:val="20"/>
          <w:szCs w:val="20"/>
          <w:color w:val="auto"/>
        </w:rPr>
      </w:pPr>
      <w:r>
        <w:rPr>
          <w:rFonts w:ascii="Arial" w:cs="Arial" w:eastAsia="Arial" w:hAnsi="Arial"/>
          <w:sz w:val="15"/>
          <w:szCs w:val="15"/>
          <w:color w:val="auto"/>
        </w:rPr>
        <w:t>On December 28, 2006, the Board of Directors of the Company approved a plan to divest portions of the Company's business where critical mass had not been achieved. This plan involved the divestiture of the Company's EMEA operations and its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commencing as of and for the year ended December 31, 2006.</w:t>
      </w:r>
    </w:p>
    <w:p>
      <w:pPr>
        <w:spacing w:after="0" w:line="15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March 9, 2007, the Company signed a Definitive Agreement with LCC International (LCCI) to sell the Company's EMEA operations in a cash for stock transaction valued at $4 million. The transactions contemplated by the agreement were completed on March 9, 2007 resulting in a gain on disposition of approximately $3.3 million recorded in the first quarter of 2007.</w:t>
      </w:r>
    </w:p>
    <w:p>
      <w:pPr>
        <w:spacing w:after="0" w:line="194"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In the second quarter of 2007, when this business was sold, a gain on disposition of $0.2 million was recorded primarily due to lower than expected selling costs.</w:t>
      </w:r>
    </w:p>
    <w:p>
      <w:pPr>
        <w:spacing w:after="0" w:line="174"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On May 29, 2007, the Company entered into an Asset Purchase Agreement (the "</w:t>
      </w:r>
      <w:r>
        <w:rPr>
          <w:rFonts w:ascii="Arial" w:cs="Arial" w:eastAsia="Arial" w:hAnsi="Arial"/>
          <w:sz w:val="15"/>
          <w:szCs w:val="15"/>
          <w:i w:val="1"/>
          <w:iCs w:val="1"/>
          <w:color w:val="auto"/>
        </w:rPr>
        <w:t>Acquisition Agreement</w:t>
      </w:r>
      <w:r>
        <w:rPr>
          <w:rFonts w:ascii="Arial" w:cs="Arial" w:eastAsia="Arial" w:hAnsi="Arial"/>
          <w:sz w:val="15"/>
          <w:szCs w:val="15"/>
          <w:color w:val="auto"/>
        </w:rPr>
        <w:t>") with LCCI pursuant to which the Company agreed to sell to LCCI all of the assets used in the conduct of the operation of the Company's Wireless Network Services business segment that provides engineering services to the non-government wireless communications industry in the United States on the terms set forth in the Acquisition Agreement, subject to the satisfaction of certain closing conditions. The Board of Directors of each of the Company and LCCI approved the Acquisition and the Acquisition Agreement.</w:t>
      </w:r>
    </w:p>
    <w:p>
      <w:pPr>
        <w:spacing w:after="0" w:line="15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aggregate consideration paid by LCCI in connection with the Acquisition was $46 million, subject to certain adjustments. Pursuant to the terms of the Acquisition Agreement, LCCI delivered a subordinated promissory note for the principal amount of $21.6 million (the "</w:t>
      </w:r>
      <w:r>
        <w:rPr>
          <w:rFonts w:ascii="Arial" w:cs="Arial" w:eastAsia="Arial" w:hAnsi="Arial"/>
          <w:sz w:val="16"/>
          <w:szCs w:val="16"/>
          <w:i w:val="1"/>
          <w:iCs w:val="1"/>
          <w:color w:val="auto"/>
        </w:rPr>
        <w:t>Subordinated Promissory Note</w:t>
      </w:r>
      <w:r>
        <w:rPr>
          <w:rFonts w:ascii="Arial" w:cs="Arial" w:eastAsia="Arial" w:hAnsi="Arial"/>
          <w:sz w:val="16"/>
          <w:szCs w:val="16"/>
          <w:color w:val="auto"/>
        </w:rPr>
        <w:t>"), subject to working capital adjustments, and paid $17 million in cash at the closing, and the Company has retained an estimated $7.4 million in net accounts receivable of the Business, subject to working capital adjustments. The transaction was completed on June 4, 2007.</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July 5, 2007, the Company announced that it had sold the $21.6 million Subordinated Promissory Note in a transaction arranged by KeyBanc Capital Markets ("KeyBanc"). The Company received approximately $19.6 million in net cash proceeds, reflecting a discount from par value of less than five percent and aggregate transaction fees of approximately $1 million, which includes a $0.75 million fee to KeyBanc, an affiliate of the Company's lender. The note was acquired by a fund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affiliated with Silver Point Capital, L.P. ("Silver Point"). The Company did not provide any guaranty for LCCI's payment obligations. Certain post closing adjustments that, under the terms of the sale of the U.S. Wireless Engineering business were expected to be made to the principal amount of the Note, may instead be made by payments between Kratos and LCCI, or between Silver Point and the Company, as applicable.</w:t>
      </w:r>
    </w:p>
    <w:p>
      <w:pPr>
        <w:spacing w:after="0" w:line="194"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On August 10, 2007, in accordance with the terms of the Acquisition Agreement, the Company provided the closing balance sheet working capital calculation, which indicated a $2.6 million working capital adjustment was due to the Company as an increase to the balance of the Subordinated Promissory Note. LCCI had thirty days to review the calculation and notify the Company of any dispute. The Company and LCCI have agreed to a final working capital calculation of $2.4 million. This amount is presented as part of notes receivable in the consolidated balance sheet as of September 30, 2007.</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7, 2007, the Company entered into a definitive agreement with an affiliate of Platinum Equity to sell the Company's Wireless Deployment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Platinum is a Los Angeles based private equity firm whose portfolio includes service and distribution businesses in a number of market sectors.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for the acquisition is $24 million including $18 million in cash at closing, subject to post closing working capital adjustments, and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 million in a three-year earn-out arrangement through 2010. The deal includes a Transition Services Agreement for the transition of certain services for a period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nine months. The assets sold to an affiliate of Platinum Equity include all of the Company's Wireless Deployment business, and the Wireless Facilities 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closed on July 24, 2007.</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September 25, 2007, in accordance with the terms of the Acquisition Agreement, the Company provided the working capital calculation to Platinum Equity, which indicated a $3.1 million working capital adjustment was due to Platinum primarily due to cash collected on accounts receivables by the Company prior to the close of the transaction that exceeded the Company's previous estimate of working capital to be delivered to Platinum. In addition, there is approximately $1.0 million of potential additional working capital adjustments pending the final settlement of a customer contract termination issue. Platinum is currently in the process of reviewing the Company's working capital calculation. The Company expects to pay the $3.1 million working capital adjustment to Platinum in November 2007 and is working with Platinum regarding the treatment of the $1.0 million in potential working capital adjustments related to the customer contract termination issue, as well as any other adjustments that Platinum may propose following completion of its review of the working capital computation. As of September 30, 2007, the balance of $4.1 million has been reflected in other current liabilities in the accompanying consolidated balance sheets.</w:t>
      </w:r>
    </w:p>
    <w:p>
      <w:pPr>
        <w:spacing w:after="0" w:line="17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Company determined that the U.S. engineering and U.S. deployment operations met the criteria to be classified as held for sale in the first quarter of 2007. Accordingly, the Company has reflected these operations as discontinued and assessed these assets for impairment in accordance with SFAS No. 144, "Accounting for the Impairment or Disposal of Long-Lived Assets". The Company determined that the assets of the U.S. deployment operations were impaired and recorded an impairment charge of approximately $13.4 million in the first quarter of 2007. The fair value of the assets was determined by utilizing the sale price less estimated costs to sell the business. The Company recorded a gain in discontinued operations from the sale of the U.S. engineering operations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$14.8 million in the second quarter of 2007. Upon the divestiture of the deployment business on July 24, 2007, the Company recorded a loss from disposal of</w:t>
      </w:r>
    </w:p>
    <w:p>
      <w:pPr>
        <w:spacing w:after="0" w:line="38" w:lineRule="exact"/>
        <w:rPr>
          <w:sz w:val="20"/>
          <w:szCs w:val="20"/>
          <w:color w:val="auto"/>
        </w:rPr>
      </w:pPr>
    </w:p>
    <w:p>
      <w:pPr>
        <w:jc w:val="both"/>
        <w:ind w:right="100"/>
        <w:spacing w:after="0" w:line="323" w:lineRule="auto"/>
        <w:rPr>
          <w:sz w:val="20"/>
          <w:szCs w:val="20"/>
          <w:color w:val="auto"/>
        </w:rPr>
      </w:pPr>
      <w:r>
        <w:rPr>
          <w:rFonts w:ascii="Arial" w:cs="Arial" w:eastAsia="Arial" w:hAnsi="Arial"/>
          <w:sz w:val="16"/>
          <w:szCs w:val="16"/>
          <w:color w:val="auto"/>
        </w:rPr>
        <w:t>$1.9 million, reflecting the closing working capital adjustment and final closing balance sheet. In addition, the Company recorded a charge in the third quarter of 2007 for an excess facility accrual of approximately $1.1 million related to certain facility leases of Deployment field offices that were not assumed by Platinum.</w:t>
      </w:r>
    </w:p>
    <w:p>
      <w:pPr>
        <w:spacing w:after="0" w:line="14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the Company's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 approximately $7.2 million related to goodwill for this reporting unit which was recorded in the first quarter of 2007.</w:t>
      </w:r>
    </w:p>
    <w:p>
      <w:pPr>
        <w:spacing w:after="0" w:line="198"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wireless network services business was allocated to discontinued operations for the periods presented. During the three and nine month periods ended September 30, 2007, interest expense allocated to discontinued operations was approximately $0.1 million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$2.2 million, respectively. During the three and nine month periods ended September 30, 2006, no interest expense was allocated to discontinued operations as the Company entered into its current credit agreement on October 2, 2006.</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revenue of discontinued operations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For the Three</w:t>
            </w:r>
          </w:p>
        </w:tc>
        <w:tc>
          <w:tcPr>
            <w:tcW w:w="22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For the Nine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2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Months Ended</w:t>
            </w: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4"/>
              </w:rPr>
              <w:t>September 30</w:t>
            </w:r>
          </w:p>
        </w:tc>
        <w:tc>
          <w:tcPr>
            <w:tcW w:w="220" w:type="dxa"/>
            <w:vAlign w:val="bottom"/>
          </w:tcPr>
          <w:p>
            <w:pPr>
              <w:spacing w:after="0"/>
              <w:rPr>
                <w:sz w:val="15"/>
                <w:szCs w:val="15"/>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61"/>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2007</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South America</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EMEA</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U.S. wireless engineering</w:t>
            </w:r>
          </w:p>
        </w:tc>
        <w:tc>
          <w:tcPr>
            <w:tcW w:w="1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U.S. wireless deployment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of discontinued operations</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60" w:type="dxa"/>
            <w:vAlign w:val="bottom"/>
            <w:vMerge w:val="restart"/>
          </w:tcPr>
          <w:p>
            <w:pPr>
              <w:jc w:val="right"/>
              <w:ind w:right="25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-1772285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-1772285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-1772285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-1772285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-1523365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-1523365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-1523365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-1523365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-1523365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-1523365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-1523365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-1523365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-820420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-820420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-820420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-820420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-820420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-820420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-820420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-820420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left="360"/>
        <w:spacing w:after="0"/>
        <w:rPr>
          <w:sz w:val="20"/>
          <w:szCs w:val="20"/>
          <w:color w:val="auto"/>
        </w:rPr>
      </w:pPr>
      <w:r>
        <w:rPr>
          <w:rFonts w:ascii="Arial" w:cs="Arial" w:eastAsia="Arial" w:hAnsi="Arial"/>
          <w:sz w:val="18"/>
          <w:szCs w:val="18"/>
          <w:color w:val="auto"/>
        </w:rPr>
        <w:t>The following table presents the net income (loss) before tax of discontinued operations (in millions):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For the Three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4"/>
          </w:tcPr>
          <w:p>
            <w:pPr>
              <w:jc w:val="center"/>
              <w:ind w:left="281"/>
              <w:spacing w:after="0"/>
              <w:rPr>
                <w:sz w:val="20"/>
                <w:szCs w:val="20"/>
                <w:color w:val="auto"/>
              </w:rPr>
            </w:pPr>
            <w:r>
              <w:rPr>
                <w:rFonts w:ascii="Arial" w:cs="Arial" w:eastAsia="Arial" w:hAnsi="Arial"/>
                <w:sz w:val="14"/>
                <w:szCs w:val="14"/>
                <w:b w:val="1"/>
                <w:bCs w:val="1"/>
                <w:color w:val="auto"/>
                <w:w w:val="88"/>
              </w:rPr>
              <w:t>For the Nine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8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8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176"/>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South America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EMEA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wireless engineering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wireless deployment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Net income (loss) before tax of discontinued operations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-1275080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-1275080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-1275080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-1275080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-1026160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-1026160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-1026160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-1026160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-1026160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-1026160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-1026160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-1026160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-323215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net income (loss) of discontinued operations (in millions):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For the Three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4"/>
          </w:tcPr>
          <w:p>
            <w:pPr>
              <w:jc w:val="center"/>
              <w:ind w:left="281"/>
              <w:spacing w:after="0"/>
              <w:rPr>
                <w:sz w:val="20"/>
                <w:szCs w:val="20"/>
                <w:color w:val="auto"/>
              </w:rPr>
            </w:pPr>
            <w:r>
              <w:rPr>
                <w:rFonts w:ascii="Arial" w:cs="Arial" w:eastAsia="Arial" w:hAnsi="Arial"/>
                <w:sz w:val="14"/>
                <w:szCs w:val="14"/>
                <w:b w:val="1"/>
                <w:bCs w:val="1"/>
                <w:color w:val="auto"/>
                <w:w w:val="88"/>
              </w:rPr>
              <w:t>For the Nine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8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8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176"/>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South America</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EMEA</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U.S. wireless engineering</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U.S. wireless deployment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of discontinued operations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-1275080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-1275080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-1275080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-1275080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-1026160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-1026160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-1026160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-1026160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-1026160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-1026160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-1026160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-1026160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-323215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Total tax expense for discontinued operations was $0.3 million for the three months ended September 30, 2006 and 2007, respectively. The tax expense of $0.3 million for the three months ended September 30, 2007 for discontinued operations relates to interest and foreign currency translation adjustments on liabilities for uncertain tax positions for which the Company remains liable. Total tax expense for discontinued operations was $1.6 million for the nine months ended September 30, 2006 and total tax benefit was $0.8 million for discontinued operations for the nine months ended September 30, 2007. The $0.8 million tax benefit for the nine months ended September 30, 2007 included an income tax benefit of $1.2 million due to a reduction of a FIN 48 liability relating to uncertain tax positions in tax years for which the statute of limitations expired during the first quarter of 2007.</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net loss of discontinued operations for the three months ended September 30, 2007 included a loss of $1.9 million related to the final closing balance sheet and working capital adjustment from the sale of deployment to Platinum in July, 2007 and a $1.1 million excess facility accrual related to deployment field office leases that were not assumed by Platinum.</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net loss of discontinued operations for the nine months ended September 30, 2007 included a $3.3 million gain from the sale of our EMEA operation to LCCI, which was completed in March 2007; a $14.8 million gain from the sale of the engineering business to LCCI in May 2007; a total impairment charge of $20.6 million related to an impairment of $13.4 million for net assets and $7.2 million related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ind w:right="180"/>
        <w:spacing w:after="0" w:line="259" w:lineRule="auto"/>
        <w:rPr>
          <w:sz w:val="20"/>
          <w:szCs w:val="20"/>
          <w:color w:val="auto"/>
        </w:rPr>
      </w:pPr>
      <w:r>
        <w:rPr>
          <w:rFonts w:ascii="Arial" w:cs="Arial" w:eastAsia="Arial" w:hAnsi="Arial"/>
          <w:sz w:val="18"/>
          <w:szCs w:val="18"/>
          <w:color w:val="auto"/>
        </w:rPr>
        <w:t>to an impairment of goodwill of the deployment operations; a loss of $1.9 million related to the final closing balance sheet and working capital adjustment from the sale of deployment to Platinum in July, 2007 and a $1.1 million excess facility accrual related to deployment field office leases that were not assumed by Platinum.</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Following is a summary of the assets and liabilities of discontinued operations as of December 31, 2006 and September 30, 2007 (in millions) for each of the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5"/>
              </w:rPr>
              <w:t>December 31, 2006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40" w:type="dxa"/>
            <w:vAlign w:val="bottom"/>
          </w:tcPr>
          <w:p>
            <w:pPr>
              <w:jc w:val="right"/>
              <w:ind w:right="167"/>
              <w:spacing w:after="0"/>
              <w:rPr>
                <w:sz w:val="20"/>
                <w:szCs w:val="20"/>
                <w:color w:val="auto"/>
              </w:rPr>
            </w:pPr>
            <w:r>
              <w:rPr>
                <w:rFonts w:ascii="Arial" w:cs="Arial" w:eastAsia="Arial" w:hAnsi="Arial"/>
                <w:sz w:val="14"/>
                <w:szCs w:val="14"/>
                <w:b w:val="1"/>
                <w:bCs w:val="1"/>
                <w:color w:val="auto"/>
              </w:rPr>
              <w:t>Latin and</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40" w:type="dxa"/>
            <w:vAlign w:val="bottom"/>
          </w:tcPr>
          <w:p>
            <w:pPr>
              <w:jc w:val="right"/>
              <w:ind w:right="27"/>
              <w:spacing w:after="0"/>
              <w:rPr>
                <w:sz w:val="20"/>
                <w:szCs w:val="20"/>
                <w:color w:val="auto"/>
              </w:rPr>
            </w:pPr>
            <w:r>
              <w:rPr>
                <w:rFonts w:ascii="Arial" w:cs="Arial" w:eastAsia="Arial" w:hAnsi="Arial"/>
                <w:sz w:val="14"/>
                <w:szCs w:val="14"/>
                <w:b w:val="1"/>
                <w:bCs w:val="1"/>
                <w:color w:val="auto"/>
              </w:rPr>
              <w:t>South America</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Engineering</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w w:val="99"/>
              </w:rPr>
              <w:t>Deployment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340" w:type="dxa"/>
            <w:vAlign w:val="bottom"/>
            <w:shd w:val="clear" w:color="auto" w:fill="CCEEFF"/>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Impairment allowance</w:t>
            </w:r>
          </w:p>
        </w:tc>
        <w:tc>
          <w:tcPr>
            <w:tcW w:w="1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1340" w:type="dxa"/>
            <w:vAlign w:val="bottom"/>
            <w:shd w:val="clear" w:color="auto" w:fill="CCEEFF"/>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15.3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tcBorders>
              <w:right w:val="single" w:sz="8" w:color="808080"/>
            </w:tcBorders>
            <w:gridSpan w:val="2"/>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340" w:type="dxa"/>
            <w:vAlign w:val="bottom"/>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4"/>
                <w:szCs w:val="24"/>
                <w:color w:val="auto"/>
              </w:rPr>
            </w:pPr>
          </w:p>
        </w:tc>
        <w:tc>
          <w:tcPr>
            <w:tcW w:w="118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18.3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tax assets</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allowance</w:t>
            </w:r>
          </w:p>
        </w:tc>
        <w:tc>
          <w:tcPr>
            <w:tcW w:w="1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8"/>
        </w:trPr>
        <w:tc>
          <w:tcPr>
            <w:tcW w:w="4380" w:type="dxa"/>
            <w:vAlign w:val="bottom"/>
            <w:gridSpan w:val="2"/>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Non-current assets of discontinued operations</w:t>
            </w:r>
          </w:p>
        </w:tc>
        <w:tc>
          <w:tcPr>
            <w:tcW w:w="1340" w:type="dxa"/>
            <w:vAlign w:val="bottom"/>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4"/>
                <w:szCs w:val="24"/>
                <w:color w:val="auto"/>
              </w:rPr>
            </w:pPr>
          </w:p>
        </w:tc>
        <w:tc>
          <w:tcPr>
            <w:tcW w:w="118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20.3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Borders>
              <w:right w:val="single" w:sz="8" w:color="808080"/>
            </w:tcBorders>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CCEEFF"/>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Accrued expenses</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Billings in excess of cost on completed contracts</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taxes payable</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3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1340" w:type="dxa"/>
            <w:vAlign w:val="bottom"/>
            <w:shd w:val="clear" w:color="auto" w:fill="CCEEFF"/>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1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tcBorders>
              <w:right w:val="single" w:sz="8" w:color="808080"/>
            </w:tcBorders>
            <w:gridSpan w:val="2"/>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Non-current liabilities of discontinued operations</w:t>
            </w:r>
          </w:p>
        </w:tc>
        <w:tc>
          <w:tcPr>
            <w:tcW w:w="1340" w:type="dxa"/>
            <w:vAlign w:val="bottom"/>
          </w:tcPr>
          <w:p>
            <w:pPr>
              <w:jc w:val="right"/>
              <w:ind w:right="122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Borders>
              <w:right w:val="single" w:sz="8" w:color="808080"/>
            </w:tcBorders>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-3976370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-3976370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-3633470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-3633470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-3633470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-3633470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-3633470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-3633470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-3633470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-3633470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-3633470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-2929890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-2929890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-2929890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-2929890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-2929890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-2929890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-2929890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-2929890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-2929890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-2929890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-1918335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-1918335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-1918335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-1918335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-1918335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-1918335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-1918335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-1918335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-1918335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-1918335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-631825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-631825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-631825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-631825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-631825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-631825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-631825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-631825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-631825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-631825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7"/>
              </w:rPr>
              <w:t>September 30, 2007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0" w:type="dxa"/>
            <w:vAlign w:val="bottom"/>
          </w:tcPr>
          <w:p>
            <w:pPr>
              <w:jc w:val="right"/>
              <w:ind w:right="178"/>
              <w:spacing w:after="0"/>
              <w:rPr>
                <w:sz w:val="20"/>
                <w:szCs w:val="20"/>
                <w:color w:val="auto"/>
              </w:rPr>
            </w:pPr>
            <w:r>
              <w:rPr>
                <w:rFonts w:ascii="Arial" w:cs="Arial" w:eastAsia="Arial" w:hAnsi="Arial"/>
                <w:sz w:val="14"/>
                <w:szCs w:val="14"/>
                <w:b w:val="1"/>
                <w:bCs w:val="1"/>
                <w:color w:val="auto"/>
              </w:rPr>
              <w:t>Latin and</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0" w:type="dxa"/>
            <w:vAlign w:val="bottom"/>
          </w:tcPr>
          <w:p>
            <w:pPr>
              <w:jc w:val="right"/>
              <w:ind w:right="18"/>
              <w:spacing w:after="0"/>
              <w:rPr>
                <w:sz w:val="20"/>
                <w:szCs w:val="20"/>
                <w:color w:val="auto"/>
              </w:rPr>
            </w:pPr>
            <w:r>
              <w:rPr>
                <w:rFonts w:ascii="Arial" w:cs="Arial" w:eastAsia="Arial" w:hAnsi="Arial"/>
                <w:sz w:val="14"/>
                <w:szCs w:val="14"/>
                <w:b w:val="1"/>
                <w:bCs w:val="1"/>
                <w:color w:val="auto"/>
              </w:rPr>
              <w:t>South America</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EMEA</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Engineering</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Deployment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60" w:type="dxa"/>
            <w:vAlign w:val="bottom"/>
            <w:gridSpan w:val="2"/>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Current assets of discontinued operations</w:t>
            </w:r>
          </w:p>
        </w:tc>
        <w:tc>
          <w:tcPr>
            <w:tcW w:w="1400" w:type="dxa"/>
            <w:vAlign w:val="bottom"/>
          </w:tcPr>
          <w:p>
            <w:pPr>
              <w:jc w:val="right"/>
              <w:ind w:right="121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Accrued expenses</w:t>
            </w:r>
          </w:p>
        </w:tc>
        <w:tc>
          <w:tcPr>
            <w:tcW w:w="1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0.3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0.3</w:t>
            </w:r>
          </w:p>
        </w:tc>
        <w:tc>
          <w:tcPr>
            <w:tcW w:w="132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gridSpan w:val="2"/>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Non-current liabilities of discontinued operations</w:t>
            </w:r>
          </w:p>
        </w:tc>
        <w:tc>
          <w:tcPr>
            <w:tcW w:w="1400" w:type="dxa"/>
            <w:vAlign w:val="bottom"/>
          </w:tcPr>
          <w:p>
            <w:pPr>
              <w:jc w:val="right"/>
              <w:ind w:right="121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-2552700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-2552700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-2209800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-2209800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-2209800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-2209800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-2209800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-2209800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-2209800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-2209800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-2209800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-2209800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-1643380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-1643380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-1643380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-1643380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-1643380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-1643380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-1643380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-1643380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-1643380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-1643380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-631825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-631825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-631825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-631825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-631825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-631825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-631825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-631825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-631825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-631825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Acquisitions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changes in the carrying amounts of goodwill and other finite-life intangible assets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Government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Network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83"/>
              </w:rPr>
              <w:t>Services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Balance as of December 31, 2006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MRC acquisition purchase price adjustment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Adjustment related to the adoption of FIN48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2007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December 31, 2006</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September 30, 2007</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0"/>
                <w:szCs w:val="2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20"/>
                <w:szCs w:val="20"/>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0"/>
                <w:szCs w:val="20"/>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Acquired finite-lived intangible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Contracts and backlog</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-2904490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-2200910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-2200910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-1643380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-1643380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-1643380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-1643380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-1300480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-1300480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-1300480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-1300480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-1300480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-1300480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-1300480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-1300480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-1300480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-1300480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-1300480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-323215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-323215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-323215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51"/>
        <w:spacing w:after="0" w:line="259" w:lineRule="auto"/>
        <w:rPr>
          <w:sz w:val="20"/>
          <w:szCs w:val="20"/>
          <w:color w:val="auto"/>
        </w:rPr>
      </w:pPr>
      <w:r>
        <w:rPr>
          <w:rFonts w:ascii="Arial" w:cs="Arial" w:eastAsia="Arial" w:hAnsi="Arial"/>
          <w:sz w:val="18"/>
          <w:szCs w:val="18"/>
          <w:color w:val="auto"/>
        </w:rPr>
        <w:t>Consolidated amortization expense related to intangible assets subject to amortization was $0.4 million and $0.7 million for the quarters ended September 30, 2006 and 2007, respectively. Consolidated amortization expense related to intangible assets subject to amortization was $1.3 million and $2.1 million for the nine months ended September 30, 2006 and 2007,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October 2, 2006 the Company acquired Huntsville, Alabama based Madison Research Technology Corporation ("MRC") as part of the Company's Government Network Services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purchase price was approximately $73.8 million, including a working capital adjustment of $4.6 million and transaction costs of $0.2 million, and is subject to certain post-closing adjustments. The Company paid $62.1 million at closing, the working capital adjustment of $4.6 million was paid in April 2007 and the remaining $6.9 million was held back to secure the Company's indemnity rights and will be released, subject to indemnity rights, in installments following 6, 12, and 18 months from the date of close. In April 2007, $1.5 million of the holdback was released and paid to the former shareholders of MRC. The Company entered into a new $85 million credit facility with KeyBank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160"/>
        <w:spacing w:after="0" w:line="259" w:lineRule="auto"/>
        <w:rPr>
          <w:sz w:val="20"/>
          <w:szCs w:val="20"/>
          <w:color w:val="auto"/>
        </w:rPr>
      </w:pPr>
      <w:r>
        <w:rPr>
          <w:rFonts w:ascii="Arial" w:cs="Arial" w:eastAsia="Arial" w:hAnsi="Arial"/>
          <w:sz w:val="18"/>
          <w:szCs w:val="18"/>
          <w:color w:val="auto"/>
        </w:rPr>
        <w:t>National Association ("KeyBank") to fund the acquisition, which replaced the Company's previous credit facility of $15 million. Refer to Note 9 for further discussion. The results of operations of MRC have been included in the Company's consolidated statement of operations for the period from the acquisition date of October 2, 2006 in the Company's fourth quarter of 2006.</w:t>
      </w:r>
    </w:p>
    <w:p>
      <w:pPr>
        <w:spacing w:after="0" w:line="194"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following table summarizes supplemental statement of operations information on an unaudited pro forma basis as if the acquisition of MRC had occurred on January 1, 2006 and includes adjustments that were directly attributable to the transaction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unaudited amounts, except per share amounts are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tcPr>
          <w:p>
            <w:pPr>
              <w:jc w:val="center"/>
              <w:ind w:left="448"/>
              <w:spacing w:after="0"/>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660" w:type="dxa"/>
            <w:vAlign w:val="bottom"/>
          </w:tcPr>
          <w:p>
            <w:pPr>
              <w:jc w:val="center"/>
              <w:ind w:left="448"/>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jc w:val="center"/>
              <w:ind w:right="302"/>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1660" w:type="dxa"/>
            <w:vAlign w:val="bottom"/>
            <w:shd w:val="clear" w:color="auto" w:fill="CCEEFF"/>
          </w:tcPr>
          <w:p>
            <w:pPr>
              <w:jc w:val="right"/>
              <w:ind w:right="150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 forma net loss</w:t>
            </w:r>
          </w:p>
        </w:tc>
        <w:tc>
          <w:tcPr>
            <w:tcW w:w="16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loss per share</w:t>
            </w:r>
          </w:p>
        </w:tc>
        <w:tc>
          <w:tcPr>
            <w:tcW w:w="1660" w:type="dxa"/>
            <w:vAlign w:val="bottom"/>
            <w:shd w:val="clear" w:color="auto" w:fill="CCEEFF"/>
          </w:tcPr>
          <w:p>
            <w:pPr>
              <w:jc w:val="right"/>
              <w:ind w:right="150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Diluted pro forma net loss per share</w:t>
            </w:r>
          </w:p>
        </w:tc>
        <w:tc>
          <w:tcPr>
            <w:tcW w:w="1660" w:type="dxa"/>
            <w:vAlign w:val="bottom"/>
          </w:tcPr>
          <w:p>
            <w:pPr>
              <w:jc w:val="right"/>
              <w:ind w:right="150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-633730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-633730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-633730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-633730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the additional consideration becomes payable. A summary of the contingent acquisition consideration as of December 31, 2006 and September 30, 2007 is summarized in the following table. The balance as of December 31, 2006 and September 30, 2007 is comprised of $9.8 million and $5.9 million, respectively, classified in accrued contingent acquisition consideration and $1.8 million and zero, respectively, classified in other long term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Contingent Acquisition Consideration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MRC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6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Interest payable accrual</w:t>
            </w:r>
          </w:p>
        </w:tc>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tax receivable</w:t>
            </w:r>
          </w:p>
        </w:tc>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Payments</w:t>
            </w:r>
          </w:p>
        </w:tc>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2007</w:t>
            </w:r>
          </w:p>
        </w:tc>
        <w:tc>
          <w:tcPr>
            <w:tcW w:w="6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020" w:type="dxa"/>
            <w:vAlign w:val="bottom"/>
            <w:vMerge w:val="restart"/>
          </w:tcPr>
          <w:p>
            <w:pPr>
              <w:jc w:val="right"/>
              <w:ind w:right="417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602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-1523365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-1523365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-820420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-820420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8. Comprehensive Income (Loss)</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Comprehensive income (loss) consists of net income (loss) and other gains and losses affecting shareholders' equity that, under accounting principles generally accepted in the United States of America are excluded from net income (loss).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comprehensive income (loss) are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center"/>
              <w:ind w:left="424"/>
              <w:spacing w:after="0"/>
              <w:rPr>
                <w:sz w:val="20"/>
                <w:szCs w:val="20"/>
                <w:color w:val="auto"/>
              </w:rPr>
            </w:pPr>
            <w:r>
              <w:rPr>
                <w:rFonts w:ascii="Arial" w:cs="Arial" w:eastAsia="Arial" w:hAnsi="Arial"/>
                <w:sz w:val="14"/>
                <w:szCs w:val="14"/>
                <w:b w:val="1"/>
                <w:bCs w:val="1"/>
                <w:color w:val="auto"/>
                <w:w w:val="89"/>
              </w:rPr>
              <w:t>For the Three</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0"/>
              </w:rPr>
              <w:t>For the Nine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left="444"/>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center"/>
              <w:ind w:left="384"/>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84"/>
              </w:rPr>
              <w:t>September 30</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84"/>
              </w:rPr>
              <w:t>September 30</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57"/>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97"/>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Foreign currency translation adjustment/reclassification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-1000760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-1000760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-1000760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-1000760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-751840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-751840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-751840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-751840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-751840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-751840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-323215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Payable and Other Financing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March 16, 2005, the Company entered into a credit agreement with KeyBank National Association ("KeyBank") to provide a $15.0 million senior credit facility. KeyBank was designated as the sole arranger and sole book manager. The facility had a three-year term and could have been expanded to a $60.0 million facility. The Company used the facility for general corporate purposes and to fund acquisitions. On October 2, 2006, the Company entered into a new credit agreement with Key Bank to provide an $85 million senior credit facility, which replaced the Company's existing $15 million senior credit facility. The facility has a 5 year term with principal due in 2011 and interest payable on a monthly basis. At the Company's option, interest is payable at the London Interbank Offer Rate plus 1.75-3.50%, or at the prime rate plus 0.30-0.75%, with either option adjusted quarterly based on the Company's total net debt-to-EBITDA ratio. The Company used the facility to fund its acquisition of Madison Research Corporation (MRC) and for general corporate purposes. The terms of the new credit agreement require the Company to provide certain customary covenants for a credit agreement, including certain financial covenants, computed as defined by the terms of the agreement. These financial covenants include a maximum total net debt leverage ratio of 3.50 as of September 30, 2007 and thereafter, a minimum liquidity ratio of 1.10 to 1.00, and a minimum fixed charge coverage ratio of 1.25 to 1.00. The facility is collateralized by all the assets of the Company.</w:t>
      </w:r>
    </w:p>
    <w:p>
      <w:pPr>
        <w:spacing w:after="0" w:line="17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facility contains customary events of default, including payment defaults, breaches of representations and warranties, and covenant defaults. As of June 30, 2007, the Company was in technical default of this agreement as it had not yet filed its Form 10-K and 2006 audited financial statements. On April 6, 2007, the Company entered into an amendment to the credit agreement whereby Key Bank waived this technical default and provided an extension through April 30, 2007 for filing its Report on Form 10-K and 2006 audited financial statements. On June 1, 2007, the Company entered into a second amendment to the credit agreement whereby Key Bank extended the original waiver for filing its Report on Form 10-K and 2006 audited financial statements and the quarterly unaudited financial statements for the fiscal quarters ended March 31, 2007 and June 30, 2007 through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line="291" w:lineRule="auto"/>
        <w:rPr>
          <w:sz w:val="20"/>
          <w:szCs w:val="20"/>
          <w:color w:val="auto"/>
        </w:rPr>
      </w:pPr>
      <w:r>
        <w:rPr>
          <w:rFonts w:ascii="Arial" w:cs="Arial" w:eastAsia="Arial" w:hAnsi="Arial"/>
          <w:sz w:val="16"/>
          <w:szCs w:val="16"/>
          <w:color w:val="auto"/>
        </w:rPr>
        <w:t>September 30, 2007 and reduced the total facility to $50 million to reflect the net pay downs of the revolving line of credit resulting from the divestiture of its EMEA business in March 2007 and the divesture of its domestic engineering business. In addition, the second amendment provides for the further reduction of its credit facility to $35 million effective upon receipt of principal payments under the note received from the buyer of the domestic engineering business, which occurred on July 3, 2007. On September 28, 2007, the Company received an additional waiver from Key Bank extending the waiver for filing its quarterly unaudited financial statements for the fiscal quarters ended March 31, 2007 and June 30, 2007 through October 19, 2007 and changing the minimum liquidity ratio for the period ended September 30, 2007 from 1.35 to 1.10. As of September 30, 2007, the Company was in compliance with the amended covenants.</w:t>
      </w:r>
    </w:p>
    <w:p>
      <w:pPr>
        <w:spacing w:after="0" w:line="174"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September 30, 2007, the Company's outstanding balance on the facility was $1.0 million, reflecting the pay down of the Company's outstanding debt with the proceeds from the divestitures of its wireless network businesses. The weighted average interest rate was 7.4%.</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November 5, 2007, the Company announced that it executed a definitive agreement to acquire privately-held Haverstick Consulting, Inc. for a purchase price of $90 million in cash and stock, which includes the satisfaction of approximately $35 million of Haverstick's existing debt obligations. The Company is financing the cash portion of the transaction through a secured credit facility arranged by KeyBanc Capital Markets which will replace our existing facility. See Note 15 for further discussion of this transaction. Upon execution of the new credit facility, the Company expects that the remaining unamortized costs incurred related to its existing credit facility of approximately $1.1 million will be charged to interest expense.</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Interest expense was $0.3 million and $0.2 million for the three months ended September 30, 2006 and 2007, respectively, and $0.4 million and $2.5 million for the nine months ended September 30, 2006 and 2007, respectively.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 $0.1 million and $2.2 million for the three and nine months ended September 30, 2007, respectively, that was required to be repaid as a result of the sales of our wireless network services business was allocated to discontinued operations for the periods presented. See Note 6, Significant Transactions. The balance of interest expense of $0.1 million is reflected in the accompanying statements of operations in interest income (expense), net. The amount reported on the accompanying statements of operations is net of interest income of $0.4 million and $0.1 million for the three months ended September 30, 2006 and 2007, respectively, and $0.9 million and $0.3 million for the nine months ended September 30, 2006 and 2007, respectively.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Customer Information</w:t>
      </w:r>
    </w:p>
    <w:p>
      <w:pPr>
        <w:spacing w:after="0" w:line="231" w:lineRule="exact"/>
        <w:rPr>
          <w:sz w:val="20"/>
          <w:szCs w:val="20"/>
          <w:color w:val="auto"/>
        </w:rPr>
      </w:pPr>
    </w:p>
    <w:p>
      <w:pPr>
        <w:jc w:val="both"/>
        <w:ind w:right="60" w:firstLine="348"/>
        <w:spacing w:after="0" w:line="268" w:lineRule="auto"/>
        <w:rPr>
          <w:sz w:val="20"/>
          <w:szCs w:val="20"/>
          <w:color w:val="auto"/>
        </w:rPr>
      </w:pPr>
      <w:r>
        <w:rPr>
          <w:rFonts w:ascii="Arial" w:cs="Arial" w:eastAsia="Arial" w:hAnsi="Arial"/>
          <w:sz w:val="18"/>
          <w:szCs w:val="18"/>
          <w:color w:val="auto"/>
        </w:rPr>
        <w:t>The following table presents our key customers from continuing operations for the periods presented and the percentage of net sales made to such customers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5"/>
          </w:tcPr>
          <w:p>
            <w:pPr>
              <w:jc w:val="right"/>
              <w:ind w:right="317"/>
              <w:spacing w:after="0"/>
              <w:rPr>
                <w:sz w:val="20"/>
                <w:szCs w:val="20"/>
                <w:color w:val="auto"/>
              </w:rPr>
            </w:pPr>
            <w:r>
              <w:rPr>
                <w:rFonts w:ascii="Arial" w:cs="Arial" w:eastAsia="Arial" w:hAnsi="Arial"/>
                <w:sz w:val="14"/>
                <w:szCs w:val="14"/>
                <w:b w:val="1"/>
                <w:bCs w:val="1"/>
                <w:color w:val="auto"/>
                <w:w w:val="87"/>
              </w:rPr>
              <w:t>For the 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w w:val="87"/>
              </w:rPr>
              <w:t>For the Nine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Key Customers</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Army</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U.S. Navy</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7"/>
              <w:spacing w:after="0"/>
              <w:rPr>
                <w:sz w:val="20"/>
                <w:szCs w:val="20"/>
                <w:color w:val="auto"/>
              </w:rPr>
            </w:pPr>
            <w:r>
              <w:rPr>
                <w:rFonts w:ascii="Arial" w:cs="Arial" w:eastAsia="Arial" w:hAnsi="Arial"/>
                <w:sz w:val="18"/>
                <w:szCs w:val="18"/>
                <w:color w:val="auto"/>
              </w:rPr>
              <w:t>9.3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24.6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37"/>
              <w:spacing w:after="0"/>
              <w:rPr>
                <w:sz w:val="20"/>
                <w:szCs w:val="20"/>
                <w:color w:val="auto"/>
              </w:rPr>
            </w:pPr>
            <w:r>
              <w:rPr>
                <w:rFonts w:ascii="Arial" w:cs="Arial" w:eastAsia="Arial" w:hAnsi="Arial"/>
                <w:sz w:val="18"/>
                <w:szCs w:val="18"/>
                <w:color w:val="auto"/>
              </w:rPr>
              <w:t>27.4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-741045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-741045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-741045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-741045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-492760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-492760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-492760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-492760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-492760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-492760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-492760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-492760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customers are all part of our Government Services segment. Our top five customers accounted for approximately 45% and 47% of our total revenue for the three and nine months ended September 30, 2006, respectively, and for approximately 64% and 63% of our total revenue for the three and nine months ended September 30,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has historically organized its business along service lines to include three reportable segments: Wireless Network Services, Enterprise Network Services and Government Network Services. The Wireless Network Services segment was discontinued in the first quarter of 2007 (see Note 6). Certain income and charges that are not allocated to segments in the Company's management reports because they are not considered in evaluating the segments' operating performance are categorized as reconciling items in the table below. Unallocated charges are related to corporate expenses previously allocated to the discontinued wireless network services segment prior to the disposal of those businesses, share based compensation charges and related tax adjustments, impairment and restructuring charges and expenses related to the stock option investigation. As a result of the divestitures of the wireless network services businesses in 2007, the corporate expenses allocated to the enterprise network services and government network services businesses has increased in the three and nine months ended September 30, 2007, negatively impacting the operating income (loss) for those continuing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right="20" w:firstLine="351"/>
        <w:spacing w:after="0" w:line="268" w:lineRule="auto"/>
        <w:rPr>
          <w:sz w:val="20"/>
          <w:szCs w:val="20"/>
          <w:color w:val="auto"/>
        </w:rPr>
      </w:pPr>
      <w:r>
        <w:rPr>
          <w:rFonts w:ascii="Arial" w:cs="Arial" w:eastAsia="Arial" w:hAnsi="Arial"/>
          <w:sz w:val="18"/>
          <w:szCs w:val="18"/>
          <w:color w:val="auto"/>
        </w:rPr>
        <w:t>Revenues and operating income generated by the Company's reporting segments for the three and nine months ended September 30, 2006 and September 30, 2007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5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Enterprise Network Services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Network 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Total revenues from continuing operations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Enterprise Network Services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Network 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Unallocated charges</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loss from continuing operations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-2149475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-2149475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-2149475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-2149475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-1901190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-1901190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-1901190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-1901190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-1901190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-1901190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-1901190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-1901190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-1334770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-1334770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-1334770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-1334770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-1334770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-1334770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-1334770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-1334770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and Asset Impairment Charges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costs in the three and nine months of 2007 of $1.2 million were comprised of $0.8 million for an excess facility accrual for obligations under facility leases that were unfavorably impacted by our recent divestitures of our wireless network services businesses which resulted in unused office space, $0.2 million related to the impairment of leasehold improvements for these facilities and $0.2 million related to an impairment of fixed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30, 2002, the Company issued an aggregate of 90,000 shares of Series B Convertible Preferred Stock, at an aggregate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$45.0 million, in a private placement to entities affiliated with one of the directors of the Company (40,000 shares), to a brother of the previous Chairman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of the Company (10,000 shares) and to an unrelated third-party investor (40,000 shares). The Company received $44.9 million of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Each share of Series B Convertible Preferred Stock is initially convertible into 100 shares of Common Stock for a conversion price of $5.00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the fair market value of the common stock at the closing, at the option of the holder at any time, subject to certain provisions in the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Purchase Agreement. The Series B Preferred Stock Purchase Agreement had a lock-up provision, which has expired prior to March 5, 2004, on which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 shares of Series B Convertible Preferred Stock were converted into 4,000,000 shares of the Company's Common Stock. On April 5, 2006, 15,483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Series B Convertible Preferred Stock were converted into 1,548,300 shares of the Company's Common Stock.</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Through September 30, 2007, the Company had received notices from the holders to convert an aggregate number of 80,000 shares of Series B Convertible Preferred Stock into an aggregate 8,000,000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shares of the Company's Common Stock. On September 30, 2007, the total liquidation preference equaled $5.0 million.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2003, in connection with the Company's acquisition of a company in its Enterprise Network Services business, the Company assumed certain facility lease obligations relating to facilities that were owned by the previous shareholders. The lease expense, which approximates $0.1 million and $0.2 million for the three and nine months ended September 30, 2006 and 2007, respectively, is reflected in continuing operations in the consolidated statements of operations.</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Company's acquisition of TLA in January 2005, the Company assumed certain facility lease obligations for a facility owned by the previous shareholders. The lease expense, which approximates $0.2 million and $0.6 million for the three and nine months ended September 30, 2006 and 2007, respectively, is reflected in continuing operations in the consolidated statements of operations.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as of July 31, 2007, Massih Tayebi owns or controls approximately 8.2% of the total voting power of the Company's capital stock. He is also the brother of Masood Tayebi, who was the Company's Chairman of the Board of Directors until March 6, 2007. Masood Tayebi had no personal financial interest in the transaction and has no role with the entity that has purchased the Mexico Operations. The transaction was approved by the disinterested members of the Company's Board of Directors after consideration of other expressions of interest and an independent valuation analysis.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would have resulted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$9.5 million which included accrued interest through December 29, 2006, was paid in full on December 29, 2006.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Initial Public Offering Securities Litigation</w:t>
      </w:r>
      <w:r>
        <w:rPr>
          <w:rFonts w:ascii="Arial" w:cs="Arial" w:eastAsia="Arial" w:hAnsi="Arial"/>
          <w:sz w:val="16"/>
          <w:szCs w:val="16"/>
          <w:color w:val="auto"/>
        </w:rPr>
        <w:t>, Case No. 01-CV-4779. In the amended complaint, the plaintiffs allege that the Company, certain of its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The court has not yet set a deadline for the plaintiffs to file amended complaints in the other IPO lawsuits. Due to the inherent uncertainties of litigation, and because the settlement may not receive final approval from the Court, the ultimate outcome of this matter cannot be predicted. In accordance with FASB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The Company believes any contingent liability related to this claim is not probable or estimable and therefore no amounts have been accrued in regards to this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August 2004, as a result of the Company's announcement on August 4, 2004 that it intended to restate its financial statements for the fiscal years ended December 31, 2000, 2001, 2002 and 2003,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p>
      <w:pPr>
        <w:spacing w:after="0" w:line="285" w:lineRule="auto"/>
        <w:rPr>
          <w:sz w:val="20"/>
          <w:szCs w:val="20"/>
          <w:color w:val="auto"/>
        </w:rPr>
      </w:pPr>
      <w:r>
        <w:rPr>
          <w:rFonts w:ascii="Arial" w:cs="Arial" w:eastAsia="Arial" w:hAnsi="Arial"/>
          <w:sz w:val="16"/>
          <w:szCs w:val="16"/>
          <w:color w:val="auto"/>
        </w:rPr>
        <w:t>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 Securities Litigation,</w:t>
      </w:r>
      <w:r>
        <w:rPr>
          <w:rFonts w:ascii="Arial" w:cs="Arial" w:eastAsia="Arial" w:hAnsi="Arial"/>
          <w:sz w:val="16"/>
          <w:szCs w:val="16"/>
          <w:color w:val="auto"/>
        </w:rPr>
        <w:t xml:space="preserve"> Master File 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The Company has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8"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were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ind w:right="40"/>
        <w:spacing w:after="0" w:line="288" w:lineRule="auto"/>
        <w:rPr>
          <w:sz w:val="20"/>
          <w:szCs w:val="20"/>
          <w:color w:val="auto"/>
        </w:rPr>
      </w:pPr>
      <w:r>
        <w:rPr>
          <w:rFonts w:ascii="Arial" w:cs="Arial" w:eastAsia="Arial" w:hAnsi="Arial"/>
          <w:sz w:val="16"/>
          <w:szCs w:val="16"/>
          <w:color w:val="auto"/>
        </w:rPr>
        <w:t>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Once the court has decided the issue of personal jurisdiction, the Company, along with any remaining individual defendant found subject to the court's jurisdiction, may again move to dismiss the complaint as to them.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07-CV-0680 BTM(RBB) (the "Hameed Action"), against several of the Company's current and former officers and directors. The allegations in this new derivative complaint mirror the amended allegations in the 2004 federal derivative action. Pursuant to a Court order and agreement between the parties, the defendants need not respond to the complaint in the Hameed 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the Company is unable to form a professional judgment that an unfavorable outcome is either probable or remote. Moreover, if an unfavorable outcome should eventually occur, the Company is not at this time able to estimate the amount or range of possible loss.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xml:space="preserve"> California Superior Court, San Diego County, Lead Case No. GIC 834253. The plaintiffs filed a Consolidated Shareholder Derivative Complaint on October 14, 2004. This action has been stayed pending a decision in federal court on a motion to dismiss the federal derivative lawsuits. In October 2007, the parties apprised the court of the status of the federal action and requested the court continue its stay of this action. The Company anticipates that the court will continue to stay this matter and that the court will request the parties file an updated status report in April 2008. The Company believes that the allegations lack merit and intends to vigorously defend all claims asserted. It is impossible at this time to assess whether or not the outcome of these proceedings will or will not have a material adverse effect on the Company. The Company has not recorded any accrual for a contingent liability associated with this legal proceeding based on the Company's belief that a liability, while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possible, is not probable and any range of potential future charge cannot be reasonably estimated at this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September 30, 2007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the Company's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The Company has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5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May 3, 2007, the Company announced that it had a filed a lawsuit against a former employee, Vencent Donlan, who previously served as its stock option administrator and left the Company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line="286" w:lineRule="auto"/>
        <w:rPr>
          <w:sz w:val="20"/>
          <w:szCs w:val="20"/>
          <w:color w:val="auto"/>
        </w:rPr>
      </w:pPr>
      <w:r>
        <w:rPr>
          <w:rFonts w:ascii="Arial" w:cs="Arial" w:eastAsia="Arial" w:hAnsi="Arial"/>
          <w:sz w:val="16"/>
          <w:szCs w:val="16"/>
          <w:color w:val="auto"/>
        </w:rPr>
        <w:t>mid-2004, and his spouse. The lawsuit sought to recover damages resulting from the theft by Donlan of Company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The Company promptly reported to the SEC the discovery of the Donlan's theft. The SEC commenced an enforcement action against Donlan, and the U.S. Attorney's Office forwarded a grand jury subpoena to the Company seeking records related to Donlan and the Company's historical option granting practices. The SEC filed a federal lawsuit and obtained a temporary restraining order and asset freeze against Donlan and his spouse. The U.S. Attorney's Office indicted Donlan for the theft and he plead guilty to federal criminal charges and has been sentenced to 46 months in prison and is currently incarcerated. The Company has cooperated with, and intends to continue to cooperate with both the SEC and the U.S. Attorney's Office on this matter and otherwise. Vencent Donlan and his wife entered into a settlement agreement with the Company on October 5, 2007 turning over substantially all of their assets to the Company in settlement of the damages incurred in the theft. The settlement is awaiting approval by the SEC and, thereafter, by the federal judge overseeing this case. Upon obtaining the approvals, the Company will be free to liquidate the assets.</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November 2, 2007, Kratos Government Solutions, Inc. ("</w:t>
      </w:r>
      <w:r>
        <w:rPr>
          <w:rFonts w:ascii="Arial" w:cs="Arial" w:eastAsia="Arial" w:hAnsi="Arial"/>
          <w:sz w:val="16"/>
          <w:szCs w:val="16"/>
          <w:i w:val="1"/>
          <w:iCs w:val="1"/>
          <w:color w:val="auto"/>
        </w:rPr>
        <w:t>Parent</w:t>
      </w:r>
      <w:r>
        <w:rPr>
          <w:rFonts w:ascii="Arial" w:cs="Arial" w:eastAsia="Arial" w:hAnsi="Arial"/>
          <w:sz w:val="16"/>
          <w:szCs w:val="16"/>
          <w:color w:val="auto"/>
        </w:rPr>
        <w:t>"), a wholly-owned subsidiary of the Company entered into an Agreement and Plan of Merger (the "</w:t>
      </w:r>
      <w:r>
        <w:rPr>
          <w:rFonts w:ascii="Arial" w:cs="Arial" w:eastAsia="Arial" w:hAnsi="Arial"/>
          <w:sz w:val="16"/>
          <w:szCs w:val="16"/>
          <w:i w:val="1"/>
          <w:iCs w:val="1"/>
          <w:color w:val="auto"/>
        </w:rPr>
        <w:t>Merger Agreement</w:t>
      </w:r>
      <w:r>
        <w:rPr>
          <w:rFonts w:ascii="Arial" w:cs="Arial" w:eastAsia="Arial" w:hAnsi="Arial"/>
          <w:sz w:val="16"/>
          <w:szCs w:val="16"/>
          <w:color w:val="auto"/>
        </w:rPr>
        <w:t>") with Haverstick Consulting, Inc. ("</w:t>
      </w:r>
      <w:r>
        <w:rPr>
          <w:rFonts w:ascii="Arial" w:cs="Arial" w:eastAsia="Arial" w:hAnsi="Arial"/>
          <w:sz w:val="16"/>
          <w:szCs w:val="16"/>
          <w:i w:val="1"/>
          <w:iCs w:val="1"/>
          <w:color w:val="auto"/>
        </w:rPr>
        <w:t>Haverstick</w:t>
      </w:r>
      <w:r>
        <w:rPr>
          <w:rFonts w:ascii="Arial" w:cs="Arial" w:eastAsia="Arial" w:hAnsi="Arial"/>
          <w:sz w:val="16"/>
          <w:szCs w:val="16"/>
          <w:color w:val="auto"/>
        </w:rPr>
        <w:t>"). Pursuant to the Merger Agreement, a wholly-owned subsidiary of Parent shall be merged with and into Haverstick (the "</w:t>
      </w:r>
      <w:r>
        <w:rPr>
          <w:rFonts w:ascii="Arial" w:cs="Arial" w:eastAsia="Arial" w:hAnsi="Arial"/>
          <w:sz w:val="16"/>
          <w:szCs w:val="16"/>
          <w:i w:val="1"/>
          <w:iCs w:val="1"/>
          <w:color w:val="auto"/>
        </w:rPr>
        <w:t>Merger</w:t>
      </w:r>
      <w:r>
        <w:rPr>
          <w:rFonts w:ascii="Arial" w:cs="Arial" w:eastAsia="Arial" w:hAnsi="Arial"/>
          <w:sz w:val="16"/>
          <w:szCs w:val="16"/>
          <w:color w:val="auto"/>
        </w:rPr>
        <w:t>"), and Haverstick shall be the surviving corporation in the Merger and shall continue its corporate existence under the laws of the State of Indiana as a wholly-owned subsidiary of Parent after the Merger. The completion of the Merger is subject to customary closing conditions. The Board of Directors of each of Parent and Haverstick approved the Merger and the Merger Agreement.</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completion of the Merger, all outstanding shares of capital stock of Haverstick will be exchanged for an aggregate consideration equal to approximately 7,480,000 shares of Kratos common stock and $69.5 million in cash, subject to certain adjustments. Approximately 2,858,000 shares of Kratos common stock and $1.2 million in cash shall be withheld as security for satisfaction of certain indemnification obligations and payable over a twenty-one month period following the closing date of the Merger pursuant to the terms of the Merger Agreement.</w:t>
      </w:r>
    </w:p>
    <w:p>
      <w:pPr>
        <w:spacing w:after="0" w:line="16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shares of Kratos common stock issued in connection with the Merger will be issued in a private placement transaction pursuant to Section 4(2) of the Securities Act of 1933, as amended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and the rules and regulations promulgated thereunder. Pursuant to the terms of the Merger Agreement, Parent has agreed to use its reasonable best efforts to file a resale registration statement covering the shares issuable in connection with the Merger promptly following the closing date. In the event that the shares of Kratos common stock issued at the closing (the "</w:t>
      </w:r>
      <w:r>
        <w:rPr>
          <w:rFonts w:ascii="Arial" w:cs="Arial" w:eastAsia="Arial" w:hAnsi="Arial"/>
          <w:sz w:val="16"/>
          <w:szCs w:val="16"/>
          <w:i w:val="1"/>
          <w:iCs w:val="1"/>
          <w:color w:val="auto"/>
        </w:rPr>
        <w:t>Closing Stock</w:t>
      </w:r>
      <w:r>
        <w:rPr>
          <w:rFonts w:ascii="Arial" w:cs="Arial" w:eastAsia="Arial" w:hAnsi="Arial"/>
          <w:sz w:val="16"/>
          <w:szCs w:val="16"/>
          <w:color w:val="auto"/>
        </w:rPr>
        <w:t>") are not salable under Rule 144 promulgated under the Securities Act ("</w:t>
      </w:r>
      <w:r>
        <w:rPr>
          <w:rFonts w:ascii="Arial" w:cs="Arial" w:eastAsia="Arial" w:hAnsi="Arial"/>
          <w:sz w:val="16"/>
          <w:szCs w:val="16"/>
          <w:i w:val="1"/>
          <w:iCs w:val="1"/>
          <w:color w:val="auto"/>
        </w:rPr>
        <w:t>Rule 144</w:t>
      </w:r>
      <w:r>
        <w:rPr>
          <w:rFonts w:ascii="Arial" w:cs="Arial" w:eastAsia="Arial" w:hAnsi="Arial"/>
          <w:sz w:val="16"/>
          <w:szCs w:val="16"/>
          <w:color w:val="auto"/>
        </w:rPr>
        <w:t>") or pursuant to an effective registration statement as of the twelve month anniversary of the closing date, holders of the Closing Stock may elect to exchange such shares for a cash amount equal to $2.74 per share in accordance with the terms of the Merger Agreement. Until the date on which the shares of Closing Stock are salable under Rule 144 or pursuant to an effective registration statement, interest shall accrue on the value of the Closing Stock at a floating rate of one-month LIBOR plus four percent (4%) per annum. The value of the Closing Stock for purposes of calculating the accrued interest shall be determined in accordance with the terms of the Merger Agreement and the aggregate interest amount shall be payable by Parent in shares of Kratos common stock. Parent shall pay the cash portion of the purchase price with cash to be provided under a $75,000,000 credit facility to be provided by KeyBank Capital Markets ("</w:t>
      </w:r>
      <w:r>
        <w:rPr>
          <w:rFonts w:ascii="Arial" w:cs="Arial" w:eastAsia="Arial" w:hAnsi="Arial"/>
          <w:sz w:val="16"/>
          <w:szCs w:val="16"/>
          <w:i w:val="1"/>
          <w:iCs w:val="1"/>
          <w:color w:val="auto"/>
        </w:rPr>
        <w:t>KeyBank</w:t>
      </w:r>
      <w:r>
        <w:rPr>
          <w:rFonts w:ascii="Arial" w:cs="Arial" w:eastAsia="Arial" w:hAnsi="Arial"/>
          <w:sz w:val="16"/>
          <w:szCs w:val="16"/>
          <w:color w:val="auto"/>
        </w:rPr>
        <w:t>") pursuant to the terms of that certain Facility Letter and Term Sheet by and among Kratos and KeyBank, dated October 24, 2007. Upon execution of the new credit facility, the Company expects that the remaining unamortized costs incurred related to its existing credit facility of approximately $1.1 million will be charged to interest expense.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slowdowns in telecommunications infrastructure spending in the United States and globally, which could delay network deployment and reduce demand for our services; the timing, rescheduling or cancellation of significant customer contracts and agreements, or consolidation by or the loss of key customers; risks associated with debt leverage; failure to successfully consummate acquisitions or integrate acquired operations; and competition in the marketplace which could reduce revenues and profit margins.</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i w:val="1"/>
          <w:iCs w:val="1"/>
          <w:color w:val="auto"/>
        </w:rPr>
        <w:t>Certain of the information set forth herein, including costs and expenses that exclude the impact of stock compensation expense and amortization of purchased intangibles in 2006 and 2007,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5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2006 and other reports and filings made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Structure</w:t>
      </w:r>
    </w:p>
    <w:p>
      <w:pPr>
        <w:spacing w:after="0" w:line="23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Former Operating Segments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2006, we had three operating segments which consisted of our Wireless Network Services ("WNS") segment, our Enterprise Network Services ("ENS") segment, and our Government Network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3" w:name="page34"/>
    <w:bookmarkEnd w:id="33"/>
    <w:p>
      <w:pPr>
        <w:ind w:right="240"/>
        <w:spacing w:after="0" w:line="259" w:lineRule="auto"/>
        <w:rPr>
          <w:sz w:val="20"/>
          <w:szCs w:val="20"/>
          <w:color w:val="auto"/>
        </w:rPr>
      </w:pPr>
      <w:r>
        <w:rPr>
          <w:rFonts w:ascii="Arial" w:cs="Arial" w:eastAsia="Arial" w:hAnsi="Arial"/>
          <w:sz w:val="18"/>
          <w:szCs w:val="18"/>
          <w:color w:val="auto"/>
        </w:rPr>
        <w:t>Services segment, also known as WFI Government Services, Inc. In the first quarter of 2007, we discontinued the WNS segment and all financial information related to this segment has been presented as discontinued operations. For additional information regarding our operating segments, see Note 11 of Notes to Consolidated Financial Statements.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Wireless Network Services Segment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Wireless Network Services segment historically consisted of two primary services: Wireless Engineering Services and Wireless Network Deployment Services.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Wireless Engineering Services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Wireless Engineering Services (which was sold in June 2007 and has been reflected as discontinued operations) provided network engineering and business consulting services for all pre-deployment planning for wireless carriers, including technology assessment, market analysis, and business plan development. This service area studied and analyzed the traffic patterns, population density, and topography and propagation environment in each market under consideration. It analyzed the financial, engineering, competitive and technology issues applicable to a proposed technology or network deployment project.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Wireless Deployment Services</w:t>
      </w:r>
    </w:p>
    <w:p>
      <w:pPr>
        <w:spacing w:after="0" w:line="225"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Wireless Deployment Services (which was sold in July 2007 and has been reflected as discontinued operations) provided a range of services for the full design and deployment of wireless networks carrier customers. Such services included: Radio Frequency Engineering; Spectrum Relocation; Fixed Network Engineering; Site Development; and Installation and Optimization Services.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Government Network Services Segment</w:t>
      </w:r>
    </w:p>
    <w:p>
      <w:pPr>
        <w:spacing w:after="0" w:line="225" w:lineRule="exact"/>
        <w:rPr>
          <w:sz w:val="20"/>
          <w:szCs w:val="20"/>
          <w:color w:val="auto"/>
        </w:rPr>
      </w:pPr>
    </w:p>
    <w:p>
      <w:pPr>
        <w:jc w:val="both"/>
        <w:ind w:right="360" w:firstLine="351"/>
        <w:spacing w:after="0" w:line="268" w:lineRule="auto"/>
        <w:rPr>
          <w:sz w:val="20"/>
          <w:szCs w:val="20"/>
          <w:color w:val="auto"/>
        </w:rPr>
      </w:pPr>
      <w:r>
        <w:rPr>
          <w:rFonts w:ascii="Arial" w:cs="Arial" w:eastAsia="Arial" w:hAnsi="Arial"/>
          <w:sz w:val="18"/>
          <w:szCs w:val="18"/>
          <w:color w:val="auto"/>
        </w:rPr>
        <w:t>Our Government Network Services segment primarily serves the Federal Department of Defense and Federal Information Technology and Engineering services markets. These markets include the following:</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maintenance and life cycle extension of legacy weapons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maintenance and development of command and control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engineering and other services at military weapons and targets ranges,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development, deployment, integration and management of communications and information networks.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Enterprise Network Services Segment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Enterprise Network Services segment is primarily focused on state, local, and municipal government and commercial customers. We provide system design, deployment, integration, monitoring and support services for security systems and other enterprise networks. These services relate to applications such as total facility monitoring and installation of building security, access control, video surveillance, temperature control and fire alarm. We provide services that combine such systems and offer integrated solutions on an Ethernet-based platform. We also offer solutions that combine voice, data, electronic security and building automation systems with fixed or wireless connectivity solutions.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Transformation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2006 and 2007, we undertook a transformation strategy whereby we divested our wireless-related businesses and chose to aggressively pursue business with the federal government, primarily the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U.S. Department of Defense, through strategic acquisitions. These divestitures and acquisitions are described in more detail below.</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and Discontinuance of Significant Subsidiaries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 December 2005, our Board made the decision to exit our Mexican operations and certain of our other deployment businesses in South America. Prior to this decision, these operations had been reported in our WNS segment. We determined that these operations met the criteria to be classified as held for sale. Accordingly, we reflected these operations as discontinued in accordance with SFAS No. 144, "Accounting for the Impairment or Disposal of Long-Lived Assets" in our financial statements as of and for the year ended 2005. The other South American operations were substantially shut down as of the end of December 2005.</w:t>
      </w:r>
    </w:p>
    <w:p>
      <w:pPr>
        <w:spacing w:after="0" w:line="15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February 17, 2006, we entered into an Equity Purchase Agreement to sell all of the stock of our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w:t>
      </w:r>
    </w:p>
    <w:p>
      <w:pPr>
        <w:spacing w:after="0" w:line="197"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Equity Purchase Agreement provided that we would receive total approximate consideration of $18.9 million, with $1.5 million in cash and the balance by a secured promissory note. As of December 31, 2006, we had received all installment payments due under the promissory note.</w:t>
      </w:r>
    </w:p>
    <w:p>
      <w:pPr>
        <w:spacing w:after="0" w:line="13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impact of the divestiture has been reflected in the consolidated balance sheets as of December 31, 2006. There was no gain or loss realized on the sale since the business was sold at its net carrying value.</w:t>
      </w:r>
    </w:p>
    <w:p>
      <w:pPr>
        <w:spacing w:after="0" w:line="186"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On December 28, 2006, our Board approved a plan to divest portions of our business where critical mass had not been achieved. This plan involved the divestiture of our EMEA operations and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commencing as of and for the year ended December 31, 2006.</w:t>
      </w:r>
    </w:p>
    <w:p>
      <w:pPr>
        <w:spacing w:after="0" w:line="16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March 9, 2007, we completed the sale of our EMEA operations to LCC Wireless Engineering Services Limited, a wholly-owned subsidiary of LCC International, Inc. ("LCCI") in a cash for stock transaction valued at $4 million. The sale of EMEA generated a gain of $3.3 million which was recorded in the first quarter of 2007.</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April 20, 2007, we completed the sale of all of the issued and outstanding equity interests of our wholly 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We recorded an impairment charge in the fourth quarter of 2006 of approximately $5.2 million to reduce the current carrying value of the South American operations to their estimated fair value less selling costs.</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June 4, 2007, the Company completed the sale to LCCI of the assets used in the conduct of the operation of the Company's Wireless Engineering Services portion of the wireless network services segment that provides engineering services to the non-government wireless communications industry in the United States.</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aggregate consideration in connection with the sale was $46 million, subject to certain adjustments. LCCI delivered a subordinated promissory note for the principal amount of $21.6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ind w:right="260"/>
        <w:spacing w:after="0" w:line="268" w:lineRule="auto"/>
        <w:rPr>
          <w:sz w:val="20"/>
          <w:szCs w:val="20"/>
          <w:color w:val="auto"/>
        </w:rPr>
      </w:pPr>
      <w:r>
        <w:rPr>
          <w:rFonts w:ascii="Arial" w:cs="Arial" w:eastAsia="Arial" w:hAnsi="Arial"/>
          <w:sz w:val="18"/>
          <w:szCs w:val="18"/>
          <w:color w:val="auto"/>
        </w:rPr>
        <w:t>subject to working capital adjustments, and paid $17 million in cash at the closing, and we retained an estimated $7.4 million in net accounts receivable of the business, subject to working capital adjustments.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July 5, 2007, we sold the $21.6 million subordinated promissory note taken in the sale of assets to LCCI. We received approximately $19.6 million in net cash proceeds, reflecting a discount from par value of less than five percent and aggregate transaction fees of approximately $1 million. The note was acquired by a fund affiliated with Silver Point Capital, L.P. We are not providing any guaranty for LCCI's payment obligations. Certain post closing adjustments that, under the terms of the sale of our U.S. Wireless Engineering business are expected to be made to the principal amount of the Note, may instead be made by payments between the Company and LCCI or between Silver Point and the Company as applicable.</w:t>
      </w:r>
    </w:p>
    <w:p>
      <w:pPr>
        <w:spacing w:after="0" w:line="17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August 10, 2007, in accordance with the terms of the Agreement, the Company provided the closing balance sheet working capital calculation, which indicated a $2.6 million working capital adjustment was due to the Company as an increase to the balance of the Subordinated Promissory Note. LCCI had thirty days to review the calculation and notify the Company of any dispute. The Company and LCCI have agreed to a final working capital calculation of $2.4 million.</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July 24, 2007, we completed the sale to an affiliate of Platinum Equity of our Wireless Deployment services portion of the wireless network services segment. The total consideration for the acquisition was $24 million including $18 million in cash at closing, subject to typical post closing working capital adjustments, and an aggregate $6 million in a three-year earn-out arrangement through 2010. The deal includes a Transition Services Agreement for the transition of certain services for a period of six months and the deployment business employees will remain our employees until October 1, 2007; under an employee leasing arrangement with Platinum. The assets sold to an affiliate of Platinum Equity include all of our Wireless Deployment business, and the Wireless Facilities name.</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September 25, 2007, in accordance with the terms of the Acquisition Agreement, we provided the working capital calculation to Platinum Equity, which indicated a $3.1 million working capital adjustment was due to Platinum primarily due to cash collected on accounts receivables by us prior to the close of the transaction that exceeded our previous estimate of working capital to be delivered to Platinum. In addition, there is approximately $1.0 million of potential additional working capital adjustments pending the final settlement of a customer contract termination issue. Platinum is currently in the process of reviewing our working capital calculation. We expect to pay the $3.1 million working capital adjustment to Platinum in November 2007 and are working with Platinum regarding the treatment of the $1.0 million in potential working capital adjustments related to the customer contract termination issue, as well as any other adjustments that Platinum may propose following completion of its review of the working capital computation. As of September 30, 2007, the balance of $4.1 million has been reflected in other current liabilities in the accompanying consolidated balance sheets.</w:t>
      </w:r>
    </w:p>
    <w:p>
      <w:pPr>
        <w:spacing w:after="0" w:line="172"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determined that the U.S. engineering and U.S. deployment operations met the criteria to be classified as held for sale in the first quarter of 2007. Accordingly, we reflected these operations as discontinued and assessed these assets for impairment in accordance with SFAS No. 144, "Accounting for the Impairment or Disposal of Long-Lived Assets". The Company determined that the assets of the U.S. deployment operations were impaired and recorded a loss of approximately $13.4 million in the first quarter of 2007. The fair value of the assets was determined by utilizing the sale price less estimated costs to sell the business. We recorded a gain in discontinued operations from the sale of the U.S. engineering operations of $14.8 million in the second quarter of 2007. Upon the divestiture of the deployment business on July 24, 2007, the Company recorded a loss from disposal of $1.9 million, reflecting the closing working capital adjustment and final closing balance sheet. In addition, the Company recorded a charge in the third quarter of 2007 for an excess facility accrual of approximately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$1.1 million related to certain facility leases of Deployment field offices that were not assumed by Platinum.</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our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of approximately $7.2 million related to goodwill for this reporting unit which was recorded in the first quarter of 2007.</w:t>
      </w:r>
    </w:p>
    <w:p>
      <w:pPr>
        <w:spacing w:after="0" w:line="198"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wireless network services business was allocated to discontinued operations for the periods presented. During the three and nine month periods ended September 30, 2007 interest expense allocated to discontinued operations was approximately $0.1 million and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$2.2 million, respectively. During the three and nine month periods ended September 30, 2006 no interest expense was allocated to discontinued operations as we entered into our current credit agreement on October 2, 2006.</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November 2, 2007, Kratos Government Solutions, Inc. ("</w:t>
      </w:r>
      <w:r>
        <w:rPr>
          <w:rFonts w:ascii="Arial" w:cs="Arial" w:eastAsia="Arial" w:hAnsi="Arial"/>
          <w:sz w:val="16"/>
          <w:szCs w:val="16"/>
          <w:i w:val="1"/>
          <w:iCs w:val="1"/>
          <w:color w:val="auto"/>
        </w:rPr>
        <w:t>Parent</w:t>
      </w:r>
      <w:r>
        <w:rPr>
          <w:rFonts w:ascii="Arial" w:cs="Arial" w:eastAsia="Arial" w:hAnsi="Arial"/>
          <w:sz w:val="16"/>
          <w:szCs w:val="16"/>
          <w:color w:val="auto"/>
        </w:rPr>
        <w:t>"), our wholly-owned subsidiary entered into an Agreement and Plan of Merger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with Haverstick Consulting, Inc. ("</w:t>
      </w:r>
      <w:r>
        <w:rPr>
          <w:rFonts w:ascii="Arial" w:cs="Arial" w:eastAsia="Arial" w:hAnsi="Arial"/>
          <w:sz w:val="16"/>
          <w:szCs w:val="16"/>
          <w:i w:val="1"/>
          <w:iCs w:val="1"/>
          <w:color w:val="auto"/>
        </w:rPr>
        <w:t>Haverstick</w:t>
      </w:r>
      <w:r>
        <w:rPr>
          <w:rFonts w:ascii="Arial" w:cs="Arial" w:eastAsia="Arial" w:hAnsi="Arial"/>
          <w:sz w:val="16"/>
          <w:szCs w:val="16"/>
          <w:color w:val="auto"/>
        </w:rPr>
        <w:t>"). Pursuant to the Merger Agreement, a wholly-owned subsidiary of Parent shall be merged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and into Haverstick (the "</w:t>
      </w:r>
      <w:r>
        <w:rPr>
          <w:rFonts w:ascii="Arial" w:cs="Arial" w:eastAsia="Arial" w:hAnsi="Arial"/>
          <w:sz w:val="16"/>
          <w:szCs w:val="16"/>
          <w:i w:val="1"/>
          <w:iCs w:val="1"/>
          <w:color w:val="auto"/>
        </w:rPr>
        <w:t>Merger</w:t>
      </w:r>
      <w:r>
        <w:rPr>
          <w:rFonts w:ascii="Arial" w:cs="Arial" w:eastAsia="Arial" w:hAnsi="Arial"/>
          <w:sz w:val="16"/>
          <w:szCs w:val="16"/>
          <w:color w:val="auto"/>
        </w:rPr>
        <w:t>"), and Haverstick shall be the surviving corporation in the Merger and shall continue its corporate existence under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State of Indiana as a wholly-owned subsidiary of Parent after the Merger. The completion of the Merger is subject to customary closing conditions.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each of Parent and Haverstick approved the Merger and the Merger Agreement.</w:t>
      </w:r>
    </w:p>
    <w:p>
      <w:pPr>
        <w:spacing w:after="0" w:line="21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Upon completion of the Merger, all outstanding shares of capital stock of Haverstick will be exchanged for an aggregate consideration equal to approximately 7,480,000 shares of our common stock and $69.5 million in cash, subject to certain adjustments. Approximately 2,858,000 shares of our common stock and $1.2 million in cash shall be withheld as security for satisfaction of certain indemnification obligations and payable over a twenty-one month period following the closing date of the Merger pursuant to the terms of the Merger Agreement.</w:t>
      </w:r>
    </w:p>
    <w:p>
      <w:pPr>
        <w:spacing w:after="0" w:line="16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shares of our common stock issued in connection with the Merger will be issued in a private placement transaction pursuant to Section 4(2)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the rules and regulations promulgated thereunder. Pursuant to the terms of the Merger Agreement, Parent has agreed to use its reasonable best efforts to file a resale registration statement covering the shares issuable in connection with the Merger promptly following the closing date. In the event that the shares of our common stock issued at the closing (the "</w:t>
      </w:r>
      <w:r>
        <w:rPr>
          <w:rFonts w:ascii="Arial" w:cs="Arial" w:eastAsia="Arial" w:hAnsi="Arial"/>
          <w:sz w:val="16"/>
          <w:szCs w:val="16"/>
          <w:i w:val="1"/>
          <w:iCs w:val="1"/>
          <w:color w:val="auto"/>
        </w:rPr>
        <w:t>Closing Stock</w:t>
      </w:r>
      <w:r>
        <w:rPr>
          <w:rFonts w:ascii="Arial" w:cs="Arial" w:eastAsia="Arial" w:hAnsi="Arial"/>
          <w:sz w:val="16"/>
          <w:szCs w:val="16"/>
          <w:color w:val="auto"/>
        </w:rPr>
        <w:t>") are not salable under Rule 144 promulgated under the Securities Act ("</w:t>
      </w:r>
      <w:r>
        <w:rPr>
          <w:rFonts w:ascii="Arial" w:cs="Arial" w:eastAsia="Arial" w:hAnsi="Arial"/>
          <w:sz w:val="16"/>
          <w:szCs w:val="16"/>
          <w:i w:val="1"/>
          <w:iCs w:val="1"/>
          <w:color w:val="auto"/>
        </w:rPr>
        <w:t>Rule 144</w:t>
      </w:r>
      <w:r>
        <w:rPr>
          <w:rFonts w:ascii="Arial" w:cs="Arial" w:eastAsia="Arial" w:hAnsi="Arial"/>
          <w:sz w:val="16"/>
          <w:szCs w:val="16"/>
          <w:color w:val="auto"/>
        </w:rPr>
        <w:t>") or pursuant to an effective registration statement as of the twelve month anniversary of the closing date, holders of the Closing Stock may elect to exchange such shares for a cash amount equal to $2.74 per share in accordance with the terms of the Merger Agreement. Until the date on which the shares of Closing Stock are salable under Rule 144 or pursuant to an effective registration statement, interest shall accrue on the value of the Closing Stock at a floating rate of one-month LIBOR plus four percent (4%) per annum. The value of the Closing Stock for purposes of calculating the accrued interest shall be determined in accordance with the terms of the Merger Agreement and the aggregate interest amount shall be payable by Parent in shares of our common stock. Parent shall pay the cash portion of the purchase price with cash to be provided under a $75,000,000 credit facility to be provided by KeyBank Capital Markets ("</w:t>
      </w:r>
      <w:r>
        <w:rPr>
          <w:rFonts w:ascii="Arial" w:cs="Arial" w:eastAsia="Arial" w:hAnsi="Arial"/>
          <w:sz w:val="16"/>
          <w:szCs w:val="16"/>
          <w:i w:val="1"/>
          <w:iCs w:val="1"/>
          <w:color w:val="auto"/>
        </w:rPr>
        <w:t>KeyBank</w:t>
      </w:r>
      <w:r>
        <w:rPr>
          <w:rFonts w:ascii="Arial" w:cs="Arial" w:eastAsia="Arial" w:hAnsi="Arial"/>
          <w:sz w:val="16"/>
          <w:szCs w:val="16"/>
          <w:color w:val="auto"/>
        </w:rPr>
        <w:t>") pursuant to the terms of that certain Facility Letter and Term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7" w:name="page38"/>
    <w:bookmarkEnd w:id="37"/>
    <w:p>
      <w:pPr>
        <w:ind w:right="840"/>
        <w:spacing w:after="0" w:line="268" w:lineRule="auto"/>
        <w:rPr>
          <w:sz w:val="20"/>
          <w:szCs w:val="20"/>
          <w:color w:val="auto"/>
        </w:rPr>
      </w:pPr>
      <w:r>
        <w:rPr>
          <w:rFonts w:ascii="Arial" w:cs="Arial" w:eastAsia="Arial" w:hAnsi="Arial"/>
          <w:sz w:val="18"/>
          <w:szCs w:val="18"/>
          <w:color w:val="auto"/>
        </w:rPr>
        <w:t>Sheet by and among Kratos and KeyBank, dated October 24, 2007. Upon execution of the new credit facility, the Company expects that the remaining unamortized costs incurred related to its existing credit facility of approximately $1.1 million will be expensed.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Transition to New Company Name</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noted above, the final wireless related divestiture of Kratos's Wireless Deployment business included the sale of the Company's name, Wireless Facilities, Inc. Accordingly, the Company announced on September 12, 2007 the change of its corporate name to Kratos Defense &amp; Security Solutions, Inc. and stock ticker symbol to reflect its new business focus. The Company began trading under its new sticker ("KTOS") on September 17, 2007.</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complete description of our business is set forth in our Form 10-K filed with the Securities and Exchange Commission on September 11, 2007.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Organization</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current organization is consistent with our primary customer sets and strategic focus. We currently have two primary types of target markets for our business operations within our Government Network Services (WGS) segment and our Enterprise Network Services (ENS) segment: federal government; and state, local, municipal and commercial customers. Our WGS business has certain areas of focus and expertise which are defined as: "Communications &amp; Technology," "Technical Resources," and "Engineering Design and Solutions." Our Enterprise Business and our Enterprise Network Services Segment, is focused on State, Local, Municipal and Commercial customers. We maintain regional offices where our primary resources and customers are located.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WGS Segment—Primary Customers and Services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WGS segment serves primarily the United States Department of Defense marketplace and the federal information technology services market, which includes the engineering and technical services related to the maintenance and lifecycle extension of weapon systems, operations and ancillary services for military weapons and targets ranges, installation of command and control systems and equipment, and, the design, development, deployment, integration and management of communications and information networks.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 Segment—Primary Customers and Services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ENS segment provides system design, deployment, integration, monitoring and support services for non-federal, state, local and municipal governments and civilian customers. This type of non-federal government customer work has been traditionally segregated into systems related to security, data, access control, video surveillance, temperature control and fire alarm. We provide services that combine such systems and offer integrated solutions on Ethernet-based and IP based platforms. We also offer solutions that combine overall security and safety, voice, data, electronic security and building automation systems with fixed or wireless connectivity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For a discussion of our complete critical accounting matters, please refer to Item 7, "Management's Discussion and Analysis of Financial Condition and Results of Operations," in our 2006 Report on Form 10-K under the heading "Critical Accounting Matters."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ind w:firstLine="351"/>
        <w:spacing w:after="0" w:line="284"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have derived a significant percentage of our revenue from long-term contracts and accounted for these contracts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Statement of Position 81-1, "Accounting for Performance of Construction-Type and Certain Production-Type Contracts". Revenue on time and materials contracts is recognized as services are rendered at contracted labor rates plus material and other direct costs incurred. Revenue on fixed-price contracts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8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reporting periods contained herein, we did experience revenue and margin adjustments of certain projects based on the aforementioned factors.</w:t>
      </w:r>
    </w:p>
    <w:p>
      <w:pPr>
        <w:spacing w:after="0" w:line="24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Long-lived and Intangible Assets. </w:t>
      </w:r>
      <w:r>
        <w:rPr>
          <w:rFonts w:ascii="Arial" w:cs="Arial" w:eastAsia="Arial" w:hAnsi="Arial"/>
          <w:sz w:val="18"/>
          <w:szCs w:val="18"/>
          <w:color w:val="auto"/>
        </w:rPr>
        <w:t>We account for long-lived assets in accordance with the provisions of SFAS No. 144,</w:t>
      </w:r>
      <w:r>
        <w:rPr>
          <w:rFonts w:ascii="Arial" w:cs="Arial" w:eastAsia="Arial" w:hAnsi="Arial"/>
          <w:sz w:val="18"/>
          <w:szCs w:val="18"/>
          <w:i w:val="1"/>
          <w:iCs w:val="1"/>
          <w:color w:val="auto"/>
        </w:rPr>
        <w:t xml:space="preserve"> Accounting for the Impairment or Disposal of Long-Lived Assets </w:t>
      </w:r>
      <w:r>
        <w:rPr>
          <w:rFonts w:ascii="Arial" w:cs="Arial" w:eastAsia="Arial" w:hAnsi="Arial"/>
          <w:sz w:val="18"/>
          <w:szCs w:val="18"/>
          <w:color w:val="auto"/>
        </w:rPr>
        <w:t>("SFAS 144"). SFAS 144 addresses financial accounting and reporting for the impairment or disposal of long-lived assets.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requires that long-lived assets be reviewed for impairment whenever events or changes in circumstances indicate that the carrying amount of an asset may not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t>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SFAS 144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accordance with SFAS 144,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a quarterly basis, we assess whether events or changes in circumstances have occurred that potentially indicate the carrying value of long-lived assets may not be recoverable.</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Goodwill and Purchased Intangible Assets. </w:t>
      </w:r>
      <w:r>
        <w:rPr>
          <w:rFonts w:ascii="Arial" w:cs="Arial" w:eastAsia="Arial" w:hAnsi="Arial"/>
          <w:sz w:val="18"/>
          <w:szCs w:val="18"/>
          <w:color w:val="auto"/>
        </w:rPr>
        <w:t>We evaluate our goodwill and intangible assets for impairment pursuant to SFAS No. 142,</w:t>
      </w:r>
      <w:r>
        <w:rPr>
          <w:rFonts w:ascii="Arial" w:cs="Arial" w:eastAsia="Arial" w:hAnsi="Arial"/>
          <w:sz w:val="18"/>
          <w:szCs w:val="18"/>
          <w:i w:val="1"/>
          <w:iCs w:val="1"/>
          <w:color w:val="auto"/>
        </w:rPr>
        <w:t xml:space="preserve"> Goodwill and Other Intangible Assets </w:t>
      </w:r>
      <w:r>
        <w:rPr>
          <w:rFonts w:ascii="Arial" w:cs="Arial" w:eastAsia="Arial" w:hAnsi="Arial"/>
          <w:sz w:val="18"/>
          <w:szCs w:val="18"/>
          <w:color w:val="auto"/>
        </w:rPr>
        <w:t>("SFAS 142"), which provides that goodwill and other intangible assets with indefinite lives are not amortized but tested for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which we do in the fourth quarter or more frequently if circumstances indicate potential impairment. These events or circumstances could include a significant change in the business climate, legal factors, operating performance indicators, competition or sale or disposition of a significant portion of a reporting unit. The impairment test is comprised of two steps:</w:t>
      </w:r>
    </w:p>
    <w:p>
      <w:pPr>
        <w:spacing w:after="0" w:line="197" w:lineRule="exact"/>
        <w:rPr>
          <w:sz w:val="20"/>
          <w:szCs w:val="20"/>
          <w:color w:val="auto"/>
        </w:rPr>
      </w:pPr>
    </w:p>
    <w:p>
      <w:pPr>
        <w:ind w:left="1220" w:hanging="321"/>
        <w:spacing w:after="0"/>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reporting unit's fair value is compared to its carrying value. The carrying values of each reporting unit are determined by specifically</w:t>
      </w:r>
    </w:p>
    <w:p>
      <w:pPr>
        <w:spacing w:after="0" w:line="38" w:lineRule="exact"/>
        <w:rPr>
          <w:rFonts w:ascii="Arial" w:cs="Arial" w:eastAsia="Arial" w:hAnsi="Arial"/>
          <w:sz w:val="16"/>
          <w:szCs w:val="16"/>
          <w:color w:val="auto"/>
        </w:rPr>
      </w:pPr>
    </w:p>
    <w:p>
      <w:pPr>
        <w:ind w:left="540" w:right="40"/>
        <w:spacing w:after="0" w:line="261" w:lineRule="auto"/>
        <w:rPr>
          <w:rFonts w:ascii="Arial" w:cs="Arial" w:eastAsia="Arial" w:hAnsi="Arial"/>
          <w:sz w:val="16"/>
          <w:szCs w:val="16"/>
          <w:color w:val="auto"/>
        </w:rPr>
      </w:pPr>
      <w:r>
        <w:rPr>
          <w:rFonts w:ascii="Arial" w:cs="Arial" w:eastAsia="Arial" w:hAnsi="Arial"/>
          <w:sz w:val="18"/>
          <w:szCs w:val="18"/>
          <w:color w:val="auto"/>
        </w:rPr>
        <w:t>identifying and allocating the assets and liabilities of the Company to each reporting unit based on headcount, relative revenues or costs, or other methods as deemed appropriate by management. If the fair value is less than its carrying value, impairment is indicated;</w:t>
      </w:r>
    </w:p>
    <w:p>
      <w:pPr>
        <w:spacing w:after="0" w:line="191" w:lineRule="exact"/>
        <w:rPr>
          <w:rFonts w:ascii="Arial" w:cs="Arial" w:eastAsia="Arial" w:hAnsi="Arial"/>
          <w:sz w:val="16"/>
          <w:szCs w:val="16"/>
          <w:color w:val="auto"/>
        </w:rPr>
      </w:pPr>
    </w:p>
    <w:p>
      <w:pPr>
        <w:ind w:left="540" w:right="100" w:firstLine="359"/>
        <w:spacing w:after="0" w:line="268" w:lineRule="auto"/>
        <w:tabs>
          <w:tab w:leader="none" w:pos="12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impairment is indicated in the first step, it is measured by comparing the implied fair value of goodwill and intangible assets to their carrying value at the reporting unit level.</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fair value of each reporting unit is estimated using discounted cash flow methodology or market information if it is available. The use of the discounted cash flow methodology requires significant judgments including estimation of future cash flows, which is dependent on internal forecasts, estimation of the long-term rate of growth for our business, the useful life over which cash flows will occur, and determination of our weighted average cost of capital. Changes in these estimates and assumptions could materially affect the determination of fair value and/or goodwill impairment for each reporting unit. We allocate goodwill to reporting units based on the reporting unit expected to benefit from the combination. We reassign goodwill using a relative fair value allocation approach.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2006 to the Three Months Ended September 30, 2007</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$10.6 million from $36.9 million for the three months ended September 30, 2006 to $47.5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2007. This increase was primarily due to $17.8 million in revenues from MRC, which was acquired in October 2006, partially offset by decreases due to the reduction of one program with quarterly revenues of nearly $1.5 million that was consolidated by one of our Department of Defense ("DOD") customers, as well as, to a lesser degree, other program delays and losses resulting in net reduced revenues of $3.1 million in our other businesses within our Government Network segment. Reductions in our Enterprise Network segments revenue of $4.1 million were primarily related to our exit of the municipal wireless business in the first quarter of 2007.</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September 30, 2006 and 2007 are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Enterprise Network Services</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Government Network Services</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-751840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-751840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-751840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-751840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-751840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-751840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-751840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-323215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-323215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$29.1 million for the three months ended September 30, 2006 to $39.3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2007 primarily as a result of the increase in MRC revenues. Gross margin during the three months ended September 30, 2007 decreased from 21.1% in the third quarter of 2006 to 17.3%. The decrease in gross margin primarily resulted from an increased mix of Government network services business, which generally reports the classification of cost elements based upon definitions in accordance with government contracting regulations. As a result, cost of revenues in the 2007 periods includes certain cost elements that would otherwise be classified as SG&amp;A expense under a commercial contract arrangement.</w:t>
      </w:r>
    </w:p>
    <w:p>
      <w:pPr>
        <w:spacing w:after="0" w:line="19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from $8.5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2006 to $8.9 million in the three months ended September 30, 2007, primarily reflecting the increase due to the MRC acquisition. Included in the SG&amp;A for the third quarter of 2006 and 2007 is amortization of purchased intangibles of $0.4 million and $0.7 million, respectively. As a percentage of revenues, SG&amp;A decreased from 23.0% in the third quarter of 2006 to 18.7% in the third quarter of 2007. Excluding the impact of the amortization of purchased intangibles, SG&amp;A decreased from 22.0% to 17.3% of revenues for both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right="80"/>
        <w:spacing w:after="0" w:line="268" w:lineRule="auto"/>
        <w:rPr>
          <w:sz w:val="20"/>
          <w:szCs w:val="20"/>
          <w:color w:val="auto"/>
        </w:rPr>
      </w:pPr>
      <w:r>
        <w:rPr>
          <w:rFonts w:ascii="Arial" w:cs="Arial" w:eastAsia="Arial" w:hAnsi="Arial"/>
          <w:sz w:val="18"/>
          <w:szCs w:val="18"/>
          <w:color w:val="auto"/>
        </w:rPr>
        <w:t>periods, due partially to the classification of cost elements for the increased mix of government contracts as described above, as well as due to the leverage of the SG&amp;A infrastructure on the increased revenues.</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Stock Option Investigation and Related Fees. </w:t>
      </w:r>
      <w:r>
        <w:rPr>
          <w:rFonts w:ascii="Arial" w:cs="Arial" w:eastAsia="Arial" w:hAnsi="Arial"/>
          <w:sz w:val="18"/>
          <w:szCs w:val="18"/>
          <w:color w:val="auto"/>
        </w:rPr>
        <w:t>The costs in the third quarter of 2007 of $6.5 million were comprised of legal, accountant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fees related to our Equity Award Review which was completed in September 2007.</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Restructuring and Asset Impairment Charge. </w:t>
      </w:r>
      <w:r>
        <w:rPr>
          <w:rFonts w:ascii="Arial" w:cs="Arial" w:eastAsia="Arial" w:hAnsi="Arial"/>
          <w:sz w:val="18"/>
          <w:szCs w:val="18"/>
          <w:color w:val="auto"/>
        </w:rPr>
        <w:t>The costs in the third quarter of 2007 of $1.2 million were comprised of $0.8 million for an excess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for obligations under facility leases that were unfavorably impacted by our recent divestitures of our wireless network services businesses which resulted in unused office space, $0.2 million related to the impairment of leasehold improvements for these facilities and $0.2 million related to an impairment of fixed assets.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For the three months ended September 30, 2006 and 2007, net other income was $0.0 million and $0.1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 $0.1 million for the three months ended September 30, 2007 that was required to be repaid as a result of the sales of our wireless network services business was allocated to discontinued operations for the periods presented. See Note 6, significant transactions. Consequently, the interest cost recorded in the three months ended September 30, 2007 from the Line of Credit borrowings used to fund the MRC acquisition was allocated to discontinued operations. The other income in 2006 was due to interest income on the Note Receivable relating to the sale of our Mexican subsidiary partially offset by interest expense for the borrowings on the Line of Credit.</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increased from a provision of $0.1 million or a negative 14.3% rate on $0.7 million of loss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in the third quarter of 2006 to a provision of $0.4 million or negative 4.8% on a loss before income taxes of $8.3 million. The tax provision in the third quarter of 2007 was primarily due to an increase in the deferred tax liability related to temporary differences on indefinite life intangibles that were not offset by deferred tax assets due to the full valuation allowance we have recorded on these assets, and miscellaneous state taxes.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Loss from discontinued operations increased from $0.1 million for the three months ended September 30, 2006 to a</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$4.7 million for the three months ended September 30, 2007. The increase was primarily due to a loss on disposal of $1.9 million on the sale of the Wireless Deployment Services business operations in the third quarter of 2007 as well as a charge for excess facility accrual of approximately $1.1 million related to certain facility leases of Deployment field offices that were not assumed by the buyer.</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Revenues and operating income (loss) generated by these businesses excluding the loss on sale of deployment and the charge for the excess facility accrual, through the date of divestiture and quarter end, were approximately $47.1 million and operating income of $0.2 million, respectively, in the third quarter of 2006 compared to $6.1 million and operating loss of $1.4 million, respectively, in the third quarter of 2007. The decrease year over year was impacted by the divestitures of the wireless network services businesses in 2007; see Note 6 to the Notes to the Consolidated Financial Statements for further discussion of these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2006 to the Nine Months Ended September 30, 2007</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38.8% from $104.0 million for the nine months ended September 30, 2006 to $144.3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The $40.3 million increase was attributable to an increase of $46.6 million in our government network services segment as a result of $54.7 million of revenues from MRC partially offset by decreases due to the reduction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right="60"/>
        <w:spacing w:after="0" w:line="306" w:lineRule="auto"/>
        <w:rPr>
          <w:sz w:val="20"/>
          <w:szCs w:val="20"/>
          <w:color w:val="auto"/>
        </w:rPr>
      </w:pPr>
      <w:r>
        <w:rPr>
          <w:rFonts w:ascii="Arial" w:cs="Arial" w:eastAsia="Arial" w:hAnsi="Arial"/>
          <w:sz w:val="16"/>
          <w:szCs w:val="16"/>
          <w:color w:val="auto"/>
        </w:rPr>
        <w:t>one program with annualized revenues of nearly $6 million that was consolidated by one of our Department of Defense ("DOD") customers as well as, to a lesser degree, other program delays and losses resulting in reduced revenues of $8.1 million in other businesses within our Government Network segment. Reductions in our Enterprise Network segment of $6.0 million were primarily related to our exit of the municipal wireless business in the first quarter of 2007.</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nine months ended September 30, 2006 and 2007 are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Enterprise network services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Government network services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104.0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-751840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-751840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-751840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-751840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-751840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-751840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-751840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-323215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-323215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-323215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$82.9 million for the nine months ended September 30, 2006 to $121.3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2007 primarily due to the corresponding aforementioned increase in total revenues. Gross margin decreased from 20.3% of total revenues for the nine months ended September 30, 2006 to 15.9% for the same period in 2007. The decrease in gross margin primarily resulted from an increased mix of Government services business, which generally reports the classification of cost elements based upon definitions in accordance with government contracting regulations. As a result, cost of revenues in the 2007 periods includes certain cost elements that would otherwise be classified as SG&amp;A expense under a commercial contract arrangement.</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from $24.8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2006 to $28.8 million for the nine months ended September 30, 2007, primarily reflecting the acquisition of MRC. Included in the SG&amp;A for the nine months of 2006 and 2007 is amortization of purchased intangibles of $1.3 million and $2.1 million, respectively. The increase in amortization year over year is also a result of the MRC acquisition. As a percentage of revenues, SG&amp;A decreased from 23.8% in the first nine months of 2006 to 20.0% in the first nine months of 2007, reflecting the leverage of our SG&amp;A infrastructure with increased revenues. Excluding the impact of the amortization of purchased intangibles, SG&amp;A decreased from 22.6% to 18.5% of revenues for the first nine months of 2006 and 2007, respectively, due partially to the classification of cost elements for the increased mix of government contracts as described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Stock Option Investigation and Related Fees. </w:t>
      </w:r>
      <w:r>
        <w:rPr>
          <w:rFonts w:ascii="Arial" w:cs="Arial" w:eastAsia="Arial" w:hAnsi="Arial"/>
          <w:sz w:val="18"/>
          <w:szCs w:val="18"/>
          <w:color w:val="auto"/>
        </w:rPr>
        <w:t>The costs in the first nine months of 2007 of $13.0 million were comprised of legal, accounting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fees related to our Equity Award Review which was completed in September 2007.</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Restructuring and Asset Impairment Charge. </w:t>
      </w:r>
      <w:r>
        <w:rPr>
          <w:rFonts w:ascii="Arial" w:cs="Arial" w:eastAsia="Arial" w:hAnsi="Arial"/>
          <w:sz w:val="18"/>
          <w:szCs w:val="18"/>
          <w:color w:val="auto"/>
        </w:rPr>
        <w:t>The costs in the nine months of 2007 of $1.2 million were comprised of $0.8 million for an excess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for obligations under facility leases that were unfavorably impacted by our recent divestitures of our wireless network services businesses which resulted in unused office space, $0.2 million related to the impairment of leasehold improvements for these facilities and $0.2 million related to an impairment of fixed assets.</w:t>
      </w:r>
    </w:p>
    <w:p>
      <w:pPr>
        <w:spacing w:after="0" w:line="197" w:lineRule="exact"/>
        <w:rPr>
          <w:sz w:val="20"/>
          <w:szCs w:val="20"/>
          <w:color w:val="auto"/>
        </w:rPr>
      </w:pPr>
    </w:p>
    <w:p>
      <w:pPr>
        <w:ind w:right="260" w:firstLine="351"/>
        <w:spacing w:after="0" w:line="286"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For the nine months ended September 30, 2006, net other income was $0.4 million compared to $0.8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months ended September 30, 2007.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w:t>
      </w:r>
    </w:p>
    <w:p>
      <w:pPr>
        <w:ind w:right="100"/>
        <w:spacing w:after="0" w:line="292" w:lineRule="auto"/>
        <w:rPr>
          <w:sz w:val="20"/>
          <w:szCs w:val="20"/>
          <w:color w:val="auto"/>
        </w:rPr>
      </w:pPr>
      <w:r>
        <w:rPr>
          <w:rFonts w:ascii="Arial" w:cs="Arial" w:eastAsia="Arial" w:hAnsi="Arial"/>
          <w:sz w:val="16"/>
          <w:szCs w:val="16"/>
          <w:color w:val="auto"/>
        </w:rPr>
        <w:t>$2.2 million for the nine months ended September 30, 2007 that was required to be repaid as a result of the sales of our wireless network services business was allocated to discontinued operations for the periods presented. See Note 6, significant transactions. Consequently, the interest cost for the nine months ended September 30, 2007 from the Line of Credit borrowings used to fund the MRC acquisition was primarily allocated to discontinued operations. The other income in 2006 was due to interest on the Note Receivable relating to the sale of our Mexican subsidiary partially offset by interest expense for the borrowings on the Line of Credit. The increase in other income for the nine months ended September 30, 2007 was primarily the result of the sale of assets.</w:t>
      </w:r>
    </w:p>
    <w:p>
      <w:pPr>
        <w:spacing w:after="0" w:line="171" w:lineRule="exact"/>
        <w:rPr>
          <w:sz w:val="20"/>
          <w:szCs w:val="20"/>
          <w:color w:val="auto"/>
        </w:rPr>
      </w:pPr>
    </w:p>
    <w:p>
      <w:pPr>
        <w:ind w:right="360" w:firstLine="351"/>
        <w:spacing w:after="0" w:line="255"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Our effective income tax rate for the nine months ended September 30, 2006 was a 30.3% rate, or a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on a loss before taxes of $3.3 million, compared to a negative 4.7% provision rate for the nine months ended September 30, 2007, or a $0.9 million provision on a loss before taxes of $19.2 million. The tax provision in 2007 was primarily due to an increase in the deferred tax liability related to temporary differences on indefinite life intangibles that were not offset by deferred tax assets due to the full valuation allowance we have recorded on these assets, and miscellaneous state taxes.</w:t>
      </w:r>
    </w:p>
    <w:p>
      <w:pPr>
        <w:spacing w:after="0" w:line="197" w:lineRule="exact"/>
        <w:rPr>
          <w:sz w:val="20"/>
          <w:szCs w:val="20"/>
          <w:color w:val="auto"/>
        </w:rPr>
      </w:pPr>
    </w:p>
    <w:p>
      <w:pPr>
        <w:ind w:left="360"/>
        <w:spacing w:after="0"/>
        <w:tabs>
          <w:tab w:leader="none" w:pos="3700" w:val="left"/>
        </w:tabs>
        <w:rPr>
          <w:sz w:val="20"/>
          <w:szCs w:val="20"/>
          <w:color w:val="auto"/>
        </w:rPr>
      </w:pPr>
      <w:r>
        <w:rPr>
          <w:rFonts w:ascii="Arial" w:cs="Arial" w:eastAsia="Arial" w:hAnsi="Arial"/>
          <w:sz w:val="18"/>
          <w:szCs w:val="18"/>
          <w:i w:val="1"/>
          <w:iCs w:val="1"/>
          <w:color w:val="auto"/>
        </w:rPr>
        <w:t>Income (loss) from Discontinued Operations.</w:t>
      </w:r>
      <w:r>
        <w:rPr>
          <w:sz w:val="20"/>
          <w:szCs w:val="20"/>
          <w:color w:val="auto"/>
        </w:rPr>
        <w:tab/>
      </w:r>
      <w:r>
        <w:rPr>
          <w:rFonts w:ascii="Arial" w:cs="Arial" w:eastAsia="Arial" w:hAnsi="Arial"/>
          <w:sz w:val="15"/>
          <w:szCs w:val="15"/>
          <w:color w:val="auto"/>
        </w:rPr>
        <w:t>For the nine months ended September 30, 2006, income of $0.0 million decreased to a loss of $9.2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2007. The decrease was primarily due to impairment of assets related to the Wireless Deployment business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$13.4 million and an impairment of goodwill related to this business of $7.2 million recorded in the first quarter of 2007 and the $1.9 million loss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of our deployment business in the third quarter of 2007 and the $1.1 million excess facility accrual recorded in the third quarter of 2007, all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 gain of $14.8 million on the sale of the Wireless Engineering Services business operations in the second quarter of 2007 and a gain of $3.3 million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sale of the EMEA business in the first quarter of 2007. Revenues and operating income (loss) generated by these businesses in the first nine months of 2007,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through the date of divestitures for these businesses, excluding the impairment of assets and gains (losses) on sales were approximately $85.7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of $4.5 million, respectively, compared to $156.0 million and operating income of $1.6 million, respectively, in the first nine months of 2006.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year over year was impacted by the divestitures of the wireless network services businesses in 2007; see Note 6 to the Notes to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for further discussion of these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sources of liquidity include cash and cash equivalents, cash from operations and other external sources of funds. As of September 30, 2007, we had cash and cash equivalents totaling $6.2 million.</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make strategic acquisitions. Financing trade accounts receivable is necessary because, on average,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4" w:name="page45"/>
    <w:bookmarkEnd w:id="44"/>
    <w:p>
      <w:pPr>
        <w:jc w:val="both"/>
        <w:ind w:right="320"/>
        <w:spacing w:after="0" w:line="306" w:lineRule="auto"/>
        <w:rPr>
          <w:sz w:val="20"/>
          <w:szCs w:val="20"/>
          <w:color w:val="auto"/>
        </w:rPr>
      </w:pPr>
      <w:r>
        <w:rPr>
          <w:rFonts w:ascii="Arial" w:cs="Arial" w:eastAsia="Arial" w:hAnsi="Arial"/>
          <w:sz w:val="16"/>
          <w:szCs w:val="16"/>
          <w:color w:val="auto"/>
        </w:rPr>
        <w:t>customers and payers for our services do not pay us as quickly as we pay our vendors and employees for their goods and services primarily due to contractual billing milestones that must be achieved to enable us to bill our customers. Capital expenditures consist primarily of investment in field equipment, computer hardware and software and improvement of our physical properties in order to maintain suitable conditions to conduct our business.</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Cash from continuing operations is primarily derived from our customer contracts in progress and associated changes in working capital components. Cash provided by continuing operations was $5.0 million for the nine months ended September 30, 2006 compared to $4.9 million for the nine months ended September 30, 2007.</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Cash used in investing activities from continuing operations was $0.7 million for the nine months ended September 30, 2006 compared to cash provided by investing activities of $51.4 million for the nine months ended September 30, 2007. During the nine months ended September 30, 2006, investing activities included cash paid of $8.3 million related to contingent consideration related to prior acquisitions, capital expenditures of $1.7 million, partially offset by proceeds received from the disposition of our Mexican discontinued operations of $9.3 million. During the nine months ended September 30, 2007, investing activities included proceeds of $57.7 million from the disposition of our EMEA and domestic wireless network services discontinued operations, offset by capital expenditures of $1.1 million and cash paid of $6.2 million for contingent consideration of prior acquisitions. See Notes 6 and 7 to our unaudited consolidated financial statements for further discussion of our acquisitions and discontinued operations.</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provided by financing activities from continuing operations was $7.8 million for the nine months ended September 30, 2006. The positive cash flow from financing activities for this period consisted primarily of $8.0 million in net borrowings from the Line of Credit (LOC).</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Cash used in financing activities from continuing operations was $50.4 million for the nine months ended September 30, 2007. Borrowings of $8.0 million under the LOC were offset by payments of $58.0 million under the LOC and repayment of capital lease obligations of $0.4 million. The payments on the LOC were made with the proceeds received from the sale of our remaining wireless network services segment.</w:t>
      </w:r>
    </w:p>
    <w:p>
      <w:pPr>
        <w:spacing w:after="0" w:line="16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Cash used by discontinued operations was $10.7 million for the nine months ended September 30, 2006 and $5.1 million for the nine months ended September 30, 2007.</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credit facility contains customary events of default, including payment defaults, breaches of representations and warranties, and covenant defaults. As of June 30, 2007, we were in technical default of this agreement as we had not yet filed our Report on Form 10-K and 2006 audited financial statements. On April 6, 2007, we entered into an amendment to the credit agreement whereby KeyBank waived this technical default and provided an extension through April 30, 2007 for filing our Report on Form 10-K and 2006 audited financial statements. On June 1, 2007, we entered into a second amendment to the credit agreement whereby KeyBank extended the original waiver for filing our Report on Form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resulting from the divestiture of our EMEA business in March 2007 and the divesture of our domestic engineering business. In addition, the second amendment provided for the further reduction of our credit facility to $35 million effective upon receipt of principal payments under the note received from the buyer of the domestic engineering business, which occurred on July 3, 2007. On September 28, 2007, we received an additional waiver from KeyBank extending the waiver for filing our quarterly unaudited financial statements for the fiscal quarters ended March 31, 2007 and June 30, 2007 through October 19, 2007 and changing the minimum liquidity ratio for the period ended September 30, 2007 from 1.35 to 1.10. As of September 30, 2007, the Company's outstanding balance on the facility was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$1.0 million and the weighted average interest rate was 7.4%. As of September 30, 2007 the Company was in compliance with the amended covenants.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November 2, 2007, Kratos Government Solutions, Inc. ("</w:t>
      </w:r>
      <w:r>
        <w:rPr>
          <w:rFonts w:ascii="Arial" w:cs="Arial" w:eastAsia="Arial" w:hAnsi="Arial"/>
          <w:sz w:val="16"/>
          <w:szCs w:val="16"/>
          <w:i w:val="1"/>
          <w:iCs w:val="1"/>
          <w:color w:val="auto"/>
        </w:rPr>
        <w:t>Parent</w:t>
      </w:r>
      <w:r>
        <w:rPr>
          <w:rFonts w:ascii="Arial" w:cs="Arial" w:eastAsia="Arial" w:hAnsi="Arial"/>
          <w:sz w:val="16"/>
          <w:szCs w:val="16"/>
          <w:color w:val="auto"/>
        </w:rPr>
        <w:t>"), our wholly-owned subsidiary entered into an Agreement and Plan of Merger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with Haverstick Consulting, Inc. ("</w:t>
      </w:r>
      <w:r>
        <w:rPr>
          <w:rFonts w:ascii="Arial" w:cs="Arial" w:eastAsia="Arial" w:hAnsi="Arial"/>
          <w:sz w:val="16"/>
          <w:szCs w:val="16"/>
          <w:i w:val="1"/>
          <w:iCs w:val="1"/>
          <w:color w:val="auto"/>
        </w:rPr>
        <w:t>Haverstick</w:t>
      </w:r>
      <w:r>
        <w:rPr>
          <w:rFonts w:ascii="Arial" w:cs="Arial" w:eastAsia="Arial" w:hAnsi="Arial"/>
          <w:sz w:val="16"/>
          <w:szCs w:val="16"/>
          <w:color w:val="auto"/>
        </w:rPr>
        <w:t>"). Pursuant to the Merger Agreement, a wholly-owned subsidiary of Parent shall be merged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and into Haverstick (the "</w:t>
      </w:r>
      <w:r>
        <w:rPr>
          <w:rFonts w:ascii="Arial" w:cs="Arial" w:eastAsia="Arial" w:hAnsi="Arial"/>
          <w:sz w:val="16"/>
          <w:szCs w:val="16"/>
          <w:i w:val="1"/>
          <w:iCs w:val="1"/>
          <w:color w:val="auto"/>
        </w:rPr>
        <w:t>Merger</w:t>
      </w:r>
      <w:r>
        <w:rPr>
          <w:rFonts w:ascii="Arial" w:cs="Arial" w:eastAsia="Arial" w:hAnsi="Arial"/>
          <w:sz w:val="16"/>
          <w:szCs w:val="16"/>
          <w:color w:val="auto"/>
        </w:rPr>
        <w:t>"), and Haverstick shall be the surviving corporation in the Merger and shall continue its corporate existence under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State of Indiana as a wholly-owned subsidiary of Parent after the Merger. The completion of the Merger is subject to customary closing conditions.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each of Parent and Haverstick approved the Merger and the Merger Agreement.</w:t>
      </w:r>
    </w:p>
    <w:p>
      <w:pPr>
        <w:spacing w:after="0" w:line="21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completion of the Merger, all outstanding shares of capital stock of Haverstick will be exchanged for an aggregate consideration equal to approximately 7,480,000 shares of our common stock and $69.5 million in cash, subject to certain adjustments. Approximately 2,858,000 shares of our common stock and $1.2 million in cash shall be withheld as security for satisfaction of certain indemnification obligations and payable over a twenty-one month period following the closing date of the Merger pursuant to the terms of the Merger Agreement.</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shares of our common stock issued in connection with the Merger will be issued in a private placement transaction pursuant to Section 4(2)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the rules and regulations promulgated thereunder. Pursuant to the terms of the Merger Agreement, Parent has agreed to use its reasonable best efforts to file a resale registration statement covering the shares issuable in connection with the Merger promptly following the closing date. In the event that the shares of our common stock issued at the closing (the "</w:t>
      </w:r>
      <w:r>
        <w:rPr>
          <w:rFonts w:ascii="Arial" w:cs="Arial" w:eastAsia="Arial" w:hAnsi="Arial"/>
          <w:sz w:val="16"/>
          <w:szCs w:val="16"/>
          <w:i w:val="1"/>
          <w:iCs w:val="1"/>
          <w:color w:val="auto"/>
        </w:rPr>
        <w:t>Closing Stock</w:t>
      </w:r>
      <w:r>
        <w:rPr>
          <w:rFonts w:ascii="Arial" w:cs="Arial" w:eastAsia="Arial" w:hAnsi="Arial"/>
          <w:sz w:val="16"/>
          <w:szCs w:val="16"/>
          <w:color w:val="auto"/>
        </w:rPr>
        <w:t>") are not salable under Rule 144 promulgated under the Securities Act ("</w:t>
      </w:r>
      <w:r>
        <w:rPr>
          <w:rFonts w:ascii="Arial" w:cs="Arial" w:eastAsia="Arial" w:hAnsi="Arial"/>
          <w:sz w:val="16"/>
          <w:szCs w:val="16"/>
          <w:i w:val="1"/>
          <w:iCs w:val="1"/>
          <w:color w:val="auto"/>
        </w:rPr>
        <w:t>Rule 144</w:t>
      </w:r>
      <w:r>
        <w:rPr>
          <w:rFonts w:ascii="Arial" w:cs="Arial" w:eastAsia="Arial" w:hAnsi="Arial"/>
          <w:sz w:val="16"/>
          <w:szCs w:val="16"/>
          <w:color w:val="auto"/>
        </w:rPr>
        <w:t>") or pursuant to an effective registration statement as of the twelve month anniversary of the closing date, holders of the Closing Stock may elect to exchange such shares for a cash amount equal to $2.74 per share in accordance with the terms of the Merger Agreement. Until the date on which the shares of Closing Stock are salable under Rule 144 or pursuant to an effective registration statement, interest shall accrue on the value of the Closing Stock at a floating rate of one-month LIBOR plus four percent (4%) per annum. The value of the Closing Stock for purposes of calculating the accrued interest shall be determined in accordance with the terms of the Merger Agreement and the aggregate interest amount shall be payable by Parent in shares of our common stock. Parent shall pay the cash portion of the purchase price with cash to be provided under a $75,000,000 credit facility to be provided by KeyBank Capital Markets ("</w:t>
      </w:r>
      <w:r>
        <w:rPr>
          <w:rFonts w:ascii="Arial" w:cs="Arial" w:eastAsia="Arial" w:hAnsi="Arial"/>
          <w:sz w:val="16"/>
          <w:szCs w:val="16"/>
          <w:i w:val="1"/>
          <w:iCs w:val="1"/>
          <w:color w:val="auto"/>
        </w:rPr>
        <w:t>KeyBank</w:t>
      </w:r>
      <w:r>
        <w:rPr>
          <w:rFonts w:ascii="Arial" w:cs="Arial" w:eastAsia="Arial" w:hAnsi="Arial"/>
          <w:sz w:val="16"/>
          <w:szCs w:val="16"/>
          <w:color w:val="auto"/>
        </w:rPr>
        <w:t>") pursuant to the terms of that certain Facility Letter and Term Sheet by and among Kratos and KeyBank, dated October 24, 2007. Upon execution of the new credit facility, the Company expects that the remaining unamortized costs incurred related to its existing credit facility of approximately $1.1 million will be charged to interest expense.</w:t>
      </w:r>
    </w:p>
    <w:p>
      <w:pPr>
        <w:spacing w:after="0" w:line="17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intend to fund our cash requirements with cash flows from operating activities, and borrowings under our current Senior Credit Facility and future Credit Facilities.</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believe these sources should be sufficient to meet our cash needs for the foreseeable future. However, if we become subject to significant judgments, settlements or fines related to the matters discussed in Note 13—Legal Matters to the unaudited consolidated financial statements included in Item 1 of Part I of this Quarterly Report, or any other matters, we could be required to make significant payments that could materially and adversely affect our financial condition, potentially impacting our ability to access the capital markets and our compliance with our debt covenants.</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ind w:right="280"/>
        <w:spacing w:after="0" w:line="268" w:lineRule="auto"/>
        <w:rPr>
          <w:sz w:val="20"/>
          <w:szCs w:val="20"/>
          <w:color w:val="auto"/>
        </w:rPr>
      </w:pPr>
      <w:r>
        <w:rPr>
          <w:rFonts w:ascii="Arial" w:cs="Arial" w:eastAsia="Arial" w:hAnsi="Arial"/>
          <w:sz w:val="18"/>
          <w:szCs w:val="18"/>
          <w:color w:val="auto"/>
        </w:rPr>
        <w:t>revenues or further reduce our expenses, we may experience, in the future, a significant long-term negative impact to our financial results and cash flows from operations, thus limiting our available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Changes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total assets have decreased from $337.7 million as of December 31, 2006 to $231.5 million as of September 30, 2007 as a result of the divestiture of our domestic wireless engineering services business on June 9, 2007 and our wireless deployment services business on July 24, 2007. In addition, the impairment of our Wireless Network Services segment goodwill of $7.2 million, the impairment of assets related to our wireless network deployment business of $13.4 million that we recorded in the first quarter of 2007 and the loss on sale of our wireless network deployment business that we recorded in the third quarter of 2007 also had a significant impact on the reduction of total assets between those periods. See Note 6 for a further discussion of these items.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fourth quarter of 2006, the Company entered into an $85 million credit facility with KeyBank National Association ("KeyBank") to fund its October 2, 2006 acquisition of Madison Research Technology Corporation (MRC) replacing the Company's previous credit facility of $15 million. MRC was a privately-held technical solutions and services company focused on advanced telecommunications programs, software and IT solutions, product solutions and space programs. The purchase price was approximately $73.8 million and included a $4.6 million working capital adjustment and a $6.9 million holdback to secure the Company's indemnity rights. The Company paid $62.1 million at closing and, in April 2007, the Company paid the $4.6 million working capital adjustment and $1.5 million of the holdback. The remaining holdback of $5.9 million which includes accrued interest will be released, subject to indemnity right, in installments occurring in October 2007, of which $2.8 million was paid on October 3, 2007, with the remaining $3.1 million due in April 2008.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interest rate of the Company's debt was 7.4% and we had drawn $1 million on the facility as of September 30, 2007.</w:t>
      </w:r>
    </w:p>
    <w:p>
      <w:pPr>
        <w:spacing w:after="0" w:line="24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Other than our normal recurring trade payables, expense accruals, operating and capital leases, and working capital adjustments and purchase holdbacks related to our acquisition of MRC and the working capital adjustments and selling costs related to our sale of the wireless network services deployment business, which are currently expected to be funded through existing working capital and future cash flows from operations and professional fees incurred related to our stock option review and fees expected to be incurred for related inquiries from the Department of Justice, we have no other material commitments. Other future cash requirements may include the payment of certain tax contingencies and potential future acquisitions. We continue to evaluate and use new technology including electronic equipment and software in our business operations. Additional capital expenditure may be required as deemed necessary, in order to stay competitive and effectively service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13 to our unaudited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right="160"/>
        <w:spacing w:after="0" w:line="294" w:lineRule="auto"/>
        <w:rPr>
          <w:sz w:val="20"/>
          <w:szCs w:val="20"/>
          <w:color w:val="auto"/>
        </w:rPr>
      </w:pPr>
      <w:r>
        <w:rPr>
          <w:rFonts w:ascii="Arial" w:cs="Arial" w:eastAsia="Arial" w:hAnsi="Arial"/>
          <w:sz w:val="16"/>
          <w:szCs w:val="16"/>
          <w:color w:val="auto"/>
        </w:rPr>
        <w:t>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We are in the process of determining the impact of this statement on its consolidated financial statements.</w:t>
      </w:r>
    </w:p>
    <w:p>
      <w:pPr>
        <w:spacing w:after="0" w:line="170"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 xml:space="preserve">In February 2007, the FASB issued FASB Statement No.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19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We are currently evaluating if it will elect the fair value option for any of its eligible financial instruments and other items.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May 2007, the FASB issued FASB Staff Position ("FSP") FIN 48-1 Definition of Settlement in FASB Interpretation No. 48 (FSP FIN 48-1). FSP FIN 48-1 provides guidance on how to determine whether a tax position is effectively settled for the purpose of recognizing previously unrecognized tax benefits. FSP FIN 48-1 is effective retroactively to January 1, 2007. The implementation of this standard did not have a material impact on our consolidated financial statements.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is exposed to market risk in connection with changes in interest rates, primarily in connection with outstanding balances under its credit facility with KeyBank National Association. Based on the Company's average outstanding balances during the nine months ended September 30, 2007 a 1% change in the LIBOR rate would impact the Company's financial position and results of operations by approximately $0.4 million over the next year. We currently do not utilize any derivative financial instruments to hedge interest rate risks. Cash and cash equivalents as of September 30, 2007 were $6.2 million and are primarily invested in money market interest bearing accounts. A hypothetical 10% adverse change in the average interest rate on our money market cash investments and short-term investments would have had no material effect on net loss for the nine months ended September 30, 2007.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pursuant to the Exchange Act is recorded, processed, summarized and reported within the time periods specified in the Security and Exchange Commission's rules and forms, and that such information is accumulated and communicated to our management, including our Principal Executive Officer and Principal Financial Officer, as appropriate to allow timely decisions regarding required disclosure. Under the supervision of,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20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As previously disclosed in Item 9A of our Annual Report on Form 10-K for the fiscal year ended December 31, 2006, we determined that as of December 31, 2006, there were material weaknesses affecting our internal control over financial reporting and, as a result of those weaknesses, the Company's disclosure controls and procedures were not effective as of that date.</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 Company failed to classify its wireless deployment business as held for sale and discontinued operations as of June 30, 2007 resulting in a material adjustment to the carrying value of the assets of the deployment business. The Company also omitted certain disclosures from the June 30, 2007 financial statements. The aggregation of these items constituted a material weakness and are indicative that the material weaknesses identified as of December 31, 2006 have not been remediated as of September 30, 2007. Management has concluded that the Company's disclosure controls and procedures were not effective as of September 30, 2007. The Company corrected the classification of its wireless engineering and deployment businesses and disclosed them as discontinued operations, recorded the adjustments to the carrying value of the assets in the deployment business, and revised the financial statement disclosures to include all omitted items in its Report on Form 10-Q for the quarterly period ended June 30, 2007 and in this Report on Form 10-Q. Accordingly, management believes that the consolidated financial statements included in this quarterly report fairly present, in all material respects, our financial condition, results of operations and cash flows for the periods presented.</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Management intends to continue to evaluate and perform test procedures regarding the effectiveness of our controls over financial reporting over the coming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On October 2, 2006 we completed the acquisition of Madison Research Corporation. We continue to integrate MRC's historical internal controls over financial reporting into our own internal controls over financial reporting. Accordingly, certain changes have been made and will continue to be made to our internal controls over financial reporting until such time as this integration is complete.</w:t>
      </w:r>
    </w:p>
    <w:p>
      <w:pPr>
        <w:spacing w:after="0" w:line="194"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color w:val="auto"/>
        </w:rPr>
        <w:t>On May 10, 2007 the Company completed a significant upgrade to the Oracle financial accounting system software used primarily by the U.S. divisions of our Wireless Network Services segment. Subsequently, as discussed further in Note 6 to the consolidated financial statements covered by this quarterly report, the Company completed the sale of its U.S. engineering services business and its wireless deployment business. The Oracle financial accounting system software was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included in the sale of the wireless deployment business As a result, the internal controls over financial reporting that formerly operated at these businesses will not be included in the Company's assessment of internal controls over financial reporting at December 31, 2007.</w:t>
      </w:r>
    </w:p>
    <w:p>
      <w:pPr>
        <w:spacing w:after="0" w:line="19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Except as described above, there were no changes in our internal control over financial accounting and reporting (as defined in Rules 13a-15(f) and 15d-15(f) of the Exchange Act) during the fiscal quarter ended June 30, 2007 that have materially affected, or are reasonably likely to materially affect, our internal control over financial reporting.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jc w:val="center"/>
        <w:spacing w:after="0"/>
        <w:tabs>
          <w:tab w:leader="none" w:pos="1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Initial Public Offering Securities Litigation</w:t>
      </w:r>
      <w:r>
        <w:rPr>
          <w:rFonts w:ascii="Arial" w:cs="Arial" w:eastAsia="Arial" w:hAnsi="Arial"/>
          <w:sz w:val="16"/>
          <w:szCs w:val="16"/>
          <w:color w:val="auto"/>
        </w:rPr>
        <w:t>, Case No. 01-CV-4779. In the amended complaint, the plaintiffs allege that the Company, certain of its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The court has not yet set a deadline for the plaintiffs to file amended complaints in the other IPO lawsuits. Due to the inherent uncertainties of litigation, and because the settlement may not receive final approval from the Court, the ultimate outcome of this matter cannot be predicted. In accordance with FASB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The Company believes any contingent liability related to this claim is not probable or estimable and therefore no amounts have been accrued in regards to this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0" w:name="page51"/>
    <w:bookmarkEnd w:id="50"/>
    <w:p>
      <w:pPr>
        <w:spacing w:after="0" w:line="285" w:lineRule="auto"/>
        <w:rPr>
          <w:sz w:val="20"/>
          <w:szCs w:val="20"/>
          <w:color w:val="auto"/>
        </w:rPr>
      </w:pPr>
      <w:r>
        <w:rPr>
          <w:rFonts w:ascii="Arial" w:cs="Arial" w:eastAsia="Arial" w:hAnsi="Arial"/>
          <w:sz w:val="16"/>
          <w:szCs w:val="16"/>
          <w:color w:val="auto"/>
        </w:rPr>
        <w:t>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Master File No. 04CV1589-JAH. Plaintiffs filed a First Amended Consolidated Class Action Complaint on April 1, 2005. Defendants filed</w:t>
      </w:r>
      <w:r>
        <w:rPr>
          <w:rFonts w:ascii="Arial" w:cs="Arial" w:eastAsia="Arial" w:hAnsi="Arial"/>
          <w:sz w:val="16"/>
          <w:szCs w:val="16"/>
          <w:i w:val="1"/>
          <w:iCs w:val="1"/>
          <w:color w:val="auto"/>
        </w:rPr>
        <w:t xml:space="preserve"> </w:t>
      </w:r>
      <w:r>
        <w:rPr>
          <w:rFonts w:ascii="Arial" w:cs="Arial" w:eastAsia="Arial" w:hAnsi="Arial"/>
          <w:sz w:val="16"/>
          <w:szCs w:val="16"/>
          <w:color w:val="auto"/>
        </w:rPr>
        <w:t>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82"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were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Once the court has decided the issue of personal jurisdiction, the Company, along with any remaining individual defendant found subject to the court's jurisdiction, may again move to dismiss the complaint as to them. The Company believes that the allegations lack merit and intends to vigorously defend all claims asserted. It is impossible at this time to assess whether or not the outcome of these proceedings will or will not have a material adverse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right="360"/>
        <w:spacing w:after="0" w:line="332" w:lineRule="auto"/>
        <w:rPr>
          <w:sz w:val="20"/>
          <w:szCs w:val="20"/>
          <w:color w:val="auto"/>
        </w:rPr>
      </w:pPr>
      <w:r>
        <w:rPr>
          <w:rFonts w:ascii="Arial" w:cs="Arial" w:eastAsia="Arial" w:hAnsi="Arial"/>
          <w:sz w:val="16"/>
          <w:szCs w:val="16"/>
          <w:color w:val="auto"/>
        </w:rPr>
        <w:t>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07-CV-0680 BTM(RBB) (the "Hameed Action"), against several of the Company's current and former officers and directors. The allegations in this new derivative complaint mirror the amended allegations in the 2004 federal derivative action. Pursuant to a Court order and agreement between the parties, the defendants need not respond to the complaint in the Hameed 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xml:space="preserve"> California Superior Court, San Diego County, Lead Case No. GIC 834253. The plaintiffs filed a Consolidated Shareholder Derivative Complaint on October 14, 2004. This action has been stayed pending a decision in federal court on a motion to dismiss the federal derivative lawsuits. In October 2007, the parties apprised the court of the status of the federal action and requested the court continue its stay of this action. The Company anticipates that the court will continue to stay this matter and that the court will request the parties file an updated status report in April 2008.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2" w:name="page53"/>
    <w:bookmarkEnd w:id="52"/>
    <w:p>
      <w:pPr>
        <w:ind w:right="100"/>
        <w:spacing w:after="0" w:line="290" w:lineRule="auto"/>
        <w:rPr>
          <w:sz w:val="20"/>
          <w:szCs w:val="20"/>
          <w:color w:val="auto"/>
        </w:rPr>
      </w:pPr>
      <w:r>
        <w:rPr>
          <w:rFonts w:ascii="Arial" w:cs="Arial" w:eastAsia="Arial" w:hAnsi="Arial"/>
          <w:sz w:val="16"/>
          <w:szCs w:val="16"/>
          <w:color w:val="auto"/>
        </w:rPr>
        <w:t>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September 30, 2007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3, 2007, we announced that it had a filed a lawsuit against a former employee, Vencent Donlan, who previously served as its stock option administrator and left the Company in mid-2004, and his spouse. The lawsuit sought to recover damages resulting from the theft by Donlan of our stock options and common stock valued in excess of $6.3 million. The thefts, which appear to have taken place during 2002 and 2003, were discovered through the our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our records.</w:t>
      </w:r>
    </w:p>
    <w:p>
      <w:pPr>
        <w:spacing w:after="0" w:line="17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promptly reported to the SEC the discovery of the Donlan's theft. The SEC commenced an enforcement action against Donlan, and the U.S. Attorney's Office forwarded a grand jury subpoena to us seeking records related to Donlan and our historical option granting practices. The SEC filed a federal lawsuit and obtained a temporary restraining order and asset freeze against Donlan and his spouse. The U.S. Attorney's Office indicted Donlan for the theft and he plead guilty to federal criminal charges and has been sentenced to 46 months in prison and is currently incarcerated. We have cooperated with, and intend to continue to cooperate with both the SEC and the U.S. Attorney's Office on this matter and otherwise. Vencent Donlan and his wife entered into a settlement agreement with us on October 5, 2007 turning over substantially all of their assets to us in settlement of the damages incurred in the theft. The settlement is awaiting approval by the SEC and, thereafter, by the federal judge overseeing this case. Upon obtaining the approvals, we will be free to liquidate the assets.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3" w:name="page54"/>
    <w:bookmarkEnd w:id="53"/>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70"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burden the Company and have a material adverse effect on us.</w:t>
      </w:r>
    </w:p>
    <w:p>
      <w:pPr>
        <w:spacing w:after="0" w:line="116"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Our current executive management team, which has been in place since 2004, initiated the Equity Award Review in the summer of 2006 in reaction to media reports regarding stock option granting practices of public companies. The Equity Award Review was conducted with oversight from the Board and assistance from our outside counsel, Morrison &amp; Foerster.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5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Pillsbury Winthrop, and FTI Consulting.</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20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light of the Equity Award Review, the Audit Committee of our Board concluded that our prior financial statements for periods from 1998 through our filing of interim financial statements for the period ended September 30, 2006, can no longer be relied upon and must be restated. Our management determined that, from fiscal year 1998 through fiscal year 2005, we had unrecorded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supersedes and replaces in their entirety all of our previously issued financial statements and related reports filed with the Securities and Exchange Commission.</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 of our former directors and some of our current and former executive officers pertaining to allegations relating to stock option grants. The SEC has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which could result in civil and/or criminal actions seeking, among other things, injunctions against us and the payment of significant fines and penalties by us. We are cooperating with the SEC and the United States Attorney's Office for the Southern District of California, and expect to continue to do so.</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process of restating our financial statements, making the associated disclosures, and complying with SEC requirements are subject to uncertainty and evolving requirements.</w:t>
      </w:r>
    </w:p>
    <w:p>
      <w:pPr>
        <w:spacing w:after="0" w:line="186"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We have worked with our outside legal counsel and our independent registered public accounting firms to make our filings comply with all related requirements. Nevertheless the issues surrounding our historical stock option grant practices are complex and the regulatory guidelines or requirements continue to evolve. There can be no assurance that further SEC and other requirements will not evolve and that we will not be required to further amend this and other filings. In addition to the cost and time to amend financial reports, such amendments may have a material adverse affect on investors and common stock price.</w:t>
      </w:r>
    </w:p>
    <w:p>
      <w:pPr>
        <w:spacing w:after="0" w:line="1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A number of our current and former executive officers and directors have been named as parties to several derivative action lawsuits arising from our internal option review, and there is a possibility of additional lawsuits, all of which could require significant management time and attention and result in significant legal expenses.</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a number of lawsuits purportedly on behalf of Wireless Facilities, Inc. against certain of our current and former executive officers and board members, and we may become the subject of additional private lawsuits. Subject to certain limitations, we are obligated to indemnify our current and former directors, officers and employees in connection with the investigation of our historical stock option practices and such lawsuits. The expenses associated with these lawsuits may be significant, the amount of time to resolve these lawsuits is unpredictable and defending these lawsuits may divert management's attention from the day-to-day operations of our business, which could have a material adverse effect on our financial condition, business, results of operations and cash flows.</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Ongoing government inquiries relating to our past stock option practices may be time consuming and expensive and could result in injunctions, fines and penalties that may have a material adverse effect on our financial condition and results of operations.</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inquiries by the Department of Justice ("DOJ") and the SEC into our past stock option practices are ongoing. We have cooperated with the DOJ and the SEC and expect to continue to do so. The period of time necessary to resolve these inquiries is uncertain, and we cannot predict the outcome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ind w:right="80"/>
        <w:spacing w:after="0" w:line="254" w:lineRule="auto"/>
        <w:rPr>
          <w:sz w:val="20"/>
          <w:szCs w:val="20"/>
          <w:color w:val="auto"/>
        </w:rPr>
      </w:pPr>
      <w:r>
        <w:rPr>
          <w:rFonts w:ascii="Arial" w:cs="Arial" w:eastAsia="Arial" w:hAnsi="Arial"/>
          <w:sz w:val="18"/>
          <w:szCs w:val="18"/>
          <w:color w:val="auto"/>
        </w:rPr>
        <w:t>of these inquiries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these DOJ and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3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as a result of factors outside of our control, which could cause the market price of our common stock to decline.</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As a result, our operating results may fall below the expectations of securities analysts and investors, which could cause the price of our common stock to decline. Factors that may affect our operating results include those listed in this "Risk Factors" section and others such as:</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revenue recognized on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(ID/IQ) contracts;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6" w:name="page57"/>
    <w:bookmarkEnd w:id="56"/>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government shutdowns or temporary facility closings;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outsourced network services or engineering services;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6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changes in budgetary priorities of the Federal Government.</w:t>
      </w:r>
    </w:p>
    <w:p>
      <w:pPr>
        <w:spacing w:after="0" w:line="225"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Because we derive a significant portion of our revenue from contracts with the Federal Government, we believe that the success and development of our business will continue to depend on our successful participation in Federal Government contract programs. Changes in Federal Government budgetary priorities could directly affect our financial performance. A significant decline in government expenditures, a shift of expenditures away from programs that call for the types of services that we provide, or a change in Federal Government contracting policies could cause Federal Governmental agencies to reduce their expenditures under contracts, to exercise their right to terminate contracts at any time without penalty, not to exercise options to extend contracts, or to delay or not enter into new contracts. Any of those actions could seriously harm our business, prospects, financial condition or operating results. Moreover, although our contracts with governmental agencies often contemplate that our services will be performed over a period of several years, Congress usually must approve funds for a given program each government fiscal year and may significantly reduce or eliminate funding for a program. Significant reductions in these appropriations by Congress could have a material adverse effect on our business. Additional factors that could have a serious adverse effect on our Federal Government contracting business include:</w:t>
      </w:r>
    </w:p>
    <w:p>
      <w:pPr>
        <w:spacing w:after="0" w:line="19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7" w:name="page58"/>
    <w:bookmarkEnd w:id="57"/>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budgetary priorities limiting or delaying Federal Government spending generally, or by specific departments or agencies in particular, and changes in fiscal policies or available funding, including potential governmental shutdowns;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 in the Federal Government's use of technology and/or professional services &amp; solutions firms; and</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number of contracts reserved for small businesses which could result in our inability to compete directly for these prime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contracts with the Federal Government may be terminated or adversely modified prior to completion, which could adversely affect our business.</w:t>
      </w:r>
    </w:p>
    <w:p>
      <w:pPr>
        <w:spacing w:after="0" w:line="24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Federal Government contracts generally contain provisions, and are subject to laws and regulations, that give the Federal Government rights and remedies not typically found in commercial contracts, including provisions permitting the Federal Government to:</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the award of some contracts to protest or challenge by competitors, which may require the contracting federal agency or department to suspend our performance pending the outcome of the protest or challenge and which may also require the government to solicit new proposals for the contract or result in the termination, reduction or modification of the awarded contract;</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Federal Government may terminate a contract with us either "for convenience" (for instance, due to a change in its perceived needs or its desire to consolidate work under another contract) or if we default by failing to perform under the contract. If the Federal Government terminates a contract with us for convenience, we generally would be entitled to recover only our incurred or committed costs, settlement expenses and profit on the work completed prior to termination. If the Federal Government terminates a contract with us based upon our default, we generally would be denied any recovery for undelivered work, and instead may be liable for excess costs incurred by the Federal Government in procuring undelivered items from an alternative source and other damages as authorized by law. As is common with government contractors, we have experienced and continue to experience occasional performance issues under some of our contracts. We may in the future receive show-cause or cure notices under contracts that, if not addressed to the Federal Government's satisfaction, could give the government the right to terminate those contracts for default or to cease procuring our services under those contracts.</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Federal Government contracts typically have terms of one or more base years and one or more option years. Many of the option periods cover more than half of the contract's potential term.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8" w:name="page59"/>
    <w:bookmarkEnd w:id="58"/>
    <w:p>
      <w:pPr>
        <w:ind w:right="220"/>
        <w:spacing w:after="0" w:line="332" w:lineRule="auto"/>
        <w:rPr>
          <w:sz w:val="20"/>
          <w:szCs w:val="20"/>
          <w:color w:val="auto"/>
        </w:rPr>
      </w:pPr>
      <w:r>
        <w:rPr>
          <w:rFonts w:ascii="Arial" w:cs="Arial" w:eastAsia="Arial" w:hAnsi="Arial"/>
          <w:sz w:val="16"/>
          <w:szCs w:val="16"/>
          <w:color w:val="auto"/>
        </w:rPr>
        <w:t>Federal governmental agencies generally have the right not to exercise options to extend a contract. A decision to terminate or not to exercise options to extend our existing contracts could have a material adverse effect on our business, prospects, financial condition and results of operations.</w:t>
      </w:r>
    </w:p>
    <w:p>
      <w:pPr>
        <w:spacing w:after="0" w:line="139"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Certain of our Federal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our ability to successfully bid for new business may be adversely affected.</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strong relationships with other government contractors could result in a decline in our revenue.</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our federal business we often act as a subcontractor or in "teaming" arrangements in which we and other contractors bid together on particular contracts or programs.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our contracts will result in actual revenue.</w:t>
      </w:r>
    </w:p>
    <w:p>
      <w:pPr>
        <w:spacing w:after="0" w:line="225"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There can be no assurance that our contracts will result in actual revenue in any particular period, or at all, or that any contract will be profitable. The actual receipt and timing of any revenue is subject to various contingencies, many of which are beyond our control. The actual receipt of revenue on contracts may never occur or may change because a program schedule could change, the program could be canceled, a contract could be reduced, modified or terminated early, or an option that we had assumed would be exercised not being exercised. Further, while many of our federal government contracts require performance over a period of years, Congress often appropriates funds for these contracts for only one year at a time. Consequently, our contracts typically are only partially funded at any point during their term, and all or some of the work intended to be performed under the contracts will remain unfunded pending subsequent Congressional appropriations and the obligation of additional funds to the contract by the procuring agency. Our estimates of contract value are based on our experience under such contracts and similar contracts. However, there can be no assurances that all, or any, of such estimated contract value will be recognized as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 prime contractor under several GSA contracts and GWAC schedule contracts. We believe that our ability to continue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jc w:val="both"/>
        <w:ind w:right="80"/>
        <w:spacing w:after="0" w:line="259" w:lineRule="auto"/>
        <w:rPr>
          <w:sz w:val="20"/>
          <w:szCs w:val="20"/>
          <w:color w:val="auto"/>
        </w:rPr>
      </w:pPr>
      <w:r>
        <w:rPr>
          <w:rFonts w:ascii="Arial" w:cs="Arial" w:eastAsia="Arial" w:hAnsi="Arial"/>
          <w:sz w:val="18"/>
          <w:szCs w:val="18"/>
          <w:color w:val="auto"/>
        </w:rPr>
        <w:t>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Further, obtaining and maintaining security clearances for employees involves a lengthy process, and it is difficult to identify, recruit and retain employees who already hold security clearances. If we are unable to recruit and retain a sufficient number of these employees, our ability to maintain and grow our business could be limited. In a tight labor market, our direct labor costs could increase or we may be required to engage large numbers of subcontractor personnel, which could cause our profit margins to suffer.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certain federal government contracts require us, and some of our employees, to maintain security clearances. If our employees lose or are unable to obtain security clearances, or if we are unable to hire employees with the appropriate security clearances, the client may terminate the contract or decide not to renew the contract upon its expiration. As a result, we may not derive the revenue anticipated from the contract, which, if not replaced with revenue from other contracts, could seriously harm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appropriate staffing levels could adversely affect our business.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7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prime contractor, we often rely significantly upon other companies as subcontractors to perform work we are obligated to perform for our clients.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ind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While many of our contracts limit our liability for consequential damages that may arise from negligence in rendering services to our clients, we cannot assure you that these contractual provisions will be legally sufficient to protect us if we are sued.</w:t>
      </w:r>
    </w:p>
    <w:p>
      <w:pPr>
        <w:spacing w:after="0" w:line="186"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 addition, our errors and omissions and product liability insurance coverage may not continue to be available on reasonable terms or in sufficient amounts to cover one or more large claims, or the insurer may disclaim coverage as to some types of future claims. As we continue to grow and expand our business into new areas, our insurance coverage may not be adequate.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5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may not be successful in identifying acquisition candidates and if we undertake acquisitions, they could increase our costs or liabilities and impair our revenue and operating results.</w:t>
      </w:r>
    </w:p>
    <w:p>
      <w:pPr>
        <w:spacing w:after="0" w:line="186"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One of our strategies is to pursue growth through acquisitions. We may not be able to identify suitable acquisition candidates at prices that we consider appropriate. If we do identify an appropriate acquisition candidate, we may not be able to successfully negotiate the terms of the acquisition or finance the acquisition on terms that are satisfactory to us. Negotiations of potential acquisitions and the integration of acquired business operations could disrupt our business by diverting management attention from day-to-day operations. Acquisitions of businesses or other material operations may require additional debt or equity financing, resulting in additional leverage or dilution of ownership. We may encounter increased competition for acquisitions, which may increase the price of our acquisitions.</w:t>
      </w:r>
    </w:p>
    <w:p>
      <w:pPr>
        <w:spacing w:after="0" w:line="198"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have completed several acquisitions of complementary businesses in recent years, and we continually evaluate opportunities to acquire new businesses as part of our ongoing strategy. On October 2, 2006, we acquired MRC as an expansion of our Government Network Services segment, and we cannot assure you that we will obtain the anticipated benefits of this acquisition. Similarly, on November 2, 2007, Kratos Government Solutions, Inc. ("</w:t>
      </w:r>
      <w:r>
        <w:rPr>
          <w:rFonts w:ascii="Arial" w:cs="Arial" w:eastAsia="Arial" w:hAnsi="Arial"/>
          <w:sz w:val="16"/>
          <w:szCs w:val="16"/>
          <w:i w:val="1"/>
          <w:iCs w:val="1"/>
          <w:color w:val="auto"/>
        </w:rPr>
        <w:t>Parent</w:t>
      </w:r>
      <w:r>
        <w:rPr>
          <w:rFonts w:ascii="Arial" w:cs="Arial" w:eastAsia="Arial" w:hAnsi="Arial"/>
          <w:sz w:val="16"/>
          <w:szCs w:val="16"/>
          <w:color w:val="auto"/>
        </w:rPr>
        <w:t>"), a wholly-owned subsidiary of the Company entered into an Agreement and Plan of Merger under which the Company will Haverstick Consulting, Inc. ("</w:t>
      </w:r>
      <w:r>
        <w:rPr>
          <w:rFonts w:ascii="Arial" w:cs="Arial" w:eastAsia="Arial" w:hAnsi="Arial"/>
          <w:sz w:val="16"/>
          <w:szCs w:val="16"/>
          <w:i w:val="1"/>
          <w:iCs w:val="1"/>
          <w:color w:val="auto"/>
        </w:rPr>
        <w:t>Haverstick</w:t>
      </w:r>
      <w:r>
        <w:rPr>
          <w:rFonts w:ascii="Arial" w:cs="Arial" w:eastAsia="Arial" w:hAnsi="Arial"/>
          <w:sz w:val="16"/>
          <w:szCs w:val="16"/>
          <w:color w:val="auto"/>
        </w:rPr>
        <w:t>"). The completion of the Merger is subject to customary closing conditions, and we cannot assure you that those conditions will be satisfied in a timely manner or at all. Upon completion of the Merger, all outstanding shares of capital stock of Haverstick will be exchanged for an aggregate consideration equal to approximately 7,480,000 shares of our common stock and $69.5 million in cash, subject to certain adjustments. We are dependent upon pending debt financing to pay the cash portion of the purchase price, and if we are unable to obtain such financing, we may not be able to consummate the merger, which could subject us to liability. Approximately 2,858,000 shares of our common stock and $1.2 million in cash shall be withheld as security for satisfaction of certain indemnification obligations and payable over a twenty-one month period following the closing date of the Merger pursuant to the terms of the Merger Agreement. The amount of the holdback may not be sufficient to make us whole in the event that we suffer losses associated with misrepresentations by Haverstick. Further, pursuant to the terms of the Merger Agreement, we have agreed to use our reasonable best efforts to file a resale registration statement covering the shares issuable in connection with the Merger promptly following the closing date. In the event that the shares of Kratos common stock issued at the closing are not salable under Rule 144 promulgated under the Securities Act or pursuant to an effective registration statement as of the twelve month anniversary of the closing date, holders of the Closing Stock may elect to exchange such shares for a cash amount equal to $2.74 per share in accordance with the terms of the Merger Agreement. Until the date on which the shares of Closing Stock are salable under Rule 144 or pursuant to an effective registration statement, interest shall accrue on the value of the Closing Stock at a floating rate of one-month LIBOR plus four percent (4%) per annum. The declaration of the effectiveness of any registration statement is subject to approval by the Securities and Exchange Commission, and it may not be granted in accordance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ind w:right="400"/>
        <w:spacing w:after="0" w:line="268" w:lineRule="auto"/>
        <w:rPr>
          <w:sz w:val="20"/>
          <w:szCs w:val="20"/>
          <w:color w:val="auto"/>
        </w:rPr>
      </w:pPr>
      <w:r>
        <w:rPr>
          <w:rFonts w:ascii="Arial" w:cs="Arial" w:eastAsia="Arial" w:hAnsi="Arial"/>
          <w:sz w:val="18"/>
          <w:szCs w:val="18"/>
          <w:color w:val="auto"/>
        </w:rPr>
        <w:t>our timing expectations, which could cause us to be obligated to make cash payments to the former Haverstick stockholders or issue additional shares of our common stock.</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Further, our integration of historic and future acquisitions, including MRC and Haverstick,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w:t>
      </w:r>
    </w:p>
    <w:p>
      <w:pPr>
        <w:spacing w:after="0" w:line="198"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If we are unable to successfully integrate companies we may acquire in the future, our revenue and operating results could suffer. The integration of such businesses into our operations may result in unforeseen operating difficulties (including incompatible accounting and information management systems), may absorb significant management attention and may require significant financial resources that would otherwise be available for the ongoing development or expansion of our business. These difficulties of integration may require us to coordinate geographically dispersed organizations, integrate personnel with disparate business backgrounds and reconcile different corporate cultures. In certain acquisitions, federal acquisition regulations may require us to enter into government novation agreements, a potentially time-consuming process. In addition, we may not be successful in achieving the anticipated synergies from these acquisitions, including our strategy of offering our services to clients of acquired companies to increase our revenue. We may experience increased attrition, including, but not limited to, key employees of the acquired companies, during and following the integration of acquired companies that could reduce our future revenue.</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may need to record write-downs from future impairments of identified intangible assets and goodwill, which could reduce our future reported earnings. 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The discovery of any material liabilities associated with our acquisitions could cause us to incur additional expenses and cause a reduction in our operating profits.</w:t>
      </w:r>
    </w:p>
    <w:p>
      <w:pPr>
        <w:spacing w:after="0" w:line="17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Additionally, the Small Business Administration (SBA) is enacting new regulations which will require small businesses to recertify their size standard within thirty days of any sale or merger. It is highly likely that any company we may look to acquire will have some component of small business contracts. These new regulations may impact our ability to retain all of the contracts after the acquisition.</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management could impair our ability to identify and secure new contracts, to maintain good client relations and to otherwise manage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receive the benefit of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31% and 37%, respectively, of our federal business revenues for the fiscal year ended December 31, 2006.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In addition, if any of these infringement claims are ultimately successful, we could be required to: cease selling or using products or services that incorporate the challenged software or technology; obtain a license or additional licenses from our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employees, vendors, or other third parties; or redesign our products and services that rely on the challenged software or technology.</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if we are unable to protect our intellectual property, our competitors could market services or products similar to our services and products, which could reduce demand for our offerings.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be unable to prevent unauthorized parties from attempting to copy or otherwise obtain and use our technology. Policing unauthorized use of our technology is difficult, and we may not be able to prevent misappropriation of our technology, particularly in foreign countries where the laws may not protect our intellectual property as fully as those in the United States. Others, including our employees, may circumvent the trade secrets and other intellectual property that we own. Litigation may be necessary to enforce our intellectual property rights, to protect our trade secrets and to determine the validity and scope of the proprietary rights of others. Any litigation could result in substantial costs and diversion of resources, with no assurance of success.</w:t>
      </w:r>
    </w:p>
    <w:p>
      <w:pPr>
        <w:spacing w:after="0" w:line="17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a result of the SBA set-aside program, the federal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SBA set-aside program may impact our ability to bid on new procurements as a prime contractor or restrict our ability to recompete on incumbent work that is placed in the set-aside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fiscal year ended December 31, 2006, in our federal business two customers comprised approximately 55% of our federal business revenues, and our five largest customers accounted for approximately 80% of our total federal business revenues.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receive sufficient financing or fail to pay us for services performed, our business may be harmed.</w:t>
      </w:r>
    </w:p>
    <w:p>
      <w:pPr>
        <w:spacing w:after="0" w:line="225"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 few of our customers in our non-federal business rely upon outside financing to pay the costs of the services we provide. These customers may fail to obtain adequate financing or experience delays in receiving financing and they may choose the services of our competitors if our competitors are willing and able to provide project financing. In addition, we have historically taken significant write-offs of our accounts receivable. While the vast majority of our customers today are large federal customers and large enterprises,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will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costs or claims.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described in Item 4 of this Report, we reported a material weakness in internal control over financial reporting related to the Company's misclassification of our wireless deployment business, the recording of an adjustment to the carrying value of the assets of the deployment business and the omission of certain disclosures from the June 30, 2007 financial statements, all of which are collectively indicative that the material weaknesses identified in Item 9A of our Annual Report on Form 10-K for the year ended December 31, 2006 have not been remediated. As a result, management was unable to conclude that our disclosure controls and procedures were effective as of September 30, 2007.</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Section 404 of the Sarbanes-Oxley Act of 2002 requires our management to report on, and our independent auditors to attest to, the effectiveness of our internal control over financial reporting. We have an ongoing program to perform the system and process evaluation and testing necessary to comply with these requirements. We have and will continue to incur significant expenses and devote management resources to Section 404 compliance on an ongoing basis. In the event our Principal Executive Officer, Principal Financial Officer or independent registered public accounting firm determine in the future that our internal controls over financial reporting are not effective as defined under Section 404, investor perceptions may be adversely affected and could cause a decline in the market price of our stock.</w:t>
      </w:r>
    </w:p>
    <w:p>
      <w:pPr>
        <w:spacing w:after="0" w:line="198"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66" w:name="page67"/>
    <w:bookmarkEnd w:id="66"/>
    <w:p>
      <w:pPr>
        <w:ind w:firstLine="351"/>
        <w:spacing w:after="0" w:line="291" w:lineRule="auto"/>
        <w:rPr>
          <w:sz w:val="20"/>
          <w:szCs w:val="20"/>
          <w:color w:val="auto"/>
        </w:rPr>
      </w:pPr>
      <w:r>
        <w:rPr>
          <w:rFonts w:ascii="Arial" w:cs="Arial" w:eastAsia="Arial" w:hAnsi="Arial"/>
          <w:sz w:val="16"/>
          <w:szCs w:val="16"/>
          <w:color w:val="auto"/>
        </w:rPr>
        <w:t>Because of these and other inherent limitations of control systems, there can be no assurance that any design will succeed in achieving its stated goals under all potential future conditions. 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currently anticipate that our available capital resources, including our line of credit, and operating cash flows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the senior credit facility we entered into on October 2, 2006 to fund future acquisitions and for general corporate purposes. However, we have not been in compliance with the terms of that credit facility as a result of our failure to timely file our annual and quarterly financial statements, and we can provide no assurance that the lender would agree to extend additional or continuing credit under that facility. We believe that, with the filing of our Quarterly Report on Form 10-Q for the period ended June 30, 2007, we are no longer in default under this facility.</w:t>
      </w:r>
    </w:p>
    <w:p>
      <w:pPr>
        <w:spacing w:after="0" w:line="170"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Any new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harm our business or otherwise distract our management.</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Disclosure of trade secrets could aid our competitors.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 of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8" w:name="page69"/>
    <w:bookmarkEnd w:id="68"/>
    <w:p>
      <w:pPr>
        <w:ind w:left="1080" w:right="2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In addition, on December 16, 2004, we adopted a stockholder rights plan ("Rights Plan"). Pursuant to the Rights Plan, our Board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each Right will entitle its holder to purchase, at the Rights then-current exercise price, a number of the acquiring company's common shares having a market value at the time 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6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non-federal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Other than the technical skills required in our non-federal business, the barriers to entry in our non-federal business are relatively low. We do not have any intellectual property rights in this segment of our business to protect our methods and business start-up costs do not pose a significant barrier to entry. The success of our non-federal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non-federal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significant portion of our net assets come from goodwill and other intangible assets. 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operating profits could be adversely affected by significant changes in the contracting or fiscal policies of the federal government.</w:t>
      </w:r>
    </w:p>
    <w:p>
      <w:pPr>
        <w:spacing w:after="0" w:line="24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depend on continued federal government expenditures on intelligence, defense and other programs that we support. Accordingly, changes in federal government contracting policies could directly affect our financial performance. In addition, a change in presidential administrations, congressional majorities or in other senior federal government officials may negatively affect the rate at which the federal government purchases IT services. The overall U.S. defense budget declined from time-to-time in the late 1980s and the early 1990s. While spending authorizations for intelligence and defense-related programs by the federal government have increased in recent years, future levels of expenditures and authorizations for those programs may decrease, remain constant or shift to programs in areas where we do not currently provide services. Among the factors that could materially adversely affect us are:</w:t>
      </w:r>
    </w:p>
    <w:p>
      <w:pPr>
        <w:spacing w:after="0" w:line="188" w:lineRule="exact"/>
        <w:rPr>
          <w:sz w:val="20"/>
          <w:szCs w:val="20"/>
          <w:color w:val="auto"/>
        </w:rPr>
      </w:pPr>
    </w:p>
    <w:p>
      <w:pPr>
        <w:ind w:left="1080" w:right="3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budgetary constraints affecting federal government spending generally, or specific departments or agencies in particular, and changes in fiscal policies or available funding;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curtailment of the federal government's use of professional services providers;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adoption of new laws or regulations;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governmental shutdowns (such as that which occurred during the federal government's 1996 fiscal year) and other potential delays in the government appropriations process;</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payment of our invoices by federal government payment offices due to problems with, or upgrades to, federal government information systems, or for other reasons;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and consolidation in the IT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reduction in spending or shift of expenditures from existing programs, and a failure of Congress to pass adequate supplemental appropriations to pay for an international conflict or related reconstruction efforts;</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These or other factors could cause federal governmental agencies, or prime contractors for which we are acting as a subcontractor, to reduce their purchases under contracts, to exercise their right to terminate contracts or not to exercise options to renew contracts, any of which could cause our revenue and operating profits to decline.</w:t>
      </w:r>
    </w:p>
    <w:p>
      <w:pPr>
        <w:spacing w:after="0" w:line="19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Many of our federal government clients spend their procurement budgets through multiple award contracts under which we are required to compete for post-award orders or for which we may not be eligible to compete and could limit our ability to win new contracts and grow revenue.</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Budgetary pressures and reforms in the procurement process have caused many federal government clients to increasingly purchase goods and services through ID/IQ contracts, the GSA Schedule 70 Contracts and other multiple award and/or GWAC vehicles. These contract vehicles have resulted in increased competition and pricing pressure, requiring us to make sustained post-award efforts to realize revenue under the relevant contract vehicle. The federal government's ability to select multiple winners under multiple award schedule contracts, GWACs, blanket purchase agreements and other ID/IQ contracts, as well as its right to award subsequent task orders among such multiple winners, means that there is no assurance that these multiple award contracts will result in the actual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0" w:name="page71"/>
    <w:bookmarkEnd w:id="70"/>
    <w:p>
      <w:pPr>
        <w:ind w:right="240"/>
        <w:spacing w:after="0" w:line="306" w:lineRule="auto"/>
        <w:rPr>
          <w:sz w:val="20"/>
          <w:szCs w:val="20"/>
          <w:color w:val="auto"/>
        </w:rPr>
      </w:pPr>
      <w:r>
        <w:rPr>
          <w:rFonts w:ascii="Arial" w:cs="Arial" w:eastAsia="Arial" w:hAnsi="Arial"/>
          <w:sz w:val="16"/>
          <w:szCs w:val="16"/>
          <w:color w:val="auto"/>
        </w:rPr>
        <w:t>orders equal to the ceiling value, or result in any actual orders. We are only eligible to compete for work (task orders and delivery orders) as a prime contractor pursuant to GWACs already awarded to us. Our failure to compete effectively in this procurement environment could reduce our revenue. If the federal government elects to use a contract vehicle that we do not hold we will not be able to compete as a prime contractor.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must comply with and are affected by laws and regulations relating to the formation, administration and performance of federal government contracts, which affect how we do business with our clients and may impose added costs on us. Among the most significant laws and regulations are:</w:t>
      </w:r>
    </w:p>
    <w:p>
      <w:pPr>
        <w:spacing w:after="0" w:line="153" w:lineRule="exact"/>
        <w:rPr>
          <w:sz w:val="20"/>
          <w:szCs w:val="20"/>
          <w:color w:val="auto"/>
        </w:rPr>
      </w:pPr>
    </w:p>
    <w:p>
      <w:pPr>
        <w:ind w:left="1080" w:right="5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Acquisition Regulations, and agency regulations supplemental to the Federal Acquisition Regulations, which comprehensively regulate the formation, administration and performance of federal government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Truth in Negotiations Act, which requires certification and disclosure of all cost and pricing data in connection with contract negotiations;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federal government contracts;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 of certain products and technical data.</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Moreover, we are subject to industrial security regulations of the DoD and other federal agencies that are designed to safeguard against foreigners' access to classified information. If we were to come under foreign ownership, control or influence, our federal government clients could terminate or decide not to renew our contracts, and our ability to obtain new contracts could be impaired.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government may revise its procurement or other practices in a manner adverse to us.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federal government may revise its procurement practices or adopt new contracting rules and regulations, such as cost accounting standards. It could also adopt new contracting methods relating to GSA contracts, GWACs or other government-wide contracts, or adopt new standards for contract awards intended to achieve certain social or other policy objectives, such as establishing new set-aside programs for small or minority-owned businesses. In addition, the federal government may face restrictions from new legislation or regulations, as well as pressure from government employees and their unions, on the nature and amount of services the federal government may obtain from private contractors. These changes could impair our ability to obtain new contracts or contracts under which we currently perform when those contracts are put up for recompetition bids. Any new contracting methods could be costly or administratively difficult for us to implement, and, as a result, could harm our operating results.</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derive significant revenue from contracts awarded through a competitive procurement process, which may require significant upfront bid and proposal costs that could negatively affect our operating results.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derive significant revenue from federal government contracts that are awarded through a competitive procurement process. We expect that most of the federal government business we seek in the foreseeable future will be awarded through competitive processes. Competitive procurements impose substantial costs and present a number of risks, including:</w:t>
      </w:r>
    </w:p>
    <w:p>
      <w:pPr>
        <w:spacing w:after="0" w:line="221" w:lineRule="exact"/>
        <w:rPr>
          <w:sz w:val="20"/>
          <w:szCs w:val="20"/>
          <w:color w:val="auto"/>
        </w:rPr>
      </w:pPr>
    </w:p>
    <w:p>
      <w:pPr>
        <w:ind w:left="1080" w:right="2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we spend to prepare bids and proposals for contracts that may not be awarded to us and could reduce our profitability;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1" w:name="page72"/>
    <w:bookmarkEnd w:id="71"/>
    <w:p>
      <w:pPr>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expense and delay that we may face if our competitors protest or challenge contract awards made to us pursuant to competitive procedures, and the risk that any such protest or challenge could result in the resubmission of offers, or in termination, reduction or modification of the awarded contract, which could result in increased cost and reduced profitability.</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most federal government contract awards are subject to protest by competitors. If specified legal requirements are satisfied, these protests require the federal government agency to suspend the contractor's performance of the newly awarded contract pending the outcome of the protest. These protests could also result in a requirement to resubmit bids for the contract or in the termination, reduction or modification of the awarded contract.</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Unfavorable federal government audit results could subject us to a variety of penalties and sanctions, and could harm our reputation and relationships with our clients and impair our ability to win new contracts.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the profitability of the Company.</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Our outstanding borrowings on our Credit Facility of $1.0 million as of September 30, 2007 are subject to changes in short-term interest rates. If interest rates increase in the future, there can be no assurance that future increases in interest expense will not reduce our overall profitability.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72" w:name="page73"/>
    <w:bookmarkEnd w:id="7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300"/>
        <w:spacing w:after="0"/>
        <w:tabs>
          <w:tab w:leader="none" w:pos="3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474662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746625" cy="21590"/>
                    </a:xfrm>
                    <a:prstGeom prst="rect">
                      <a:avLst/>
                    </a:prstGeom>
                    <a:noFill/>
                  </pic:spPr>
                </pic:pic>
              </a:graphicData>
            </a:graphic>
          </wp:anchor>
        </w:drawing>
      </w:r>
    </w:p>
    <w:p>
      <w:pPr>
        <w:spacing w:after="0" w:line="202" w:lineRule="exact"/>
        <w:rPr>
          <w:sz w:val="20"/>
          <w:szCs w:val="20"/>
          <w:color w:val="auto"/>
        </w:rPr>
      </w:pPr>
    </w:p>
    <w:p>
      <w:pPr>
        <w:ind w:left="1280" w:right="60" w:hanging="435"/>
        <w:spacing w:after="0" w:line="259" w:lineRule="auto"/>
        <w:tabs>
          <w:tab w:leader="none" w:pos="1260" w:val="left"/>
        </w:tabs>
        <w:rPr>
          <w:sz w:val="20"/>
          <w:szCs w:val="20"/>
          <w:color w:val="auto"/>
        </w:rPr>
      </w:pPr>
      <w:r>
        <w:rPr>
          <w:rFonts w:ascii="Arial" w:cs="Arial" w:eastAsia="Arial" w:hAnsi="Arial"/>
          <w:sz w:val="18"/>
          <w:szCs w:val="18"/>
          <w:color w:val="auto"/>
        </w:rPr>
        <w:t>2.1</w:t>
        <w:tab/>
        <w:t>Stock Purchase Agreement by and among the Company, JMA Associates, Inc. d/b/a TLA Associates, and the Stockholders of JMA Associates, Inc., dated as of January 27, 2005.</w:t>
      </w:r>
    </w:p>
    <w:p>
      <w:pPr>
        <w:spacing w:after="0" w:line="194" w:lineRule="exact"/>
        <w:rPr>
          <w:sz w:val="20"/>
          <w:szCs w:val="20"/>
          <w:color w:val="auto"/>
        </w:rPr>
      </w:pPr>
    </w:p>
    <w:p>
      <w:pPr>
        <w:ind w:left="1280" w:right="40" w:hanging="435"/>
        <w:spacing w:after="0" w:line="268" w:lineRule="auto"/>
        <w:tabs>
          <w:tab w:leader="none" w:pos="1260" w:val="left"/>
        </w:tabs>
        <w:rPr>
          <w:sz w:val="20"/>
          <w:szCs w:val="20"/>
          <w:color w:val="auto"/>
        </w:rPr>
      </w:pPr>
      <w:r>
        <w:rPr>
          <w:rFonts w:ascii="Arial" w:cs="Arial" w:eastAsia="Arial" w:hAnsi="Arial"/>
          <w:sz w:val="18"/>
          <w:szCs w:val="18"/>
          <w:color w:val="auto"/>
        </w:rPr>
        <w:t>2.2</w:t>
        <w:tab/>
        <w:t>Equity Purchase Agreement, dated February 17, 2006, by and between Sakoki LLC and the Company.</w:t>
      </w:r>
    </w:p>
    <w:p>
      <w:pPr>
        <w:spacing w:after="0" w:line="186" w:lineRule="exact"/>
        <w:rPr>
          <w:sz w:val="20"/>
          <w:szCs w:val="20"/>
          <w:color w:val="auto"/>
        </w:rPr>
      </w:pPr>
    </w:p>
    <w:p>
      <w:pPr>
        <w:ind w:left="1280" w:hanging="435"/>
        <w:spacing w:after="0" w:line="268" w:lineRule="auto"/>
        <w:tabs>
          <w:tab w:leader="none" w:pos="1260" w:val="left"/>
        </w:tabs>
        <w:rPr>
          <w:sz w:val="20"/>
          <w:szCs w:val="20"/>
          <w:color w:val="auto"/>
        </w:rPr>
      </w:pPr>
      <w:r>
        <w:rPr>
          <w:rFonts w:ascii="Arial" w:cs="Arial" w:eastAsia="Arial" w:hAnsi="Arial"/>
          <w:sz w:val="18"/>
          <w:szCs w:val="18"/>
          <w:color w:val="auto"/>
        </w:rPr>
        <w:t>2.3</w:t>
        <w:tab/>
        <w:t>Addendum and Waiver Related to the Equity Purchase Agreement, dated June 26, 2006, by and between Sakoki LLC and the Company.</w:t>
      </w:r>
    </w:p>
    <w:p>
      <w:pPr>
        <w:spacing w:after="0" w:line="186" w:lineRule="exact"/>
        <w:rPr>
          <w:sz w:val="20"/>
          <w:szCs w:val="20"/>
          <w:color w:val="auto"/>
        </w:rPr>
      </w:pPr>
    </w:p>
    <w:p>
      <w:pPr>
        <w:ind w:left="1280" w:right="580" w:hanging="435"/>
        <w:spacing w:after="0" w:line="259" w:lineRule="auto"/>
        <w:tabs>
          <w:tab w:leader="none" w:pos="1260" w:val="left"/>
        </w:tabs>
        <w:rPr>
          <w:sz w:val="20"/>
          <w:szCs w:val="20"/>
          <w:color w:val="auto"/>
        </w:rPr>
      </w:pPr>
      <w:r>
        <w:rPr>
          <w:rFonts w:ascii="Arial" w:cs="Arial" w:eastAsia="Arial" w:hAnsi="Arial"/>
          <w:sz w:val="18"/>
          <w:szCs w:val="18"/>
          <w:color w:val="auto"/>
        </w:rPr>
        <w:t>2.4</w:t>
        <w:tab/>
        <w:t>Merger Agreement, dated August 8, 2006, by and among the Company, WFI Government Services, Inc., MRC Merger Company, Inc. and Madison Research Corporation.</w:t>
      </w:r>
    </w:p>
    <w:p>
      <w:pPr>
        <w:spacing w:after="0" w:line="194" w:lineRule="exact"/>
        <w:rPr>
          <w:sz w:val="20"/>
          <w:szCs w:val="20"/>
          <w:color w:val="auto"/>
        </w:rPr>
      </w:pPr>
    </w:p>
    <w:p>
      <w:pPr>
        <w:ind w:left="1280" w:right="460" w:hanging="435"/>
        <w:spacing w:after="0" w:line="268" w:lineRule="auto"/>
        <w:tabs>
          <w:tab w:leader="none" w:pos="1260" w:val="left"/>
        </w:tabs>
        <w:rPr>
          <w:sz w:val="20"/>
          <w:szCs w:val="20"/>
          <w:color w:val="auto"/>
        </w:rPr>
      </w:pPr>
      <w:r>
        <w:rPr>
          <w:rFonts w:ascii="Arial" w:cs="Arial" w:eastAsia="Arial" w:hAnsi="Arial"/>
          <w:sz w:val="18"/>
          <w:szCs w:val="18"/>
          <w:color w:val="auto"/>
        </w:rPr>
        <w:t>2.5</w:t>
        <w:tab/>
        <w:t>Agreement dated as of March 9, 2007 by and between LCC Wireless Engineering Services Limited and the Company.</w:t>
      </w:r>
    </w:p>
    <w:p>
      <w:pPr>
        <w:spacing w:after="0" w:line="186" w:lineRule="exact"/>
        <w:rPr>
          <w:sz w:val="20"/>
          <w:szCs w:val="20"/>
          <w:color w:val="auto"/>
        </w:rPr>
      </w:pPr>
    </w:p>
    <w:p>
      <w:pPr>
        <w:ind w:left="1280" w:right="220" w:hanging="435"/>
        <w:spacing w:after="0" w:line="268" w:lineRule="auto"/>
        <w:tabs>
          <w:tab w:leader="none" w:pos="1260" w:val="left"/>
        </w:tabs>
        <w:rPr>
          <w:sz w:val="20"/>
          <w:szCs w:val="20"/>
          <w:color w:val="auto"/>
        </w:rPr>
      </w:pPr>
      <w:r>
        <w:rPr>
          <w:rFonts w:ascii="Arial" w:cs="Arial" w:eastAsia="Arial" w:hAnsi="Arial"/>
          <w:sz w:val="18"/>
          <w:szCs w:val="18"/>
          <w:color w:val="auto"/>
        </w:rPr>
        <w:t>2.6</w:t>
        <w:tab/>
        <w:t>Equity Purchase Agreement, dated April 20, 2007, by and between the Company and Strategic Project Services, LLC</w:t>
      </w:r>
    </w:p>
    <w:p>
      <w:pPr>
        <w:spacing w:after="0" w:line="186" w:lineRule="exact"/>
        <w:rPr>
          <w:sz w:val="20"/>
          <w:szCs w:val="20"/>
          <w:color w:val="auto"/>
        </w:rPr>
      </w:pPr>
    </w:p>
    <w:p>
      <w:pPr>
        <w:ind w:left="1280" w:right="340" w:hanging="435"/>
        <w:spacing w:after="0" w:line="268" w:lineRule="auto"/>
        <w:tabs>
          <w:tab w:leader="none" w:pos="1260" w:val="left"/>
        </w:tabs>
        <w:rPr>
          <w:sz w:val="20"/>
          <w:szCs w:val="20"/>
          <w:color w:val="auto"/>
        </w:rPr>
      </w:pPr>
      <w:r>
        <w:rPr>
          <w:rFonts w:ascii="Arial" w:cs="Arial" w:eastAsia="Arial" w:hAnsi="Arial"/>
          <w:sz w:val="18"/>
          <w:szCs w:val="18"/>
          <w:color w:val="auto"/>
        </w:rPr>
        <w:t>2.7</w:t>
        <w:tab/>
        <w:t>Asset Purchase Agreement, dated May 29, 2007, by and between the Company and LCC International, Inc.</w:t>
      </w:r>
    </w:p>
    <w:p>
      <w:pPr>
        <w:spacing w:after="0" w:line="186" w:lineRule="exact"/>
        <w:rPr>
          <w:sz w:val="20"/>
          <w:szCs w:val="20"/>
          <w:color w:val="auto"/>
        </w:rPr>
      </w:pPr>
    </w:p>
    <w:p>
      <w:pPr>
        <w:ind w:left="1280" w:right="460" w:hanging="435"/>
        <w:spacing w:after="0" w:line="268" w:lineRule="auto"/>
        <w:tabs>
          <w:tab w:leader="none" w:pos="1260" w:val="left"/>
        </w:tabs>
        <w:rPr>
          <w:sz w:val="20"/>
          <w:szCs w:val="20"/>
          <w:color w:val="auto"/>
        </w:rPr>
      </w:pPr>
      <w:r>
        <w:rPr>
          <w:rFonts w:ascii="Arial" w:cs="Arial" w:eastAsia="Arial" w:hAnsi="Arial"/>
          <w:sz w:val="18"/>
          <w:szCs w:val="18"/>
          <w:color w:val="auto"/>
        </w:rPr>
        <w:t>2.8</w:t>
        <w:tab/>
        <w:t>Asset Purchase Agreement, dated July 7, 2007, by and between the Company and Burgundy Acquisition Corporation.</w:t>
      </w:r>
    </w:p>
    <w:p>
      <w:pPr>
        <w:spacing w:after="0" w:line="186"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w:t>
      </w:r>
    </w:p>
    <w:p>
      <w:pPr>
        <w:spacing w:after="0" w:line="225" w:lineRule="exact"/>
        <w:rPr>
          <w:sz w:val="20"/>
          <w:szCs w:val="20"/>
          <w:color w:val="auto"/>
        </w:rPr>
      </w:pPr>
    </w:p>
    <w:p>
      <w:pPr>
        <w:ind w:left="1280" w:right="100" w:hanging="435"/>
        <w:spacing w:after="0" w:line="268" w:lineRule="auto"/>
        <w:tabs>
          <w:tab w:leader="none" w:pos="1260" w:val="left"/>
        </w:tabs>
        <w:rPr>
          <w:sz w:val="20"/>
          <w:szCs w:val="20"/>
          <w:color w:val="auto"/>
        </w:rPr>
      </w:pPr>
      <w:r>
        <w:rPr>
          <w:rFonts w:ascii="Arial" w:cs="Arial" w:eastAsia="Arial" w:hAnsi="Arial"/>
          <w:sz w:val="18"/>
          <w:szCs w:val="18"/>
          <w:color w:val="auto"/>
        </w:rPr>
        <w:t>3.2</w:t>
        <w:tab/>
        <w:t>Certificate of Ownership and Merger of Kratos Defense &amp; Security Solutions, Inc. into Wireless Facilities, Inc.</w:t>
      </w:r>
    </w:p>
    <w:p>
      <w:pPr>
        <w:spacing w:after="0" w:line="186"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Bylaws in effect since November 5, 1999.</w:t>
      </w:r>
    </w:p>
    <w:p>
      <w:pPr>
        <w:spacing w:after="0" w:line="225" w:lineRule="exact"/>
        <w:rPr>
          <w:sz w:val="20"/>
          <w:szCs w:val="20"/>
          <w:color w:val="auto"/>
        </w:rPr>
      </w:pPr>
    </w:p>
    <w:p>
      <w:pPr>
        <w:jc w:val="center"/>
        <w:ind w:left="240"/>
        <w:spacing w:after="0"/>
        <w:tabs>
          <w:tab w:leader="none" w:pos="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Certificate of Designations, Preferences and Rights of Series A Preferred Stock.</w:t>
      </w:r>
    </w:p>
    <w:p>
      <w:pPr>
        <w:spacing w:after="0" w:line="225"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Certificate of Designations, Preferences and Rights of Series B Preferred Stock.</w:t>
      </w:r>
    </w:p>
    <w:p>
      <w:pPr>
        <w:spacing w:after="0" w:line="225"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Certificate of Designation of Series C Preferred Stock.</w:t>
      </w:r>
    </w:p>
    <w:p>
      <w:pPr>
        <w:spacing w:after="0" w:line="225"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Reference is made to Exhibits 3.1 and 3.2.</w:t>
      </w:r>
    </w:p>
    <w:p>
      <w:pPr>
        <w:spacing w:after="0" w:line="225"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Specimen Stock Certificate.</w:t>
      </w:r>
    </w:p>
    <w:p>
      <w:pPr>
        <w:spacing w:after="0" w:line="225" w:lineRule="exact"/>
        <w:rPr>
          <w:sz w:val="20"/>
          <w:szCs w:val="20"/>
          <w:color w:val="auto"/>
        </w:rPr>
      </w:pPr>
    </w:p>
    <w:p>
      <w:pPr>
        <w:ind w:left="1280" w:right="260" w:hanging="435"/>
        <w:spacing w:after="0" w:line="268" w:lineRule="auto"/>
        <w:tabs>
          <w:tab w:leader="none" w:pos="1260" w:val="left"/>
        </w:tabs>
        <w:rPr>
          <w:sz w:val="20"/>
          <w:szCs w:val="20"/>
          <w:color w:val="auto"/>
        </w:rPr>
      </w:pPr>
      <w:r>
        <w:rPr>
          <w:rFonts w:ascii="Arial" w:cs="Arial" w:eastAsia="Arial" w:hAnsi="Arial"/>
          <w:sz w:val="18"/>
          <w:szCs w:val="18"/>
          <w:color w:val="auto"/>
        </w:rPr>
        <w:t>4.3</w:t>
        <w:tab/>
        <w:t>Rights Agreement, dated as of December 16, 2004, between the Company and Wells Fargo, N.A.</w:t>
      </w:r>
    </w:p>
    <w:p>
      <w:pPr>
        <w:spacing w:after="0" w:line="186" w:lineRule="exact"/>
        <w:rPr>
          <w:sz w:val="20"/>
          <w:szCs w:val="20"/>
          <w:color w:val="auto"/>
        </w:rPr>
      </w:pPr>
    </w:p>
    <w:p>
      <w:pPr>
        <w:ind w:left="1280" w:right="600" w:hanging="522"/>
        <w:spacing w:after="0" w:line="268" w:lineRule="auto"/>
        <w:tabs>
          <w:tab w:leader="none" w:pos="1260" w:val="left"/>
        </w:tabs>
        <w:rPr>
          <w:sz w:val="20"/>
          <w:szCs w:val="20"/>
          <w:color w:val="auto"/>
        </w:rPr>
      </w:pPr>
      <w:r>
        <w:rPr>
          <w:rFonts w:ascii="Arial" w:cs="Arial" w:eastAsia="Arial" w:hAnsi="Arial"/>
          <w:sz w:val="18"/>
          <w:szCs w:val="18"/>
          <w:color w:val="auto"/>
        </w:rPr>
        <w:t>10.1</w:t>
        <w:tab/>
        <w:t>Form of Subordinated Promissory Note issued by LCC International, Inc. to the Company</w:t>
      </w:r>
    </w:p>
    <w:p>
      <w:pPr>
        <w:spacing w:after="0" w:line="186" w:lineRule="exact"/>
        <w:rPr>
          <w:sz w:val="20"/>
          <w:szCs w:val="20"/>
          <w:color w:val="auto"/>
        </w:rPr>
      </w:pPr>
    </w:p>
    <w:p>
      <w:pPr>
        <w:ind w:left="1280" w:right="180" w:hanging="522"/>
        <w:spacing w:after="0" w:line="268" w:lineRule="auto"/>
        <w:tabs>
          <w:tab w:leader="none" w:pos="1260" w:val="left"/>
        </w:tabs>
        <w:rPr>
          <w:sz w:val="20"/>
          <w:szCs w:val="20"/>
          <w:color w:val="auto"/>
        </w:rPr>
      </w:pPr>
      <w:r>
        <w:rPr>
          <w:rFonts w:ascii="Arial" w:cs="Arial" w:eastAsia="Arial" w:hAnsi="Arial"/>
          <w:sz w:val="18"/>
          <w:szCs w:val="18"/>
          <w:color w:val="auto"/>
        </w:rPr>
        <w:t>10.2</w:t>
        <w:tab/>
        <w:t>Form of Subordination Agreement executed by LCC International, Inc., the Company and 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300" w:type="dxa"/>
            <w:vAlign w:val="bottom"/>
            <w:gridSpan w:val="3"/>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05"/>
        </w:trPr>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41"/>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Filing</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Filed-</w:t>
            </w:r>
          </w:p>
        </w:tc>
      </w:tr>
      <w:tr>
        <w:trPr>
          <w:trHeight w:val="149"/>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Date/Period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r>
      <w:tr>
        <w:trPr>
          <w:trHeight w:val="174"/>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End Date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Herewith</w:t>
            </w:r>
          </w:p>
        </w:tc>
      </w:tr>
      <w:tr>
        <w:trPr>
          <w:trHeight w:val="105"/>
        </w:trPr>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9"/>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02/02/05</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64"/>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02/23/06</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06/30/06</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08/14/06</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64"/>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12/31/06</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12/31/06</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05/30/07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07/12/07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9/12/07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08/18/99</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7"/>
              </w:rPr>
              <w:t>8-K/A</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06/05/02</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6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08/18/99</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5/30/07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5/30/07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-7377430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-7377430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-6939915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-6939915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-6939915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-6939915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-6939915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-6939915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7480" w:space="220"/>
            <w:col w:w="3720"/>
          </w:cols>
          <w:pgMar w:left="240" w:top="34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3" w:name="page74"/>
    <w:bookmarkEnd w:id="73"/>
    <w:p>
      <w:pPr>
        <w:ind w:left="80" w:right="100" w:hanging="522"/>
        <w:spacing w:after="0" w:line="332" w:lineRule="auto"/>
        <w:tabs>
          <w:tab w:leader="none" w:pos="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Credit Agreement, dated as of June 1, 2007, by and among the Company, the lenders party thereto and KeyBank National Association</w:t>
      </w:r>
    </w:p>
    <w:p>
      <w:pPr>
        <w:spacing w:after="0" w:line="139" w:lineRule="exact"/>
        <w:rPr>
          <w:sz w:val="20"/>
          <w:szCs w:val="20"/>
          <w:color w:val="auto"/>
        </w:rPr>
      </w:pPr>
    </w:p>
    <w:p>
      <w:pPr>
        <w:ind w:left="80" w:right="700" w:hanging="522"/>
        <w:spacing w:after="0" w:line="268" w:lineRule="auto"/>
        <w:tabs>
          <w:tab w:leader="none" w:pos="60" w:val="left"/>
        </w:tabs>
        <w:rPr>
          <w:sz w:val="20"/>
          <w:szCs w:val="20"/>
          <w:color w:val="auto"/>
        </w:rPr>
      </w:pPr>
      <w:r>
        <w:rPr>
          <w:rFonts w:ascii="Arial" w:cs="Arial" w:eastAsia="Arial" w:hAnsi="Arial"/>
          <w:sz w:val="18"/>
          <w:szCs w:val="18"/>
          <w:color w:val="auto"/>
        </w:rPr>
        <w:t>10.4</w:t>
        <w:tab/>
        <w:t>Note Sale Agreement, dated July 3, 2007, by and between SPCP Group, LLC International, Inc. and the Company</w:t>
      </w:r>
    </w:p>
    <w:p>
      <w:pPr>
        <w:spacing w:after="0" w:line="186" w:lineRule="exact"/>
        <w:rPr>
          <w:sz w:val="20"/>
          <w:szCs w:val="20"/>
          <w:color w:val="auto"/>
        </w:rPr>
      </w:pPr>
    </w:p>
    <w:p>
      <w:pPr>
        <w:ind w:left="80" w:right="560" w:hanging="522"/>
        <w:spacing w:after="0" w:line="332" w:lineRule="auto"/>
        <w:tabs>
          <w:tab w:leader="none" w:pos="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Assignment Agreement, dated July 3, 2007, by and among the Company, SPCP Group LLC, LCC International, Inc. and Bank of America, N.A.</w:t>
      </w:r>
    </w:p>
    <w:p>
      <w:pPr>
        <w:spacing w:after="0" w:line="139" w:lineRule="exact"/>
        <w:rPr>
          <w:sz w:val="20"/>
          <w:szCs w:val="20"/>
          <w:color w:val="auto"/>
        </w:rPr>
      </w:pPr>
    </w:p>
    <w:p>
      <w:pPr>
        <w:ind w:left="80" w:right="380" w:hanging="522"/>
        <w:spacing w:after="0" w:line="268" w:lineRule="auto"/>
        <w:tabs>
          <w:tab w:leader="none" w:pos="60" w:val="left"/>
        </w:tabs>
        <w:rPr>
          <w:sz w:val="20"/>
          <w:szCs w:val="20"/>
          <w:color w:val="auto"/>
        </w:rPr>
      </w:pPr>
      <w:r>
        <w:rPr>
          <w:rFonts w:ascii="Arial" w:cs="Arial" w:eastAsia="Arial" w:hAnsi="Arial"/>
          <w:sz w:val="18"/>
          <w:szCs w:val="18"/>
          <w:color w:val="auto"/>
        </w:rPr>
        <w:t>10.7</w:t>
        <w:tab/>
        <w:t>Form of Earnout Agreement executed by the Company and Burgundy Acquisition Corporation</w:t>
      </w:r>
    </w:p>
    <w:p>
      <w:pPr>
        <w:spacing w:after="0" w:line="186" w:lineRule="exact"/>
        <w:rPr>
          <w:sz w:val="20"/>
          <w:szCs w:val="20"/>
          <w:color w:val="auto"/>
        </w:rPr>
      </w:pPr>
    </w:p>
    <w:p>
      <w:pPr>
        <w:ind w:left="80" w:right="40" w:hanging="522"/>
        <w:spacing w:after="0" w:line="268" w:lineRule="auto"/>
        <w:tabs>
          <w:tab w:leader="none" w:pos="60" w:val="left"/>
        </w:tabs>
        <w:rPr>
          <w:sz w:val="20"/>
          <w:szCs w:val="20"/>
          <w:color w:val="auto"/>
        </w:rPr>
      </w:pPr>
      <w:r>
        <w:rPr>
          <w:rFonts w:ascii="Arial" w:cs="Arial" w:eastAsia="Arial" w:hAnsi="Arial"/>
          <w:sz w:val="18"/>
          <w:szCs w:val="18"/>
          <w:color w:val="auto"/>
        </w:rPr>
        <w:t>31.1</w:t>
        <w:tab/>
        <w:t>Certification of Chief Executive Officer pursuant to Section 302 of the Sarbanes Oxley Act of 2002.</w:t>
      </w:r>
    </w:p>
    <w:p>
      <w:pPr>
        <w:spacing w:after="0" w:line="186" w:lineRule="exact"/>
        <w:rPr>
          <w:sz w:val="20"/>
          <w:szCs w:val="20"/>
          <w:color w:val="auto"/>
        </w:rPr>
      </w:pPr>
    </w:p>
    <w:p>
      <w:pPr>
        <w:ind w:left="80" w:right="80" w:hanging="522"/>
        <w:spacing w:after="0" w:line="268" w:lineRule="auto"/>
        <w:tabs>
          <w:tab w:leader="none" w:pos="60" w:val="left"/>
        </w:tabs>
        <w:rPr>
          <w:sz w:val="20"/>
          <w:szCs w:val="20"/>
          <w:color w:val="auto"/>
        </w:rPr>
      </w:pPr>
      <w:r>
        <w:rPr>
          <w:rFonts w:ascii="Arial" w:cs="Arial" w:eastAsia="Arial" w:hAnsi="Arial"/>
          <w:sz w:val="18"/>
          <w:szCs w:val="18"/>
          <w:color w:val="auto"/>
        </w:rPr>
        <w:t>31.2</w:t>
        <w:tab/>
        <w:t>Certification of Chief Financial Officer pursuant to Section 302 of the Sarbanes Oxley Act of 2002.</w:t>
      </w:r>
    </w:p>
    <w:p>
      <w:pPr>
        <w:spacing w:after="0" w:line="186" w:lineRule="exact"/>
        <w:rPr>
          <w:sz w:val="20"/>
          <w:szCs w:val="20"/>
          <w:color w:val="auto"/>
        </w:rPr>
      </w:pPr>
    </w:p>
    <w:p>
      <w:pPr>
        <w:ind w:left="80" w:hanging="522"/>
        <w:spacing w:after="0" w:line="268" w:lineRule="auto"/>
        <w:tabs>
          <w:tab w:leader="none" w:pos="60" w:val="left"/>
        </w:tabs>
        <w:rPr>
          <w:sz w:val="20"/>
          <w:szCs w:val="20"/>
          <w:color w:val="auto"/>
        </w:rPr>
      </w:pPr>
      <w:r>
        <w:rPr>
          <w:rFonts w:ascii="Arial" w:cs="Arial" w:eastAsia="Arial" w:hAnsi="Arial"/>
          <w:sz w:val="18"/>
          <w:szCs w:val="18"/>
          <w:color w:val="auto"/>
        </w:rPr>
        <w:t>32.1</w:t>
        <w:tab/>
        <w:t>Certification pursuant to 18 U.S.C. Section 1350, as adopted pursuant to Section 906 of the Sarbanes-Oxley Act of 2002 for Eric M. DeMarco.</w:t>
      </w:r>
    </w:p>
    <w:p>
      <w:pPr>
        <w:spacing w:after="0" w:line="186" w:lineRule="exact"/>
        <w:rPr>
          <w:sz w:val="20"/>
          <w:szCs w:val="20"/>
          <w:color w:val="auto"/>
        </w:rPr>
      </w:pPr>
    </w:p>
    <w:p>
      <w:pPr>
        <w:ind w:left="80" w:hanging="522"/>
        <w:spacing w:after="0" w:line="268" w:lineRule="auto"/>
        <w:tabs>
          <w:tab w:leader="none" w:pos="60" w:val="left"/>
        </w:tabs>
        <w:rPr>
          <w:sz w:val="20"/>
          <w:szCs w:val="20"/>
          <w:color w:val="auto"/>
        </w:rPr>
      </w:pPr>
      <w:r>
        <w:rPr>
          <w:rFonts w:ascii="Arial" w:cs="Arial" w:eastAsia="Arial" w:hAnsi="Arial"/>
          <w:sz w:val="18"/>
          <w:szCs w:val="18"/>
          <w:color w:val="auto"/>
        </w:rPr>
        <w:t>32.2</w:t>
        <w:tab/>
        <w:t>Certification pursuant to 18 U.S.C. Section 1350, as adopted pursuant to Section 906 of the Sarbanes-Oxley Act of 2002 for Deanna Lund.</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1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6/1/07</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7/10/07</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7/10/07</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7/12/07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220" w:space="540"/>
            <w:col w:w="2900"/>
          </w:cols>
          <w:pgMar w:left="1440" w:top="347" w:right="79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550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ERIC M. DEMARCO</w:t>
            </w:r>
          </w:p>
        </w:tc>
      </w:tr>
      <w:tr>
        <w:trPr>
          <w:trHeight w:val="120"/>
        </w:trPr>
        <w:tc>
          <w:tcPr>
            <w:tcW w:w="640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r>
        <w:trPr>
          <w:trHeight w:val="313"/>
        </w:trPr>
        <w:tc>
          <w:tcPr>
            <w:tcW w:w="64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Eric M. DeMarco</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Chief Executive Officer, President</w:t>
            </w:r>
          </w:p>
        </w:tc>
      </w:tr>
      <w:tr>
        <w:trPr>
          <w:trHeight w:val="432"/>
        </w:trPr>
        <w:tc>
          <w:tcPr>
            <w:tcW w:w="6400" w:type="dxa"/>
            <w:vAlign w:val="bottom"/>
          </w:tcPr>
          <w:p>
            <w:pPr>
              <w:ind w:left="550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DEANNA H. LUND, CPA</w:t>
            </w:r>
          </w:p>
        </w:tc>
      </w:tr>
      <w:tr>
        <w:trPr>
          <w:trHeight w:val="120"/>
        </w:trPr>
        <w:tc>
          <w:tcPr>
            <w:tcW w:w="640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r>
        <w:trPr>
          <w:trHeight w:val="313"/>
        </w:trPr>
        <w:tc>
          <w:tcPr>
            <w:tcW w:w="64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Deanna H. Lund</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Senior Vice President, Chief Financial Officer</w:t>
            </w:r>
          </w:p>
        </w:tc>
      </w:tr>
      <w:tr>
        <w:trPr>
          <w:trHeight w:val="432"/>
        </w:trPr>
        <w:tc>
          <w:tcPr>
            <w:tcW w:w="6400" w:type="dxa"/>
            <w:vAlign w:val="bottom"/>
          </w:tcPr>
          <w:p>
            <w:pPr>
              <w:ind w:left="550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LAURA L. SIEGAL</w:t>
            </w:r>
          </w:p>
        </w:tc>
      </w:tr>
      <w:tr>
        <w:trPr>
          <w:trHeight w:val="120"/>
        </w:trPr>
        <w:tc>
          <w:tcPr>
            <w:tcW w:w="640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r>
        <w:trPr>
          <w:trHeight w:val="313"/>
        </w:trPr>
        <w:tc>
          <w:tcPr>
            <w:tcW w:w="64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Laura L. Siegal</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w w:val="90"/>
              </w:rPr>
              <w:t>Vice President, Corporate Controller and Principal Accounting Officer</w:t>
            </w: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Date: November 9, 2007</w:t>
            </w:r>
          </w:p>
        </w:tc>
        <w:tc>
          <w:tcPr>
            <w:tcW w:w="5020" w:type="dxa"/>
            <w:vAlign w:val="bottom"/>
          </w:tcPr>
          <w:p>
            <w:pPr>
              <w:spacing w:after="0"/>
              <w:rPr>
                <w:sz w:val="24"/>
                <w:szCs w:val="24"/>
                <w:color w:val="auto"/>
              </w:rPr>
            </w:pPr>
          </w:p>
        </w:tc>
      </w:tr>
      <w:tr>
        <w:trPr>
          <w:trHeight w:val="432"/>
        </w:trPr>
        <w:tc>
          <w:tcPr>
            <w:tcW w:w="6400" w:type="dxa"/>
            <w:vAlign w:val="bottom"/>
          </w:tcPr>
          <w:p>
            <w:pPr>
              <w:ind w:left="5620"/>
              <w:spacing w:after="0"/>
              <w:rPr>
                <w:sz w:val="20"/>
                <w:szCs w:val="20"/>
                <w:color w:val="auto"/>
              </w:rPr>
            </w:pPr>
            <w:r>
              <w:rPr>
                <w:rFonts w:ascii="Arial" w:cs="Arial" w:eastAsia="Arial" w:hAnsi="Arial"/>
                <w:sz w:val="18"/>
                <w:szCs w:val="18"/>
                <w:color w:val="auto"/>
              </w:rPr>
              <w:t>75</w:t>
            </w:r>
          </w:p>
        </w:tc>
        <w:tc>
          <w:tcPr>
            <w:tcW w:w="5020" w:type="dxa"/>
            <w:vAlign w:val="bottom"/>
          </w:tcPr>
          <w:p>
            <w:pPr>
              <w:spacing w:after="0"/>
              <w:rPr>
                <w:sz w:val="24"/>
                <w:szCs w:val="24"/>
                <w:color w:val="auto"/>
              </w:rPr>
            </w:pPr>
          </w:p>
        </w:tc>
      </w:tr>
      <w:tr>
        <w:trPr>
          <w:trHeight w:val="228"/>
        </w:trPr>
        <w:tc>
          <w:tcPr>
            <w:tcW w:w="640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-2466975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-2466975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-1764030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-1060450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280"/>
        <w:spacing w:after="0" w:line="268"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KRATOS DEFENSE &amp; SECURITY SOLUTIONS, INC. FORM 10-Q FOR THE QUARTERLY PERIOD ENDED SEPTEMBER 30, 2007 INDEX</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PART I. FINANCIAL INFORMATION</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KRATOS DEFENSE &amp; SECURITY SOLUTIONS, INC. CONSOLIDATED BALANCE SHEETS (in millions, except par value and number of shares)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KRATOS DEFENSE &amp; SECURITY SOLUTIONS, INC. CONSOLIDATED STATEMENTS OF OPERATIONS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KRATOS DEFENSE &amp; SECURITY SOLUTIONS, INC. CONSOLIDATED STATEMENTS OF CASH FLOWS (in millions)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KRATOS DEFENSE &amp; SECURITY SOLUTIONS, INC. NOTES TO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PART II. OTHER INFORMATION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1A. Risk Factors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6. Exhibits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SIGNATURE</w:t>
        </w:r>
      </w:hyperlink>
    </w:p>
    <w:p>
      <w:pPr>
        <w:sectPr>
          <w:pgSz w:w="11900" w:h="16838" w:orient="portrait"/>
          <w:cols w:equalWidth="0" w:num="1">
            <w:col w:w="10740"/>
          </w:cols>
          <w:pgMar w:left="240" w:top="820" w:right="919" w:bottom="1440" w:gutter="0" w:footer="0" w:header="0"/>
        </w:sectPr>
      </w:pPr>
    </w:p>
    <w:bookmarkStart w:id="76" w:name="page77"/>
    <w:bookmarkEnd w:id="76"/>
    <w:p>
      <w:pPr>
        <w:spacing w:after="0"/>
        <w:rPr>
          <w:rFonts w:ascii="Arial" w:cs="Arial" w:eastAsia="Arial" w:hAnsi="Arial"/>
          <w:sz w:val="22"/>
          <w:szCs w:val="22"/>
          <w:color w:val="0000EE"/>
        </w:rPr>
      </w:pPr>
      <w:hyperlink w:anchor="page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78" w:name="page79"/>
    <w:bookmarkEnd w:id="78"/>
    <w:p>
      <w:pPr>
        <w:spacing w:after="0"/>
        <w:rPr>
          <w:rFonts w:ascii="Arial" w:cs="Arial" w:eastAsia="Arial" w:hAnsi="Arial"/>
          <w:sz w:val="22"/>
          <w:szCs w:val="22"/>
          <w:color w:val="0000EE"/>
        </w:rPr>
      </w:pPr>
      <w:hyperlink w:anchor="page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80" w:name="page81"/>
    <w:bookmarkEnd w:id="80"/>
    <w:p>
      <w:pPr>
        <w:spacing w:after="0"/>
        <w:rPr>
          <w:rFonts w:ascii="Arial" w:cs="Arial" w:eastAsia="Arial" w:hAnsi="Arial"/>
          <w:sz w:val="22"/>
          <w:szCs w:val="22"/>
          <w:color w:val="0000EE"/>
        </w:rPr>
      </w:pPr>
      <w:hyperlink w:anchor="page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30, 2007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1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77470</wp:posOffset>
            </wp:positionV>
            <wp:extent cx="282575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82" w:name="page83"/>
    <w:bookmarkEnd w:id="82"/>
    <w:p>
      <w:pPr>
        <w:spacing w:after="0"/>
        <w:rPr>
          <w:rFonts w:ascii="Arial" w:cs="Arial" w:eastAsia="Arial" w:hAnsi="Arial"/>
          <w:sz w:val="22"/>
          <w:szCs w:val="22"/>
          <w:color w:val="0000EE"/>
        </w:rPr>
      </w:pPr>
      <w:hyperlink w:anchor="page8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30, 2007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1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77470</wp:posOffset>
            </wp:positionV>
            <wp:extent cx="282575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2"/>
    </w:lvl>
  </w:abstractNum>
  <w:abstractNum w:abstractNumId="4">
    <w:nsid w:val="7C83E458"/>
    <w:multiLevelType w:val="hybridMultilevel"/>
    <w:lvl w:ilvl="0">
      <w:lvlJc w:val="left"/>
      <w:lvlText w:val="(%1)"/>
      <w:numFmt w:val="lowerLetter"/>
      <w:start w:val="3"/>
    </w:lvl>
  </w:abstractNum>
  <w:abstractNum w:abstractNumId="5">
    <w:nsid w:val="257130A3"/>
    <w:multiLevelType w:val="hybridMultilevel"/>
    <w:lvl w:ilvl="0">
      <w:lvlJc w:val="left"/>
      <w:lvlText w:val="(%1)"/>
      <w:numFmt w:val="lowerLetter"/>
      <w:start w:val="4"/>
    </w:lvl>
  </w:abstractNum>
  <w:abstractNum w:abstractNumId="6">
    <w:nsid w:val="62BBD95A"/>
    <w:multiLevelType w:val="hybridMultilevel"/>
    <w:lvl w:ilvl="0">
      <w:lvlJc w:val="left"/>
      <w:lvlText w:val="(%1)"/>
      <w:numFmt w:val="lowerLetter"/>
      <w:start w:val="5"/>
    </w:lvl>
  </w:abstractNum>
  <w:abstractNum w:abstractNumId="7">
    <w:nsid w:val="436C6125"/>
    <w:multiLevelType w:val="hybridMultilevel"/>
    <w:lvl w:ilvl="0">
      <w:lvlJc w:val="left"/>
      <w:lvlText w:val="%1"/>
      <w:numFmt w:val="lowerLetter"/>
      <w:start w:val="1"/>
    </w:lvl>
    <w:lvl w:ilvl="1">
      <w:lvlJc w:val="left"/>
      <w:lvlText w:val="(%2)"/>
      <w:numFmt w:val="decimal"/>
      <w:start w:val="1"/>
    </w:lvl>
  </w:abstractNum>
  <w:abstractNum w:abstractNumId="8">
    <w:nsid w:val="628C895D"/>
    <w:multiLevelType w:val="hybridMultilevel"/>
    <w:lvl w:ilvl="0">
      <w:lvlJc w:val="left"/>
      <w:lvlText w:val="(%1)"/>
      <w:numFmt w:val="lowerLetter"/>
      <w:start w:val="6"/>
    </w:lvl>
    <w:lvl w:ilvl="1">
      <w:lvlJc w:val="left"/>
      <w:lvlText w:val="%2"/>
      <w:numFmt w:val="decimal"/>
      <w:start w:val="1"/>
    </w:lvl>
  </w:abstractNum>
  <w:abstractNum w:abstractNumId="9">
    <w:nsid w:val="333AB105"/>
    <w:multiLevelType w:val="hybridMultilevel"/>
    <w:lvl w:ilvl="0">
      <w:lvlJc w:val="left"/>
      <w:lvlText w:val="(%1)"/>
      <w:numFmt w:val="lowerLetter"/>
      <w:start w:val="7"/>
    </w:lvl>
  </w:abstractNum>
  <w:abstractNum w:abstractNumId="10">
    <w:nsid w:val="721DA317"/>
    <w:multiLevelType w:val="hybridMultilevel"/>
    <w:lvl w:ilvl="0">
      <w:lvlJc w:val="left"/>
      <w:lvlText w:val="(%1)"/>
      <w:numFmt w:val="lowerLetter"/>
      <w:start w:val="8"/>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2019-12-14T22:03:39Z</dcterms:created>
  <dcterms:modified xsi:type="dcterms:W3CDTF">2019-12-14T22:03:39Z</dcterms:modified>
</cp:coreProperties>
</file>