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October 14,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333-293786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0"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Post-Effective Amendment No. 1 to Form S-3 </w:t>
      </w:r>
    </w:p>
    <w:p>
      <w:pPr>
        <w:pStyle w:val="TextBody"/>
        <w:bidi w:val="0"/>
        <w:spacing w:lineRule="auto" w:line="288" w:before="0" w:after="60"/>
        <w:jc w:val="center"/>
        <w:rPr>
          <w:rFonts w:ascii="Times New Roman;serif" w:hAnsi="Times New Roman;serif"/>
          <w:b/>
          <w:i/>
          <w:color w:val="000000"/>
          <w:sz w:val="24"/>
        </w:rPr>
      </w:pPr>
      <w:r>
        <w:rPr>
          <w:rFonts w:ascii="Times New Roman;serif" w:hAnsi="Times New Roman;serif"/>
          <w:b/>
          <w:i/>
          <w:color w:val="000000"/>
          <w:sz w:val="24"/>
        </w:rPr>
        <w:t>UNDER 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KRATOS DEFENSE &amp; SECURITY SOLUTIONS,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13-3818604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Chisholm Trail,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Round Rock, TX 78681</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(512) 238-9840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Deanna H. Lund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 and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10680 Treena Street, Suite 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California 92131</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(858) 812-7300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(Name, address, including zip code, and telephone number, including area code, of agent for service)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With a copy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Jon Olsen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Steven M. Przesmicki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Sidley Austin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12230 El Camino Real,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 92130</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(858) 398-0150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Approximate date of commencement of proposed sale to the public:</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From time to time after the effective date of this registration statement.</w:t>
      </w:r>
    </w:p>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If the only securities being registered on this Form are being offered pursuant to dividend or interest reinvestment plans, please check the following box ☐</w:t>
      </w:r>
    </w:p>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Post-Effective Amendment No. 1 (this “Post-Effective Amendment No. 1”) to the Registration Statement on Form S-3 (Registration No. 333-293786) filed by Kratos Defense &amp; Security Solutions, Inc. (the “Company”) with the Securities and Exchange Commission (the “SEC”) on February 26, 2026 (the “Registration Statement”), is being filed in connection with that certain Prospectus Supplement (the “Prospectus Supplement”) filed by the Company with the SEC on October 14, 2026, relating to the resale of shares of the Company’s common stock, $0.001 par value per share (“Common Stock”), from time to time by the selling stockholders named in the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Post-Effective Amendment No. 1 is being filed solely to (i) include the opinion of Sidley Austin LLP, relating to the validity of the shares of Common Stock being offered by the Prospectus Supplement, as Exhibit 5.2 to the Registration Statement, and (ii) include a filing fee table as Exhibit 107 relating to the shares of Common Stock being offered by the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changes or additions are being made to the base prospectus that already forms a part of the Registration Statement or to the Prospectus Supplement. Accordingly, the base prospectus and the Prospectus Supplement are omitted from this filing. This Post-Effective Amendment No. 1 shall become effective immediately upon filing with the SEC pursuant to Rule 462(e) under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328"/>
        <w:gridCol w:w="289"/>
        <w:gridCol w:w="291"/>
        <w:gridCol w:w="109"/>
        <w:gridCol w:w="109"/>
        <w:gridCol w:w="109"/>
        <w:gridCol w:w="2689"/>
        <w:gridCol w:w="2620"/>
        <w:gridCol w:w="3661"/>
      </w:tblGrid>
      <w:tr>
        <w:trPr/>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Kratos Defense &amp; Security Solutions, Inc., as amended.</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Bylaws of Kratos Defense &amp; Security Solutions, Inc., as amended.</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Specimen Stock Certificate.</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Senior Indenture.</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 xml:space="preserve">Form of Subordinated Indenture. </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Senior Note.</w:t>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Subordinated Note.</w:t>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Warrant Agreement.</w:t>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Unit Agreement.</w:t>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Opinion of Counsel, Sheppard, Mullen, Richter &amp; Hampton LLP.</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2-posasr.htm">
              <w:r>
                <w:rPr>
                  <w:rStyle w:val="InternetLink"/>
                  <w:rFonts w:ascii="Times New Roman;serif" w:hAnsi="Times New Roman;serif"/>
                  <w:b w:val="false"/>
                  <w:color w:val="0000FF"/>
                  <w:sz w:val="20"/>
                  <w:u w:val="single"/>
                </w:rPr>
                <w:t>Opinion of Sidley Austin LLP.</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Consent of Counsel, Sheppard, Mullen, Richter &amp; Hampton LLP (contained in Exhibit 5.1).</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Consent of Independent Registered Public Accounting Firm, Deloitte &amp; Touche LLP.</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2-posasr.htm">
              <w:r>
                <w:rPr>
                  <w:rStyle w:val="InternetLink"/>
                  <w:rFonts w:ascii="Times New Roman;serif" w:hAnsi="Times New Roman;serif"/>
                  <w:b w:val="false"/>
                  <w:color w:val="0000FF"/>
                  <w:sz w:val="20"/>
                  <w:u w:val="single"/>
                </w:rPr>
                <w:t>Consent of Counsel, Sidley Austin LLP (contained in Exhibit 5.2 to this Registration Statement).</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"https://www.sec.gov/Archives/edgar/data/1069258/000162828026012259/kratos-sx3asr.htm" \l "i80271316181546b38ecfd700b64027eb_438"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Power of Attorney.</w:t>
            </w:r>
            <w:r>
              <w:rPr>
                <w:rStyle w:val="InternetLink"/>
                <w:sz w:val="20"/>
                <w:u w:val="single"/>
                <w:b w:val="false"/>
                <w:rFonts w:ascii="Times New Roman;serif" w:hAnsi="Times New Roman;serif"/>
                <w:color w:val="0000FF"/>
              </w:rPr>
              <w:fldChar w:fldCharType="end"/>
            </w:r>
            <w:r>
              <w:rPr>
                <w:color w:val="000000"/>
              </w:rPr>
              <w:t xml:space="preserve"> </w:t>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Statement of Eligibility on Form T-1 under the Trust Indenture Act of 1939, as amended, of the Trustee under the Senior Indenture will be incorporated herein by reference from a subsequent filing in accordance with Section 305(b)(2) of the Trust Indenture Act of 1939.</w:t>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Statement of Eligibility on Form T-1 under the Trust Indenture Act of 1939, as amended, of the Trustee under the Subordinated Indenture will be incorporated herein by reference from a subsequent filing in accordance with Section 305(b)(2) of the Trust Indenture Act of 1939.</w:t>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 be filed, if necessary, as an exhibit to a current report of the registrant on Form 8-K or other document to be incorporated herein by reference.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**Filing herewith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6"/>
        </w:rPr>
        <w:t>Previously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 of 1933;</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w:t>
      </w:r>
    </w:p>
    <w:p>
      <w:pPr>
        <w:pStyle w:val="TextBody"/>
        <w:bidi w:val="0"/>
        <w:spacing w:before="0" w:after="18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volume and price represent no more than a 20% change in the maximum aggregate offering price set forth in the “Calculation of Registration Fee” table in the effective registration statement;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(iii)To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0" w:after="180"/>
        <w:jc w:val="left"/>
        <w:rPr/>
      </w:pP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that paragraphs (a)(1)(i), (a)(1)(ii) and (a)(1)(iii)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(4)That, for the purpose of determining liability under the Securities Act of 1933 to any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(i)Each prospectus filed by a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(5)That, for the purpose of determining liability of a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(i)Any preliminary prospectus or prospectus of the undersigned registrant relating to the offering required to be filed pursuant to Rule 424;</w:t>
      </w: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(iii)The portion of any other free writing prospectus relating to the offering containing material information about the undersigned registrant or its securities provided by or on behalf of an undersigned registrant; and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a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San Diego, State of California, on October 14, 2026.</w:t>
      </w:r>
    </w:p>
    <w:tbl>
      <w:tblPr>
        <w:tblW w:w="5510" w:type="dxa"/>
        <w:jc w:val="left"/>
        <w:tblInd w:w="0" w:type="dxa"/>
        <w:tblLayout w:type="fixed"/>
        <w:tblCellMar>
          <w:top w:w="28" w:type="dxa"/>
          <w:left w:w="28" w:type="dxa"/>
          <w:bottom w:w="28" w:type="dxa"/>
          <w:right w:w="28" w:type="dxa"/>
        </w:tblCellMar>
      </w:tblPr>
      <w:tblGrid>
        <w:gridCol w:w="835"/>
        <w:gridCol w:w="733"/>
        <w:gridCol w:w="733"/>
        <w:gridCol w:w="936"/>
        <w:gridCol w:w="936"/>
        <w:gridCol w:w="1337"/>
      </w:tblGrid>
      <w:tr>
        <w:trPr/>
        <w:tc>
          <w:tcPr>
            <w:tcW w:w="83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55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KRATOS DEFENSE &amp; SECURITY SOLUTIONS, INC.</w:t>
            </w:r>
          </w:p>
        </w:tc>
      </w:tr>
      <w:tr>
        <w:trPr/>
        <w:tc>
          <w:tcPr>
            <w:tcW w:w="55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DeMarco</w:t>
            </w:r>
          </w:p>
        </w:tc>
      </w:tr>
      <w:tr>
        <w:trPr/>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r>
      <w:tr>
        <w:trPr/>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Post-Effective Amendment No. 1 to the Registration Statement has been signed below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799"/>
        <w:gridCol w:w="672"/>
        <w:gridCol w:w="682"/>
        <w:gridCol w:w="109"/>
        <w:gridCol w:w="109"/>
        <w:gridCol w:w="109"/>
        <w:gridCol w:w="2015"/>
        <w:gridCol w:w="1984"/>
        <w:gridCol w:w="2010"/>
        <w:gridCol w:w="109"/>
        <w:gridCol w:w="109"/>
        <w:gridCol w:w="109"/>
        <w:gridCol w:w="403"/>
        <w:gridCol w:w="403"/>
        <w:gridCol w:w="583"/>
      </w:tblGrid>
      <w:tr>
        <w:trPr/>
        <w:tc>
          <w:tcPr>
            <w:tcW w:w="7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DeMarco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2026</w:t>
            </w:r>
          </w:p>
        </w:tc>
      </w:tr>
      <w:tr>
        <w:trPr/>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Deanna H. Lund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Director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2026</w:t>
            </w:r>
          </w:p>
        </w:tc>
      </w:tr>
      <w:tr>
        <w:trPr/>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Deanna H. Lund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 Corporate Controller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2026</w:t>
            </w:r>
          </w:p>
        </w:tc>
      </w:tr>
      <w:tr>
        <w:trPr/>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Maria Cervantes de Burgreen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2026</w:t>
            </w:r>
          </w:p>
        </w:tc>
      </w:tr>
      <w:tr>
        <w:trPr/>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2026</w:t>
            </w:r>
          </w:p>
        </w:tc>
      </w:tr>
      <w:tr>
        <w:trPr/>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Bradley Boyd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2026</w:t>
            </w:r>
          </w:p>
        </w:tc>
      </w:tr>
      <w:tr>
        <w:trPr/>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Bobbi Doorenbos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2026</w:t>
            </w:r>
          </w:p>
        </w:tc>
      </w:tr>
      <w:tr>
        <w:trPr/>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2026</w:t>
            </w:r>
          </w:p>
        </w:tc>
      </w:tr>
      <w:tr>
        <w:trPr/>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Hoglund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2026</w:t>
            </w:r>
          </w:p>
        </w:tc>
      </w:tr>
      <w:tr>
        <w:trPr/>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 Jarvis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2026</w:t>
            </w:r>
          </w:p>
        </w:tc>
      </w:tr>
      <w:tr>
        <w:trPr/>
        <w:tc>
          <w:tcPr>
            <w:tcW w:w="2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Amy Zegart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2280" w:type="dxa"/>
        <w:jc w:val="left"/>
        <w:tblInd w:w="0" w:type="dxa"/>
        <w:tblLayout w:type="fixed"/>
        <w:tblCellMar>
          <w:top w:w="28" w:type="dxa"/>
          <w:left w:w="28" w:type="dxa"/>
          <w:bottom w:w="28" w:type="dxa"/>
          <w:right w:w="28" w:type="dxa"/>
        </w:tblCellMar>
      </w:tblPr>
      <w:tblGrid>
        <w:gridCol w:w="206"/>
        <w:gridCol w:w="181"/>
        <w:gridCol w:w="183"/>
        <w:gridCol w:w="499"/>
        <w:gridCol w:w="499"/>
        <w:gridCol w:w="71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By:</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Deanna H. Lund</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H. Lund,</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Attorney-in-Fact</w:t>
            </w:r>
          </w:p>
        </w:tc>
      </w:tr>
    </w:tbl>
    <w:p>
      <w:pPr>
        <w:pStyle w:val="Normal"/>
        <w:bidi w:val="0"/>
        <w:spacing w:before="0" w:after="0"/>
        <w:jc w:val="left"/>
        <w:rPr>
          <w:sz w:val="4"/>
          <w:szCs w:val="4"/>
        </w:rPr>
      </w:pPr>
      <w:r>
        <w:rPr>
          <w:sz w:val="4"/>
          <w:szCs w:val="4"/>
        </w:rPr>
      </w:r>
      <w:bookmarkStart w:id="0" w:name="ktosexfilingfees.htm"/>
      <w:bookmarkStart w:id="1" w:name="ksktosexfilingfees"/>
      <w:bookmarkStart w:id="2" w:name="ktosexfilingfees.htm"/>
      <w:bookmarkStart w:id="3" w:name="ksktosexfilingfees"/>
      <w:bookmarkEnd w:id="2"/>
      <w:bookmarkEnd w:id="3"/>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tbl>
      <w:tblPr>
        <w:tblW w:w="6245" w:type="dxa"/>
        <w:jc w:val="left"/>
        <w:tblInd w:w="0" w:type="dxa"/>
        <w:tblLayout w:type="fixed"/>
        <w:tblCellMar>
          <w:top w:w="28" w:type="dxa"/>
          <w:left w:w="28" w:type="dxa"/>
          <w:bottom w:w="28" w:type="dxa"/>
          <w:right w:w="28" w:type="dxa"/>
        </w:tblCellMar>
      </w:tblPr>
      <w:tblGrid>
        <w:gridCol w:w="6091"/>
        <w:gridCol w:w="154"/>
      </w:tblGrid>
      <w:tr>
        <w:trPr/>
        <w:tc>
          <w:tcPr>
            <w:tcW w:w="62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609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before="0" w:after="283"/>
              <w:jc w:val="left"/>
              <w:rPr>
                <w:b/>
              </w:rPr>
            </w:pPr>
            <w:r>
              <w:rPr>
                <w:b/>
              </w:rPr>
              <w:t xml:space="preserve">KRATOS DEFENSE &amp; SECURITY SOLUTIONS,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668,841 </w:t>
            </w:r>
          </w:p>
        </w:tc>
        <w:tc>
          <w:tcPr>
            <w:tcW w:w="1156" w:type="dxa"/>
            <w:tcBorders/>
            <w:shd w:fill="E7E7E2" w:val="clear"/>
            <w:vAlign w:val="center"/>
          </w:tcPr>
          <w:p>
            <w:pPr>
              <w:pStyle w:val="TableContents"/>
              <w:bidi w:val="0"/>
              <w:spacing w:before="0" w:after="283"/>
              <w:jc w:val="right"/>
              <w:rPr/>
            </w:pPr>
            <w:r>
              <w:rPr/>
              <w:t xml:space="preserve">$ 41.97 </w:t>
            </w:r>
          </w:p>
        </w:tc>
        <w:tc>
          <w:tcPr>
            <w:tcW w:w="1666" w:type="dxa"/>
            <w:tcBorders/>
            <w:shd w:fill="E7E7E2" w:val="clear"/>
            <w:vAlign w:val="center"/>
          </w:tcPr>
          <w:p>
            <w:pPr>
              <w:pStyle w:val="TableContents"/>
              <w:bidi w:val="0"/>
              <w:spacing w:before="0" w:after="283"/>
              <w:jc w:val="right"/>
              <w:rPr/>
            </w:pPr>
            <w:r>
              <w:rPr/>
              <w:t xml:space="preserve">$ 28,071,256.77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$ 2,442.20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 w:name="MaxAggtOfferingPrice"/>
            <w:bookmarkEnd w:id="4"/>
            <w:r>
              <w:rPr/>
              <w:t xml:space="preserve">$ 28,071,256.77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$ 2,442.20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$ 2,442.20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1a. Represents the shares of common stock, $0.001 par value per share (the "Common Stock"), of Kratos Defense &amp; Security Solutions, Inc. (the "Registrant") that may be offered for resale by the selling stockholder pursuant to the registration statement to which this exhibit is attached. 1b. This estimate is made pursuant to Rule 457(c) of the Securities Act solely for purposes of calculating the registration fee. The price per share and aggregate offering price are based upon the average of the high and low prices of the Registrant's Common Stock on October 7, 2026 (such date being within five business days prior to the date that this registration statement was filed with the U.S. Securities and Exchange Commission), as reported on the Nasdaq Global Select Market.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5.2</w:t>
      </w:r>
    </w:p>
    <w:tbl>
      <w:tblPr>
        <w:tblW w:w="5650" w:type="dxa"/>
        <w:jc w:val="left"/>
        <w:tblInd w:w="0" w:type="dxa"/>
        <w:tblLayout w:type="fixed"/>
        <w:tblCellMar>
          <w:top w:w="28" w:type="dxa"/>
          <w:left w:w="28" w:type="dxa"/>
          <w:bottom w:w="28" w:type="dxa"/>
          <w:right w:w="28" w:type="dxa"/>
        </w:tblCellMar>
      </w:tblPr>
      <w:tblGrid>
        <w:gridCol w:w="700"/>
        <w:gridCol w:w="615"/>
        <w:gridCol w:w="616"/>
        <w:gridCol w:w="1087"/>
        <w:gridCol w:w="1087"/>
        <w:gridCol w:w="1545"/>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62050" cy="3143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10"/>
                          <a:stretch>
                            <a:fillRect/>
                          </a:stretch>
                        </pic:blipFill>
                        <pic:spPr bwMode="auto">
                          <a:xfrm>
                            <a:off x="0" y="0"/>
                            <a:ext cx="1162050" cy="314325"/>
                          </a:xfrm>
                          <a:prstGeom prst="rect">
                            <a:avLst/>
                          </a:prstGeom>
                        </pic:spPr>
                      </pic:pic>
                    </a:graphicData>
                  </a:graphic>
                </wp:inline>
              </w:drawing>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SIDLEY AUSTIN LLP</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12230 EL CAMINO REAL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SUITE 300</w:t>
            </w:r>
          </w:p>
          <w:p>
            <w:pPr>
              <w:pStyle w:val="TableContents"/>
              <w:bidi w:val="0"/>
              <w:spacing w:lineRule="auto" w:line="288" w:before="0" w:after="0"/>
              <w:jc w:val="left"/>
              <w:rPr/>
            </w:pPr>
            <w:r>
              <w:rPr>
                <w:rFonts w:ascii="Times New Roman;serif" w:hAnsi="Times New Roman;serif"/>
                <w:b w:val="false"/>
                <w:color w:val="000000"/>
                <w:sz w:val="20"/>
              </w:rPr>
              <w:t>SAN DIEGO, CA 92130</w:t>
            </w:r>
            <w:r>
              <w:rPr>
                <w:color w:val="000000"/>
              </w:rPr>
              <w:t> </w:t>
            </w:r>
          </w:p>
          <w:p>
            <w:pPr>
              <w:pStyle w:val="TableContents"/>
              <w:bidi w:val="0"/>
              <w:spacing w:lineRule="auto" w:line="288" w:before="0" w:after="0"/>
              <w:jc w:val="left"/>
              <w:rPr/>
            </w:pPr>
            <w:r>
              <w:rPr>
                <w:rFonts w:ascii="Times New Roman;serif" w:hAnsi="Times New Roman;serif"/>
                <w:b w:val="false"/>
                <w:color w:val="000000"/>
                <w:sz w:val="20"/>
              </w:rPr>
              <w:t>+1 858 398 0150</w:t>
            </w:r>
            <w:r>
              <w:rPr>
                <w:color w:val="000000"/>
              </w:rPr>
              <w:t> </w:t>
            </w:r>
          </w:p>
          <w:p>
            <w:pPr>
              <w:pStyle w:val="TableContents"/>
              <w:bidi w:val="0"/>
              <w:spacing w:lineRule="auto" w:line="288" w:before="0" w:after="120"/>
              <w:jc w:val="left"/>
              <w:rPr/>
            </w:pPr>
            <w:r>
              <w:rPr>
                <w:rFonts w:ascii="Times New Roman;serif" w:hAnsi="Times New Roman;serif"/>
                <w:b w:val="false"/>
                <w:color w:val="000000"/>
                <w:sz w:val="20"/>
              </w:rPr>
              <w:t>+1 858 398 0450 FAX</w:t>
            </w:r>
            <w:r>
              <w:rPr>
                <w:color w:val="000000"/>
              </w:rPr>
              <w:t> </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AMERICA •  ASIA PACIFIC  •  EUROPE</w:t>
            </w:r>
          </w:p>
        </w:tc>
      </w:tr>
    </w:tbl>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October 14,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Kratos Defense &amp; Security Solutions,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Chisholm Trail, Suite 300</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Round Rock, TX</w:t>
      </w:r>
    </w:p>
    <w:tbl>
      <w:tblPr>
        <w:tblW w:w="3989" w:type="dxa"/>
        <w:jc w:val="left"/>
        <w:tblInd w:w="0" w:type="dxa"/>
        <w:tblLayout w:type="fixed"/>
        <w:tblCellMar>
          <w:top w:w="28" w:type="dxa"/>
          <w:left w:w="28" w:type="dxa"/>
          <w:bottom w:w="28" w:type="dxa"/>
          <w:right w:w="28" w:type="dxa"/>
        </w:tblCellMar>
      </w:tblPr>
      <w:tblGrid>
        <w:gridCol w:w="162"/>
        <w:gridCol w:w="143"/>
        <w:gridCol w:w="145"/>
        <w:gridCol w:w="1036"/>
        <w:gridCol w:w="1036"/>
        <w:gridCol w:w="1467"/>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w:t>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Registration Statement on Form S-3</w:t>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We refer to (i) the Registration Statement on Form S-3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filed by Kratos Defense &amp; Security Solutions,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with the Securities and Exchange Commission (the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on February 26, 2026 under the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 and (ii) the prospectus supplement, dated October 14, 2026 (the “</w:t>
      </w:r>
      <w:r>
        <w:rPr>
          <w:rFonts w:ascii="Times New Roman;serif" w:hAnsi="Times New Roman;serif"/>
          <w:b/>
          <w:i/>
          <w:color w:val="000000"/>
          <w:sz w:val="24"/>
        </w:rPr>
        <w:t>Prospectus Supplement</w:t>
      </w:r>
      <w:r>
        <w:rPr>
          <w:color w:val="000000"/>
        </w:rPr>
        <w:t>”</w:t>
      </w:r>
      <w:r>
        <w:rPr>
          <w:rFonts w:ascii="Times New Roman;serif" w:hAnsi="Times New Roman;serif"/>
          <w:b w:val="false"/>
          <w:color w:val="000000"/>
          <w:sz w:val="24"/>
        </w:rPr>
        <w:t>), filed with the SEC under the Securities Act relating to the resale from time to time by the selling stockholders (collectively, the “</w:t>
      </w:r>
      <w:r>
        <w:rPr>
          <w:rFonts w:ascii="Times New Roman;serif" w:hAnsi="Times New Roman;serif"/>
          <w:b/>
          <w:i/>
          <w:color w:val="000000"/>
          <w:sz w:val="24"/>
        </w:rPr>
        <w:t>Selling Stockholders</w:t>
      </w:r>
      <w:r>
        <w:rPr>
          <w:color w:val="000000"/>
        </w:rPr>
        <w:t>”</w:t>
      </w:r>
      <w:r>
        <w:rPr>
          <w:rFonts w:ascii="Times New Roman;serif" w:hAnsi="Times New Roman;serif"/>
          <w:b w:val="false"/>
          <w:color w:val="000000"/>
          <w:sz w:val="24"/>
        </w:rPr>
        <w:t>) named in the Registration Statement of up to 668,841 shares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of the Company’s common stock, $0.001 par value per share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issuable pursuant to that certain Securities Purchase Agreement, dated as of October 9, 2026 (the “</w:t>
      </w:r>
      <w:r>
        <w:rPr>
          <w:rFonts w:ascii="Times New Roman;serif" w:hAnsi="Times New Roman;serif"/>
          <w:b/>
          <w:i/>
          <w:color w:val="000000"/>
          <w:sz w:val="24"/>
        </w:rPr>
        <w:t>Purchase Agreement</w:t>
      </w:r>
      <w:r>
        <w:rPr>
          <w:color w:val="000000"/>
        </w:rPr>
        <w:t>”</w:t>
      </w:r>
      <w:r>
        <w:rPr>
          <w:rFonts w:ascii="Times New Roman;serif" w:hAnsi="Times New Roman;serif"/>
          <w:b w:val="false"/>
          <w:color w:val="000000"/>
          <w:sz w:val="24"/>
        </w:rPr>
        <w:t>), by and among the Company, the Selling Stockholders, Jetset Airmotive, Inc., a Florida corporation, and Khristian M. Rodriquez as the representative of the Selling Stockholders. The Shares consist of (a) 547,249 shares of Common Stock (the “</w:t>
      </w:r>
      <w:r>
        <w:rPr>
          <w:rFonts w:ascii="Times New Roman;serif" w:hAnsi="Times New Roman;serif"/>
          <w:b/>
          <w:i/>
          <w:color w:val="000000"/>
          <w:sz w:val="24"/>
        </w:rPr>
        <w:t>Closing Shares</w:t>
      </w:r>
      <w:r>
        <w:rPr>
          <w:color w:val="000000"/>
        </w:rPr>
        <w:t>”</w:t>
      </w:r>
      <w:r>
        <w:rPr>
          <w:rFonts w:ascii="Times New Roman;serif" w:hAnsi="Times New Roman;serif"/>
          <w:b w:val="false"/>
          <w:color w:val="000000"/>
          <w:sz w:val="24"/>
        </w:rPr>
        <w:t>) issued to the Selling Stockholders on October 9, 2026, and (b) up to 121,592 shares of Common Stock (the “</w:t>
      </w:r>
      <w:r>
        <w:rPr>
          <w:rFonts w:ascii="Times New Roman;serif" w:hAnsi="Times New Roman;serif"/>
          <w:b/>
          <w:i/>
          <w:color w:val="000000"/>
          <w:sz w:val="24"/>
        </w:rPr>
        <w:t>Earn-out Shares</w:t>
      </w:r>
      <w:r>
        <w:rPr>
          <w:color w:val="000000"/>
        </w:rPr>
        <w:t>”</w:t>
      </w:r>
      <w:r>
        <w:rPr>
          <w:rFonts w:ascii="Times New Roman;serif" w:hAnsi="Times New Roman;serif"/>
          <w:b w:val="false"/>
          <w:color w:val="000000"/>
          <w:sz w:val="24"/>
        </w:rPr>
        <w:t xml:space="preserve">) issuable upon satisfaction of certain earn-out obligations.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letter is being delivered in accordance with the requirements of Item 601(b)(5) of Regulation S-K under the Securities Act.</w:t>
      </w:r>
    </w:p>
    <w:p>
      <w:pPr>
        <w:pStyle w:val="TextBody"/>
        <w:bidi w:val="0"/>
        <w:spacing w:lineRule="auto" w:line="288" w:before="0" w:after="0"/>
        <w:ind w:left="0" w:right="0" w:firstLine="720"/>
        <w:jc w:val="both"/>
        <w:rPr/>
      </w:pPr>
      <w:r>
        <w:rPr>
          <w:rFonts w:ascii="Times New Roman;serif" w:hAnsi="Times New Roman;serif"/>
          <w:b w:val="false"/>
          <w:color w:val="000000"/>
          <w:sz w:val="24"/>
        </w:rPr>
        <w:t>We have examined the Registration Statement, the Prospectus Supplement, the exhibits thereto, the Purchase Agreement, the Amended and Restated Certificate of Incorporation of the Company, as amended to the date hereof (as so amended, the “</w:t>
      </w:r>
      <w:r>
        <w:rPr>
          <w:rFonts w:ascii="Times New Roman;serif" w:hAnsi="Times New Roman;serif"/>
          <w:b/>
          <w:i/>
          <w:color w:val="000000"/>
          <w:sz w:val="24"/>
        </w:rPr>
        <w:t>Charter</w:t>
      </w:r>
      <w:r>
        <w:rPr>
          <w:color w:val="000000"/>
        </w:rPr>
        <w:t>”</w:t>
      </w:r>
      <w:r>
        <w:rPr>
          <w:rFonts w:ascii="Times New Roman;serif" w:hAnsi="Times New Roman;serif"/>
          <w:b w:val="false"/>
          <w:color w:val="000000"/>
          <w:sz w:val="24"/>
        </w:rPr>
        <w:t>), the Third Amended and Restated Bylaws of the Company, as amended to the date hereof (the “</w:t>
      </w:r>
      <w:r>
        <w:rPr>
          <w:rFonts w:ascii="Times New Roman;serif" w:hAnsi="Times New Roman;serif"/>
          <w:b/>
          <w:i/>
          <w:color w:val="000000"/>
          <w:sz w:val="24"/>
        </w:rPr>
        <w:t>By-Laws</w:t>
      </w:r>
      <w:r>
        <w:rPr>
          <w:color w:val="000000"/>
        </w:rPr>
        <w:t>”</w:t>
      </w:r>
      <w:r>
        <w:rPr>
          <w:rFonts w:ascii="Times New Roman;serif" w:hAnsi="Times New Roman;serif"/>
          <w:b w:val="false"/>
          <w:color w:val="000000"/>
          <w:sz w:val="24"/>
        </w:rPr>
        <w:t xml:space="preserve">), and the resolutions adopted by the board of directors of the Company relating to the Registration Statement, the Prospectus Supplement and the issuance of the Shares. We have also examined originals, or copies of originals certified to our satisfaction, of such agreements, documents, certificates and statements of the Company and others,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Kratos Defense &amp; Security Solutions, Inc.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14,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completeness of, certificates, letters and oral and written statements and representations of public officials and officers and other representatives of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Based on, and subject to, the foregoing and the other limitations, qualifications and assumptions set forth herein, we are of the opinion that, as of the date hereof:</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1.The Closing Shares are validly issued, fully paid and non-assessable.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2.The Earn-out Shares will be validly issued, fully paid and non-assessable when the Earn-out Shares have been duly registered on the books of the transfer agent and registrar therefor in the name or on behalf of the Selling Stockholders and have been issued by the Company in accordance with the terms of the Purchase Agreement. In rendering the foregoing opinion, we have assumed that (i) the Company will comply with all applicable notice requirements regarding uncertificated shares provided in the DGCL (as defined below); (ii) upon the issuance of the Earn-out Shares, the total number of shares of Common Stock issued and outstanding will not exceed the total number of shares of Common Stock that the Company is then authorized to issue under the Charter; (iii) the authorization thereof by the Company will not have been modified or rescinded, and there will not have occurred any change in law affecting the validity thereof; and (iv) the Charter and the By-Laws, as currently in effect, will not have been modified or amended and will be in full force and effect.</w:t>
      </w:r>
    </w:p>
    <w:p>
      <w:pPr>
        <w:pStyle w:val="TextBody"/>
        <w:bidi w:val="0"/>
        <w:spacing w:lineRule="auto" w:line="288" w:before="0" w:after="240"/>
        <w:jc w:val="both"/>
        <w:rPr/>
      </w:pPr>
      <w:r>
        <w:rPr>
          <w:rFonts w:ascii="Times New Roman;serif" w:hAnsi="Times New Roman;serif"/>
          <w:b w:val="false"/>
          <w:color w:val="000000"/>
          <w:sz w:val="24"/>
        </w:rPr>
        <w:t>With respect to each instrument or agreement referred to in or otherwise relevant to the opinions set forth herein (each, an “I</w:t>
      </w:r>
      <w:r>
        <w:rPr>
          <w:rFonts w:ascii="Times New Roman;serif" w:hAnsi="Times New Roman;serif"/>
          <w:b w:val="false"/>
          <w:color w:val="000000"/>
          <w:sz w:val="24"/>
          <w:u w:val="single"/>
        </w:rPr>
        <w:t>nstrument</w:t>
      </w:r>
      <w:r>
        <w:rPr>
          <w:color w:val="000000"/>
        </w:rPr>
        <w:t>”</w:t>
      </w:r>
      <w:r>
        <w:rPr>
          <w:rFonts w:ascii="Times New Roman;serif" w:hAnsi="Times New Roman;serif"/>
          <w:b w:val="false"/>
          <w:color w:val="000000"/>
          <w:sz w:val="24"/>
        </w:rPr>
        <w:t>), we have assumed, to the extent relevant to the opinions set forth herein, that (i) each party to such Instrument (if not a natural person) was duly organized or formed, as the case may be, and was at all relevant times and is validly existing and in good standing under the laws of its jurisdiction of organization or formation, as the case may be, and had at all relevant times and has full right, power and authority to execute, deliver and perform its obligations under such Instrument; (ii) such Instrument has been duly authorized, executed and delivered by each party thereto; and (iii) such Instrument was at all relevant times and is a valid, binding and enforceable agreement or obligation, as the case may be, of, each party thereto.</w:t>
      </w:r>
    </w:p>
    <w:p>
      <w:pPr>
        <w:pStyle w:val="TextBody"/>
        <w:bidi w:val="0"/>
        <w:spacing w:lineRule="auto" w:line="288" w:before="0" w:after="240"/>
        <w:jc w:val="both"/>
        <w:rPr/>
      </w:pPr>
      <w:r>
        <w:rPr>
          <w:rFonts w:ascii="Times New Roman;serif" w:hAnsi="Times New Roman;serif"/>
          <w:b w:val="false"/>
          <w:color w:val="000000"/>
          <w:sz w:val="24"/>
        </w:rPr>
        <w:t>This opinion letter is limited to the 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We express no opinion as to the laws, rules or regulations of any other jurisdiction, including, without limitation, the federal laws of the United States of America or any state securities or blue sky laws.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 Sidley Austin LLP</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9258/000106925817000009/ktos20161225ex-31.htm" TargetMode="External"/><Relationship Id="rId3" Type="http://schemas.openxmlformats.org/officeDocument/2006/relationships/hyperlink" Target="https://www.sec.gov/Archives/edgar/data/1069258/000106925824000042/exhibit31-thirdamendedandr.htm" TargetMode="External"/><Relationship Id="rId4" Type="http://schemas.openxmlformats.org/officeDocument/2006/relationships/hyperlink" Target="https://www.sec.gov/Archives/edgar/data/1069258/000106925817000009/kratoscommonformofcertif.htm" TargetMode="External"/><Relationship Id="rId5" Type="http://schemas.openxmlformats.org/officeDocument/2006/relationships/hyperlink" Target="https://www.sec.gov/Archives/edgar/data/1069258/000104746917005538/a2232811zex-4_4.htm" TargetMode="External"/><Relationship Id="rId6" Type="http://schemas.openxmlformats.org/officeDocument/2006/relationships/hyperlink" Target="https://www.sec.gov/Archives/edgar/data/1069258/000104746917005538/a2232811zex-4_5.htm" TargetMode="External"/><Relationship Id="rId7" Type="http://schemas.openxmlformats.org/officeDocument/2006/relationships/hyperlink" Target="https://www.sec.gov/Archives/edgar/data/1069258/000162828026012259/exhibit51-sx3asr.htm" TargetMode="External"/><Relationship Id="rId8" Type="http://schemas.openxmlformats.org/officeDocument/2006/relationships/hyperlink" Target="https://www.sec.gov/Archives/edgar/data/1069258/000162828026012259/exhibit51-sx3asr.htm" TargetMode="External"/><Relationship Id="rId9" Type="http://schemas.openxmlformats.org/officeDocument/2006/relationships/hyperlink" Target="https://www.sec.gov/Archives/edgar/data/1069258/000162828026012259/exhibit232-sx3asr.htm" TargetMode="External"/><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3882</Words>
  <Characters>20798</Characters>
  <CharactersWithSpaces>24488</CharactersWithSpaces>
  <Paragraphs>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