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267335</wp:posOffset>
            </wp:positionV>
            <wp:extent cx="7274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274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136525</wp:posOffset>
            </wp:positionV>
            <wp:extent cx="37909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0950" cy="6985"/>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2" w:lineRule="exact"/>
        <w:rPr>
          <w:sz w:val="24"/>
          <w:szCs w:val="24"/>
          <w:color w:val="auto"/>
        </w:rPr>
      </w:pPr>
    </w:p>
    <w:p>
      <w:pPr>
        <w:ind w:left="1840" w:hanging="241"/>
        <w:spacing w:after="0"/>
        <w:tabs>
          <w:tab w:leader="none" w:pos="184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2019</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15" w:lineRule="exact"/>
        <w:rPr>
          <w:sz w:val="24"/>
          <w:szCs w:val="24"/>
          <w:color w:val="auto"/>
        </w:rPr>
      </w:pPr>
    </w:p>
    <w:p>
      <w:pPr>
        <w:ind w:left="1660" w:hanging="268"/>
        <w:spacing w:after="0"/>
        <w:tabs>
          <w:tab w:leader="none" w:pos="1660" w:val="left"/>
        </w:tabs>
        <w:numPr>
          <w:ilvl w:val="0"/>
          <w:numId w:val="2"/>
        </w:numPr>
        <w:rPr>
          <w:rFonts w:ascii="MS PGothic" w:cs="MS PGothic" w:eastAsia="MS PGothic" w:hAnsi="MS PGothic"/>
          <w:sz w:val="16"/>
          <w:szCs w:val="16"/>
          <w:color w:val="auto"/>
        </w:rPr>
      </w:pPr>
      <w:r>
        <w:rPr>
          <w:rFonts w:ascii="Arial" w:cs="Arial" w:eastAsia="Arial" w:hAnsi="Arial"/>
          <w:sz w:val="15"/>
          <w:szCs w:val="15"/>
          <w:b w:val="1"/>
          <w:bCs w:val="1"/>
          <w:color w:val="auto"/>
        </w:rPr>
        <w:t>TRANSITION REPORT PURSUANT TO SECTION 13 OR 15(d) OF THE SECURITIES AND EXCHANGE ACT OF 1934</w:t>
      </w:r>
    </w:p>
    <w:p>
      <w:pPr>
        <w:spacing w:after="0" w:line="62"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For the transition period from __________ to 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137795</wp:posOffset>
            </wp:positionV>
            <wp:extent cx="37909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0950" cy="6985"/>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60"/>
          </w:cols>
          <w:pgMar w:left="220" w:top="215" w:right="219" w:bottom="1440" w:gutter="0" w:footer="0" w:header="0"/>
        </w:sectPr>
      </w:pPr>
    </w:p>
    <w:p>
      <w:pPr>
        <w:spacing w:after="0" w:line="125" w:lineRule="exact"/>
        <w:rPr>
          <w:sz w:val="24"/>
          <w:szCs w:val="24"/>
          <w:color w:val="auto"/>
        </w:rPr>
      </w:pPr>
    </w:p>
    <w:p>
      <w:pPr>
        <w:ind w:left="25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13-3818604</w:t>
      </w:r>
    </w:p>
    <w:p>
      <w:pPr>
        <w:spacing w:after="0" w:line="81" w:lineRule="exact"/>
        <w:rPr>
          <w:sz w:val="24"/>
          <w:szCs w:val="24"/>
          <w:color w:val="auto"/>
        </w:rPr>
      </w:pPr>
    </w:p>
    <w:p>
      <w:pPr>
        <w:sectPr>
          <w:pgSz w:w="11900" w:h="16838" w:orient="portrait"/>
          <w:cols w:equalWidth="0" w:num="2">
            <w:col w:w="7540" w:space="720"/>
            <w:col w:w="3200"/>
          </w:cols>
          <w:pgMar w:left="220" w:top="215" w:right="219" w:bottom="1440" w:gutter="0" w:footer="0" w:header="0"/>
          <w:type w:val="continuous"/>
        </w:sectPr>
      </w:pPr>
    </w:p>
    <w:p>
      <w:pPr>
        <w:ind w:left="2040"/>
        <w:spacing w:after="0"/>
        <w:rPr>
          <w:sz w:val="20"/>
          <w:szCs w:val="20"/>
          <w:color w:val="auto"/>
        </w:rPr>
      </w:pPr>
      <w:r>
        <w:rPr>
          <w:rFonts w:ascii="Arial" w:cs="Arial" w:eastAsia="Arial" w:hAnsi="Arial"/>
          <w:sz w:val="13"/>
          <w:szCs w:val="13"/>
          <w:color w:val="auto"/>
        </w:rPr>
        <w:t>(State or other jurisdiction of</w:t>
      </w:r>
    </w:p>
    <w:p>
      <w:pPr>
        <w:spacing w:after="0" w:line="32" w:lineRule="exact"/>
        <w:rPr>
          <w:sz w:val="24"/>
          <w:szCs w:val="24"/>
          <w:color w:val="auto"/>
        </w:rPr>
      </w:pPr>
    </w:p>
    <w:p>
      <w:pPr>
        <w:ind w:left="20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16" w:lineRule="exact"/>
        <w:rPr>
          <w:sz w:val="24"/>
          <w:szCs w:val="24"/>
          <w:color w:val="auto"/>
        </w:rPr>
      </w:pPr>
    </w:p>
    <w:p>
      <w:pPr>
        <w:sectPr>
          <w:pgSz w:w="11900" w:h="16838" w:orient="portrait"/>
          <w:cols w:equalWidth="0" w:num="2">
            <w:col w:w="6840" w:space="720"/>
            <w:col w:w="3900"/>
          </w:cols>
          <w:pgMar w:left="220" w:top="215" w:right="21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10680 Treena St., Suite 600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San Diego, CA 92131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(858) 812-7300</w:t>
      </w:r>
    </w:p>
    <w:p>
      <w:pPr>
        <w:jc w:val="center"/>
        <w:ind w:right="-19"/>
        <w:spacing w:after="0"/>
        <w:rPr>
          <w:sz w:val="20"/>
          <w:szCs w:val="20"/>
          <w:color w:val="auto"/>
        </w:rPr>
      </w:pPr>
      <w:r>
        <w:rPr>
          <w:rFonts w:ascii="Arial" w:cs="Arial" w:eastAsia="Arial" w:hAnsi="Arial"/>
          <w:sz w:val="13"/>
          <w:szCs w:val="13"/>
          <w:color w:val="auto"/>
        </w:rPr>
        <w:t>(Address, including zip code, and telephone number, including</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137795</wp:posOffset>
            </wp:positionV>
            <wp:extent cx="37909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90950" cy="6985"/>
                    </a:xfrm>
                    <a:prstGeom prst="rect">
                      <a:avLst/>
                    </a:prstGeom>
                    <a:noFill/>
                  </pic:spPr>
                </pic:pic>
              </a:graphicData>
            </a:graphic>
          </wp:anchor>
        </w:drawing>
      </w:r>
    </w:p>
    <w:p>
      <w:pPr>
        <w:sectPr>
          <w:pgSz w:w="11900" w:h="16838" w:orient="portrait"/>
          <w:cols w:equalWidth="0" w:num="1">
            <w:col w:w="11460"/>
          </w:cols>
          <w:pgMar w:left="220" w:top="215" w:right="219" w:bottom="1440" w:gutter="0" w:footer="0" w:header="0"/>
          <w:type w:val="continuous"/>
        </w:sectPr>
      </w:pPr>
    </w:p>
    <w:p>
      <w:pPr>
        <w:spacing w:after="0" w:line="390" w:lineRule="exact"/>
        <w:rPr>
          <w:sz w:val="24"/>
          <w:szCs w:val="24"/>
          <w:color w:val="auto"/>
        </w:rPr>
      </w:pPr>
    </w:p>
    <w:p>
      <w:pPr>
        <w:ind w:right="200" w:firstLine="259"/>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2" w:lineRule="exact"/>
        <w:rPr>
          <w:sz w:val="24"/>
          <w:szCs w:val="24"/>
          <w:color w:val="auto"/>
        </w:rPr>
      </w:pPr>
    </w:p>
    <w:p>
      <w:pPr>
        <w:ind w:right="180" w:firstLine="259"/>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2" w:lineRule="exact"/>
        <w:rPr>
          <w:sz w:val="24"/>
          <w:szCs w:val="24"/>
          <w:color w:val="auto"/>
        </w:rPr>
      </w:pPr>
    </w:p>
    <w:p>
      <w:pPr>
        <w:ind w:right="420" w:firstLine="259"/>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20" w:top="215" w:right="219" w:bottom="1440" w:gutter="0" w:footer="0" w:header="0"/>
          <w:type w:val="continuous"/>
        </w:sectPr>
      </w:pPr>
    </w:p>
    <w:p>
      <w:pPr>
        <w:spacing w:after="0" w:line="168" w:lineRule="exact"/>
        <w:rPr>
          <w:sz w:val="24"/>
          <w:szCs w:val="24"/>
          <w:color w:val="auto"/>
        </w:rPr>
      </w:pPr>
    </w:p>
    <w:p>
      <w:pPr>
        <w:ind w:left="21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0" w:lineRule="exact"/>
        <w:rPr>
          <w:sz w:val="24"/>
          <w:szCs w:val="24"/>
          <w:color w:val="auto"/>
        </w:rPr>
      </w:pPr>
    </w:p>
    <w:p>
      <w:pPr>
        <w:sectPr>
          <w:pgSz w:w="11900" w:h="16838" w:orient="portrait"/>
          <w:cols w:equalWidth="0" w:num="2">
            <w:col w:w="7340" w:space="720"/>
            <w:col w:w="3400"/>
          </w:cols>
          <w:pgMar w:left="220" w:top="215" w:right="219" w:bottom="1440" w:gutter="0" w:footer="0" w:header="0"/>
          <w:type w:val="continuous"/>
        </w:sectPr>
      </w:pPr>
    </w:p>
    <w:p>
      <w:pPr>
        <w:spacing w:after="0" w:line="82" w:lineRule="exact"/>
        <w:rPr>
          <w:sz w:val="24"/>
          <w:szCs w:val="24"/>
          <w:color w:val="auto"/>
        </w:rPr>
      </w:pPr>
    </w:p>
    <w:p>
      <w:pPr>
        <w:ind w:left="222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163" w:lineRule="exact"/>
        <w:rPr>
          <w:sz w:val="24"/>
          <w:szCs w:val="24"/>
          <w:color w:val="auto"/>
        </w:rPr>
      </w:pPr>
    </w:p>
    <w:p>
      <w:pPr>
        <w:sectPr>
          <w:pgSz w:w="11900" w:h="16838" w:orient="portrait"/>
          <w:cols w:equalWidth="0" w:num="2">
            <w:col w:w="7040" w:space="720"/>
            <w:col w:w="3700"/>
          </w:cols>
          <w:pgMar w:left="220" w:top="215" w:right="219" w:bottom="1440" w:gutter="0" w:footer="0" w:header="0"/>
          <w:type w:val="continuous"/>
        </w:sectPr>
      </w:pPr>
    </w:p>
    <w:p>
      <w:pPr>
        <w:ind w:left="7760"/>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460"/>
          </w:cols>
          <w:pgMar w:left="220" w:top="215" w:right="219" w:bottom="1440" w:gutter="0" w:footer="0" w:header="0"/>
          <w:type w:val="continuous"/>
        </w:sectPr>
      </w:pPr>
    </w:p>
    <w:p>
      <w:pPr>
        <w:spacing w:after="0" w:line="174" w:lineRule="exact"/>
        <w:rPr>
          <w:sz w:val="24"/>
          <w:szCs w:val="24"/>
          <w:color w:val="auto"/>
        </w:rPr>
      </w:pPr>
    </w:p>
    <w:p>
      <w:pPr>
        <w:ind w:right="540" w:firstLine="259"/>
        <w:spacing w:after="0" w:line="28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9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8" w:lineRule="exact"/>
        <w:rPr>
          <w:sz w:val="24"/>
          <w:szCs w:val="24"/>
          <w:color w:val="auto"/>
        </w:rPr>
      </w:pPr>
    </w:p>
    <w:tbl>
      <w:tblPr>
        <w:tblLayout w:type="fixed"/>
        <w:tblInd w:w="50" w:type="dxa"/>
        <w:tblCellMar>
          <w:top w:w="0" w:type="dxa"/>
          <w:left w:w="0" w:type="dxa"/>
          <w:bottom w:w="0" w:type="dxa"/>
          <w:right w:w="0" w:type="dxa"/>
        </w:tblCellMar>
      </w:tblPr>
      <w:tr>
        <w:trPr>
          <w:trHeight w:val="204"/>
        </w:trPr>
        <w:tc>
          <w:tcPr>
            <w:tcW w:w="3900" w:type="dxa"/>
            <w:vAlign w:val="bottom"/>
            <w:tcBorders>
              <w:top w:val="single" w:sz="8" w:color="auto"/>
              <w:left w:val="single" w:sz="8" w:color="auto"/>
              <w:right w:val="single" w:sz="8" w:color="auto"/>
            </w:tcBorders>
          </w:tcPr>
          <w:p>
            <w:pPr>
              <w:ind w:left="14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Symbols(s)</w:t>
            </w:r>
          </w:p>
        </w:tc>
        <w:tc>
          <w:tcPr>
            <w:tcW w:w="37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
        </w:trPr>
        <w:tc>
          <w:tcPr>
            <w:tcW w:w="3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84"/>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$0.001 par value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KTOS</w:t>
            </w:r>
          </w:p>
        </w:tc>
        <w:tc>
          <w:tcPr>
            <w:tcW w:w="3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NASDAQ Global Select Market</w:t>
            </w:r>
          </w:p>
        </w:tc>
      </w:tr>
      <w:tr>
        <w:trPr>
          <w:trHeight w:val="23"/>
        </w:trPr>
        <w:tc>
          <w:tcPr>
            <w:tcW w:w="3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27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May 3, 2019, 105,913,292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2745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157480</wp:posOffset>
            </wp:positionV>
            <wp:extent cx="72745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ectPr>
          <w:pgSz w:w="11900" w:h="16838" w:orient="portrait"/>
          <w:cols w:equalWidth="0" w:num="1">
            <w:col w:w="11460"/>
          </w:cols>
          <w:pgMar w:left="220" w:top="215" w:right="21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1"/>
                <w:szCs w:val="11"/>
                <w:b w:val="1"/>
                <w:bCs w:val="1"/>
                <w:color w:val="auto"/>
              </w:rPr>
              <w:t>Page</w:t>
            </w:r>
          </w:p>
        </w:tc>
      </w:tr>
      <w:tr>
        <w:trPr>
          <w:trHeight w:val="151"/>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tcBorders>
              <w:bottom w:val="single" w:sz="8" w:color="0000EE"/>
            </w:tcBorders>
            <w:gridSpan w:val="5"/>
          </w:tcPr>
          <w:p>
            <w:pPr>
              <w:jc w:val="center"/>
              <w:spacing w:after="0" w:line="151"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3760" w:type="dxa"/>
            <w:vAlign w:val="bottom"/>
            <w:gridSpan w:val="4"/>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
              <w:r>
                <w:rPr>
                  <w:rFonts w:ascii="Arial" w:cs="Arial" w:eastAsia="Arial" w:hAnsi="Arial"/>
                  <w:sz w:val="14"/>
                  <w:szCs w:val="14"/>
                  <w:color w:val="0000EE"/>
                  <w:w w:val="93"/>
                </w:rPr>
                <w:t>Item 1.</w:t>
              </w:r>
            </w:hyperlink>
          </w:p>
        </w:tc>
        <w:tc>
          <w:tcPr>
            <w:tcW w:w="520" w:type="dxa"/>
            <w:vAlign w:val="bottom"/>
            <w:gridSpan w:val="2"/>
          </w:tcPr>
          <w:p>
            <w:pPr>
              <w:spacing w:after="0"/>
              <w:rPr>
                <w:sz w:val="24"/>
                <w:szCs w:val="24"/>
                <w:color w:val="auto"/>
              </w:rPr>
            </w:pPr>
          </w:p>
        </w:tc>
        <w:tc>
          <w:tcPr>
            <w:tcW w:w="1200" w:type="dxa"/>
            <w:vAlign w:val="bottom"/>
            <w:gridSpan w:val="4"/>
          </w:tcPr>
          <w:p>
            <w:pPr>
              <w:spacing w:after="0"/>
              <w:rPr>
                <w:rFonts w:ascii="Arial" w:cs="Arial" w:eastAsia="Arial" w:hAnsi="Arial"/>
                <w:sz w:val="14"/>
                <w:szCs w:val="14"/>
                <w:color w:val="0000EE"/>
                <w:w w:val="90"/>
              </w:rPr>
            </w:pPr>
            <w:hyperlink w:anchor="page3">
              <w:r>
                <w:rPr>
                  <w:rFonts w:ascii="Arial" w:cs="Arial" w:eastAsia="Arial" w:hAnsi="Arial"/>
                  <w:sz w:val="14"/>
                  <w:szCs w:val="14"/>
                  <w:color w:val="0000EE"/>
                  <w:w w:val="90"/>
                </w:rPr>
                <w:t>Financial Statements</w:t>
              </w:r>
            </w:hyperlink>
          </w:p>
        </w:tc>
        <w:tc>
          <w:tcPr>
            <w:tcW w:w="8740" w:type="dxa"/>
            <w:vAlign w:val="bottom"/>
            <w:gridSpan w:val="13"/>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3">
              <w:r>
                <w:rPr>
                  <w:rFonts w:ascii="Arial" w:cs="Arial" w:eastAsia="Arial" w:hAnsi="Arial"/>
                  <w:sz w:val="14"/>
                  <w:szCs w:val="14"/>
                  <w:color w:val="0000EE"/>
                  <w:w w:val="76"/>
                </w:rPr>
                <w:t>3</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40" w:type="dxa"/>
            <w:vAlign w:val="bottom"/>
            <w:gridSpan w:val="11"/>
          </w:tcPr>
          <w:p>
            <w:pPr>
              <w:spacing w:after="0"/>
              <w:rPr>
                <w:rFonts w:ascii="Arial" w:cs="Arial" w:eastAsia="Arial" w:hAnsi="Arial"/>
                <w:sz w:val="14"/>
                <w:szCs w:val="14"/>
                <w:color w:val="0000EE"/>
                <w:w w:val="91"/>
              </w:rPr>
            </w:pPr>
            <w:hyperlink w:anchor="page3">
              <w:r>
                <w:rPr>
                  <w:rFonts w:ascii="Arial" w:cs="Arial" w:eastAsia="Arial" w:hAnsi="Arial"/>
                  <w:sz w:val="14"/>
                  <w:szCs w:val="14"/>
                  <w:color w:val="0000EE"/>
                  <w:w w:val="91"/>
                </w:rPr>
                <w:t>Condensed Consolidated Balance Sheets at March 31, 2019 and December 30, 2018 (unaudited)</w:t>
              </w:r>
            </w:hyperlink>
          </w:p>
        </w:tc>
        <w:tc>
          <w:tcPr>
            <w:tcW w:w="4400" w:type="dxa"/>
            <w:vAlign w:val="bottom"/>
            <w:gridSpan w:val="6"/>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3">
              <w:r>
                <w:rPr>
                  <w:rFonts w:ascii="Arial" w:cs="Arial" w:eastAsia="Arial" w:hAnsi="Arial"/>
                  <w:sz w:val="14"/>
                  <w:szCs w:val="14"/>
                  <w:color w:val="0000EE"/>
                  <w:w w:val="76"/>
                </w:rPr>
                <w:t>3</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4"/>
                <w:szCs w:val="14"/>
                <w:color w:val="0000EE"/>
                <w:w w:val="98"/>
              </w:rPr>
            </w:pPr>
            <w:hyperlink w:anchor="page4">
              <w:r>
                <w:rPr>
                  <w:rFonts w:ascii="Arial" w:cs="Arial" w:eastAsia="Arial" w:hAnsi="Arial"/>
                  <w:sz w:val="14"/>
                  <w:szCs w:val="14"/>
                  <w:color w:val="0000EE"/>
                  <w:w w:val="98"/>
                </w:rPr>
                <w:t>Condensed Consolidated Statements of Operations and Comprehensive Income (Loss) for the Three Months Ended March 31, 2019 and April 1, 2018 (unaudited)</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Stockholders’ Equity for the Three Months Ended March 31, 2019 and April 1, 2018 (unaudited)</w:t>
              </w:r>
            </w:hyperlink>
          </w:p>
        </w:tc>
        <w:tc>
          <w:tcPr>
            <w:tcW w:w="6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5</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20" w:type="dxa"/>
            <w:vAlign w:val="bottom"/>
            <w:gridSpan w:val="14"/>
          </w:tcPr>
          <w:p>
            <w:pPr>
              <w:spacing w:after="0"/>
              <w:rPr>
                <w:rFonts w:ascii="Arial" w:cs="Arial" w:eastAsia="Arial" w:hAnsi="Arial"/>
                <w:sz w:val="14"/>
                <w:szCs w:val="14"/>
                <w:color w:val="0000EE"/>
                <w:w w:val="92"/>
              </w:rPr>
            </w:pPr>
            <w:hyperlink w:anchor="page6">
              <w:r>
                <w:rPr>
                  <w:rFonts w:ascii="Arial" w:cs="Arial" w:eastAsia="Arial" w:hAnsi="Arial"/>
                  <w:sz w:val="14"/>
                  <w:szCs w:val="14"/>
                  <w:color w:val="0000EE"/>
                  <w:w w:val="92"/>
                </w:rPr>
                <w:t>Condensed Consolidated Statements of Cash Flows for the Three Months Ended March 31, 2019 and April 1, 2018 (unaudited)</w:t>
              </w:r>
            </w:hyperlink>
          </w:p>
        </w:tc>
        <w:tc>
          <w:tcPr>
            <w:tcW w:w="54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6">
              <w:r>
                <w:rPr>
                  <w:rFonts w:ascii="Arial" w:cs="Arial" w:eastAsia="Arial" w:hAnsi="Arial"/>
                  <w:sz w:val="14"/>
                  <w:szCs w:val="14"/>
                  <w:color w:val="0000EE"/>
                  <w:w w:val="76"/>
                </w:rPr>
                <w:t>6</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80" w:type="dxa"/>
            <w:vAlign w:val="bottom"/>
            <w:gridSpan w:val="9"/>
          </w:tcPr>
          <w:p>
            <w:pPr>
              <w:spacing w:after="0"/>
              <w:rPr>
                <w:rFonts w:ascii="Arial" w:cs="Arial" w:eastAsia="Arial" w:hAnsi="Arial"/>
                <w:sz w:val="14"/>
                <w:szCs w:val="14"/>
                <w:color w:val="0000EE"/>
                <w:w w:val="90"/>
              </w:rPr>
            </w:pPr>
            <w:hyperlink w:anchor="page7">
              <w:r>
                <w:rPr>
                  <w:rFonts w:ascii="Arial" w:cs="Arial" w:eastAsia="Arial" w:hAnsi="Arial"/>
                  <w:sz w:val="14"/>
                  <w:szCs w:val="14"/>
                  <w:color w:val="0000EE"/>
                  <w:w w:val="90"/>
                </w:rPr>
                <w:t>Notes to Condensed Consolidated Financial Statements (unaudited)</w:t>
              </w:r>
            </w:hyperlink>
          </w:p>
        </w:tc>
        <w:tc>
          <w:tcPr>
            <w:tcW w:w="3440" w:type="dxa"/>
            <w:vAlign w:val="bottom"/>
            <w:gridSpan w:val="5"/>
          </w:tcPr>
          <w:p>
            <w:pPr>
              <w:spacing w:after="0"/>
              <w:rPr>
                <w:sz w:val="24"/>
                <w:szCs w:val="24"/>
                <w:color w:val="auto"/>
              </w:rPr>
            </w:pPr>
          </w:p>
        </w:tc>
        <w:tc>
          <w:tcPr>
            <w:tcW w:w="2620" w:type="dxa"/>
            <w:vAlign w:val="bottom"/>
            <w:gridSpan w:val="3"/>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7">
              <w:r>
                <w:rPr>
                  <w:rFonts w:ascii="Arial" w:cs="Arial" w:eastAsia="Arial" w:hAnsi="Arial"/>
                  <w:sz w:val="14"/>
                  <w:szCs w:val="14"/>
                  <w:color w:val="0000EE"/>
                  <w:w w:val="76"/>
                </w:rPr>
                <w:t>7</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25">
              <w:r>
                <w:rPr>
                  <w:rFonts w:ascii="Arial" w:cs="Arial" w:eastAsia="Arial" w:hAnsi="Arial"/>
                  <w:sz w:val="14"/>
                  <w:szCs w:val="14"/>
                  <w:color w:val="0000EE"/>
                  <w:w w:val="93"/>
                </w:rPr>
                <w:t>Item 2.</w:t>
              </w:r>
            </w:hyperlink>
          </w:p>
        </w:tc>
        <w:tc>
          <w:tcPr>
            <w:tcW w:w="520" w:type="dxa"/>
            <w:vAlign w:val="bottom"/>
            <w:gridSpan w:val="2"/>
          </w:tcPr>
          <w:p>
            <w:pPr>
              <w:spacing w:after="0"/>
              <w:rPr>
                <w:sz w:val="24"/>
                <w:szCs w:val="24"/>
                <w:color w:val="auto"/>
              </w:rPr>
            </w:pPr>
          </w:p>
        </w:tc>
        <w:tc>
          <w:tcPr>
            <w:tcW w:w="9940" w:type="dxa"/>
            <w:vAlign w:val="bottom"/>
            <w:gridSpan w:val="17"/>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Management’s Discussion and Analysis of Financial Condition and Results of Operations</w:t>
              </w:r>
            </w:hyperlink>
          </w:p>
        </w:tc>
        <w:tc>
          <w:tcPr>
            <w:tcW w:w="540" w:type="dxa"/>
            <w:vAlign w:val="bottom"/>
            <w:gridSpan w:val="3"/>
          </w:tcPr>
          <w:p>
            <w:pPr>
              <w:jc w:val="right"/>
              <w:spacing w:after="0"/>
              <w:rPr>
                <w:rFonts w:ascii="Arial" w:cs="Arial" w:eastAsia="Arial" w:hAnsi="Arial"/>
                <w:sz w:val="14"/>
                <w:szCs w:val="14"/>
                <w:color w:val="0000EE"/>
              </w:rPr>
            </w:pPr>
            <w:hyperlink w:anchor="page25">
              <w:r>
                <w:rPr>
                  <w:rFonts w:ascii="Arial" w:cs="Arial" w:eastAsia="Arial" w:hAnsi="Arial"/>
                  <w:sz w:val="14"/>
                  <w:szCs w:val="14"/>
                  <w:color w:val="0000EE"/>
                </w:rPr>
                <w:t>25</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3">
              <w:r>
                <w:rPr>
                  <w:rFonts w:ascii="Arial" w:cs="Arial" w:eastAsia="Arial" w:hAnsi="Arial"/>
                  <w:sz w:val="14"/>
                  <w:szCs w:val="14"/>
                  <w:color w:val="0000EE"/>
                  <w:w w:val="93"/>
                </w:rPr>
                <w:t>Item 3.</w:t>
              </w:r>
            </w:hyperlink>
          </w:p>
        </w:tc>
        <w:tc>
          <w:tcPr>
            <w:tcW w:w="520" w:type="dxa"/>
            <w:vAlign w:val="bottom"/>
            <w:gridSpan w:val="2"/>
          </w:tcPr>
          <w:p>
            <w:pPr>
              <w:spacing w:after="0"/>
              <w:rPr>
                <w:sz w:val="24"/>
                <w:szCs w:val="24"/>
                <w:color w:val="auto"/>
              </w:rPr>
            </w:pPr>
          </w:p>
        </w:tc>
        <w:tc>
          <w:tcPr>
            <w:tcW w:w="3460" w:type="dxa"/>
            <w:vAlign w:val="bottom"/>
            <w:gridSpan w:val="7"/>
          </w:tcPr>
          <w:p>
            <w:pPr>
              <w:spacing w:after="0"/>
              <w:rPr>
                <w:rFonts w:ascii="Arial" w:cs="Arial" w:eastAsia="Arial" w:hAnsi="Arial"/>
                <w:sz w:val="14"/>
                <w:szCs w:val="14"/>
                <w:color w:val="0000EE"/>
                <w:w w:val="93"/>
              </w:rPr>
            </w:pPr>
            <w:hyperlink w:anchor="page33">
              <w:r>
                <w:rPr>
                  <w:rFonts w:ascii="Arial" w:cs="Arial" w:eastAsia="Arial" w:hAnsi="Arial"/>
                  <w:sz w:val="14"/>
                  <w:szCs w:val="14"/>
                  <w:color w:val="0000EE"/>
                  <w:w w:val="93"/>
                </w:rPr>
                <w:t>Quantitative and Qualitative Disclosures About Market Risk</w:t>
              </w:r>
            </w:hyperlink>
          </w:p>
        </w:tc>
        <w:tc>
          <w:tcPr>
            <w:tcW w:w="1680" w:type="dxa"/>
            <w:vAlign w:val="bottom"/>
            <w:gridSpan w:val="3"/>
          </w:tcPr>
          <w:p>
            <w:pPr>
              <w:spacing w:after="0"/>
              <w:rPr>
                <w:sz w:val="24"/>
                <w:szCs w:val="24"/>
                <w:color w:val="auto"/>
              </w:rPr>
            </w:pPr>
          </w:p>
        </w:tc>
        <w:tc>
          <w:tcPr>
            <w:tcW w:w="4800" w:type="dxa"/>
            <w:vAlign w:val="bottom"/>
            <w:gridSpan w:val="7"/>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33</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3">
              <w:r>
                <w:rPr>
                  <w:rFonts w:ascii="Arial" w:cs="Arial" w:eastAsia="Arial" w:hAnsi="Arial"/>
                  <w:sz w:val="14"/>
                  <w:szCs w:val="14"/>
                  <w:color w:val="0000EE"/>
                  <w:w w:val="93"/>
                </w:rPr>
                <w:t>Item 4.</w:t>
              </w:r>
            </w:hyperlink>
          </w:p>
        </w:tc>
        <w:tc>
          <w:tcPr>
            <w:tcW w:w="520" w:type="dxa"/>
            <w:vAlign w:val="bottom"/>
            <w:gridSpan w:val="2"/>
          </w:tcPr>
          <w:p>
            <w:pPr>
              <w:spacing w:after="0"/>
              <w:rPr>
                <w:sz w:val="24"/>
                <w:szCs w:val="24"/>
                <w:color w:val="auto"/>
              </w:rPr>
            </w:pPr>
          </w:p>
        </w:tc>
        <w:tc>
          <w:tcPr>
            <w:tcW w:w="3460" w:type="dxa"/>
            <w:vAlign w:val="bottom"/>
            <w:gridSpan w:val="7"/>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Controls and Procedures</w:t>
              </w:r>
            </w:hyperlink>
          </w:p>
        </w:tc>
        <w:tc>
          <w:tcPr>
            <w:tcW w:w="6480" w:type="dxa"/>
            <w:vAlign w:val="bottom"/>
            <w:gridSpan w:val="10"/>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33</w:t>
              </w:r>
            </w:hyperlink>
          </w:p>
        </w:tc>
        <w:tc>
          <w:tcPr>
            <w:tcW w:w="20" w:type="dxa"/>
            <w:vAlign w:val="bottom"/>
          </w:tcPr>
          <w:p>
            <w:pPr>
              <w:spacing w:after="0"/>
              <w:rPr>
                <w:sz w:val="24"/>
                <w:szCs w:val="24"/>
                <w:color w:val="auto"/>
              </w:rPr>
            </w:pPr>
          </w:p>
        </w:tc>
      </w:tr>
      <w:tr>
        <w:trPr>
          <w:trHeight w:val="411"/>
        </w:trPr>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Borders>
              <w:bottom w:val="single" w:sz="8" w:color="0000EE"/>
            </w:tcBorders>
            <w:gridSpan w:val="3"/>
          </w:tcPr>
          <w:p>
            <w:pPr>
              <w:jc w:val="center"/>
              <w:spacing w:after="0"/>
              <w:rPr>
                <w:rFonts w:ascii="Arial" w:cs="Arial" w:eastAsia="Arial" w:hAnsi="Arial"/>
                <w:sz w:val="14"/>
                <w:szCs w:val="14"/>
                <w:b w:val="1"/>
                <w:bCs w:val="1"/>
                <w:color w:val="0000EE"/>
              </w:rPr>
            </w:pPr>
            <w:hyperlink w:anchor="page34">
              <w:r>
                <w:rPr>
                  <w:rFonts w:ascii="Arial" w:cs="Arial" w:eastAsia="Arial" w:hAnsi="Arial"/>
                  <w:sz w:val="14"/>
                  <w:szCs w:val="14"/>
                  <w:b w:val="1"/>
                  <w:bCs w:val="1"/>
                  <w:color w:val="0000EE"/>
                </w:rPr>
                <w:t>PART II. OTHER INFORMATION</w:t>
              </w:r>
            </w:hyperlink>
          </w:p>
        </w:tc>
        <w:tc>
          <w:tcPr>
            <w:tcW w:w="388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Item 1.</w:t>
              </w:r>
            </w:hyperlink>
          </w:p>
        </w:tc>
        <w:tc>
          <w:tcPr>
            <w:tcW w:w="520" w:type="dxa"/>
            <w:vAlign w:val="bottom"/>
            <w:gridSpan w:val="2"/>
          </w:tcPr>
          <w:p>
            <w:pPr>
              <w:spacing w:after="0"/>
              <w:rPr>
                <w:sz w:val="24"/>
                <w:szCs w:val="24"/>
                <w:color w:val="auto"/>
              </w:rPr>
            </w:pPr>
          </w:p>
        </w:tc>
        <w:tc>
          <w:tcPr>
            <w:tcW w:w="1040" w:type="dxa"/>
            <w:vAlign w:val="bottom"/>
            <w:gridSpan w:val="3"/>
          </w:tcPr>
          <w:p>
            <w:pPr>
              <w:spacing w:after="0"/>
              <w:rPr>
                <w:rFonts w:ascii="Arial" w:cs="Arial" w:eastAsia="Arial" w:hAnsi="Arial"/>
                <w:sz w:val="14"/>
                <w:szCs w:val="14"/>
                <w:color w:val="0000EE"/>
                <w:w w:val="86"/>
              </w:rPr>
            </w:pPr>
            <w:hyperlink w:anchor="page34">
              <w:r>
                <w:rPr>
                  <w:rFonts w:ascii="Arial" w:cs="Arial" w:eastAsia="Arial" w:hAnsi="Arial"/>
                  <w:sz w:val="14"/>
                  <w:szCs w:val="14"/>
                  <w:color w:val="0000EE"/>
                  <w:w w:val="86"/>
                </w:rPr>
                <w:t>Legal Proceedings</w:t>
              </w:r>
            </w:hyperlink>
          </w:p>
        </w:tc>
        <w:tc>
          <w:tcPr>
            <w:tcW w:w="8900" w:type="dxa"/>
            <w:vAlign w:val="bottom"/>
            <w:gridSpan w:val="14"/>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520" w:type="dxa"/>
            <w:vAlign w:val="bottom"/>
            <w:gridSpan w:val="2"/>
          </w:tcPr>
          <w:p>
            <w:pPr>
              <w:spacing w:after="0"/>
              <w:rPr>
                <w:rFonts w:ascii="Arial" w:cs="Arial" w:eastAsia="Arial" w:hAnsi="Arial"/>
                <w:sz w:val="14"/>
                <w:szCs w:val="14"/>
                <w:color w:val="0000EE"/>
                <w:w w:val="95"/>
              </w:rPr>
            </w:pPr>
            <w:hyperlink w:anchor="page34">
              <w:r>
                <w:rPr>
                  <w:rFonts w:ascii="Arial" w:cs="Arial" w:eastAsia="Arial" w:hAnsi="Arial"/>
                  <w:sz w:val="14"/>
                  <w:szCs w:val="14"/>
                  <w:color w:val="0000EE"/>
                  <w:w w:val="95"/>
                </w:rPr>
                <w:t>Item 1A.</w:t>
              </w:r>
            </w:hyperlink>
          </w:p>
        </w:tc>
        <w:tc>
          <w:tcPr>
            <w:tcW w:w="42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4"/>
                <w:szCs w:val="14"/>
                <w:color w:val="0000EE"/>
                <w:w w:val="89"/>
              </w:rPr>
            </w:pPr>
            <w:hyperlink w:anchor="page34">
              <w:r>
                <w:rPr>
                  <w:rFonts w:ascii="Arial" w:cs="Arial" w:eastAsia="Arial" w:hAnsi="Arial"/>
                  <w:sz w:val="14"/>
                  <w:szCs w:val="14"/>
                  <w:color w:val="0000EE"/>
                  <w:w w:val="89"/>
                </w:rPr>
                <w:t>Risk Factors</w:t>
              </w:r>
            </w:hyperlink>
          </w:p>
        </w:tc>
        <w:tc>
          <w:tcPr>
            <w:tcW w:w="9220" w:type="dxa"/>
            <w:vAlign w:val="bottom"/>
            <w:gridSpan w:val="15"/>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Item 2.</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Unregistered Sales of Equity Securities and Use of Proceeds</w:t>
              </w:r>
            </w:hyperlink>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Item 3.</w:t>
              </w:r>
            </w:hyperlink>
          </w:p>
        </w:tc>
        <w:tc>
          <w:tcPr>
            <w:tcW w:w="520" w:type="dxa"/>
            <w:vAlign w:val="bottom"/>
            <w:gridSpan w:val="2"/>
          </w:tcPr>
          <w:p>
            <w:pPr>
              <w:spacing w:after="0"/>
              <w:rPr>
                <w:sz w:val="24"/>
                <w:szCs w:val="24"/>
                <w:color w:val="auto"/>
              </w:rPr>
            </w:pPr>
          </w:p>
        </w:tc>
        <w:tc>
          <w:tcPr>
            <w:tcW w:w="3460" w:type="dxa"/>
            <w:vAlign w:val="bottom"/>
            <w:gridSpan w:val="7"/>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Defaults Upon Senior Securities</w:t>
              </w:r>
            </w:hyperlink>
          </w:p>
        </w:tc>
        <w:tc>
          <w:tcPr>
            <w:tcW w:w="6480" w:type="dxa"/>
            <w:vAlign w:val="bottom"/>
            <w:gridSpan w:val="10"/>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3"/>
            <w:shd w:val="clear" w:color="auto" w:fill="0000EE"/>
          </w:tcPr>
          <w:p>
            <w:pPr>
              <w:spacing w:after="0" w:line="20" w:lineRule="exact"/>
              <w:rPr>
                <w:sz w:val="1"/>
                <w:szCs w:val="1"/>
                <w:color w:val="auto"/>
              </w:rPr>
            </w:pPr>
          </w:p>
        </w:tc>
        <w:tc>
          <w:tcPr>
            <w:tcW w:w="810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Item 4.</w:t>
              </w:r>
            </w:hyperlink>
          </w:p>
        </w:tc>
        <w:tc>
          <w:tcPr>
            <w:tcW w:w="520" w:type="dxa"/>
            <w:vAlign w:val="bottom"/>
            <w:gridSpan w:val="2"/>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Mine Safety Disclosures</w:t>
              </w:r>
            </w:hyperlink>
          </w:p>
        </w:tc>
        <w:tc>
          <w:tcPr>
            <w:tcW w:w="8100" w:type="dxa"/>
            <w:vAlign w:val="bottom"/>
            <w:gridSpan w:val="11"/>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Item 5.</w:t>
              </w:r>
            </w:hyperlink>
          </w:p>
        </w:tc>
        <w:tc>
          <w:tcPr>
            <w:tcW w:w="520" w:type="dxa"/>
            <w:vAlign w:val="bottom"/>
            <w:gridSpan w:val="2"/>
          </w:tcPr>
          <w:p>
            <w:pPr>
              <w:spacing w:after="0"/>
              <w:rPr>
                <w:sz w:val="24"/>
                <w:szCs w:val="24"/>
                <w:color w:val="auto"/>
              </w:rPr>
            </w:pPr>
          </w:p>
        </w:tc>
        <w:tc>
          <w:tcPr>
            <w:tcW w:w="1400" w:type="dxa"/>
            <w:vAlign w:val="bottom"/>
            <w:gridSpan w:val="5"/>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Other Information</w:t>
              </w:r>
            </w:hyperlink>
          </w:p>
        </w:tc>
        <w:tc>
          <w:tcPr>
            <w:tcW w:w="8540" w:type="dxa"/>
            <w:vAlign w:val="bottom"/>
            <w:gridSpan w:val="12"/>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90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5">
              <w:r>
                <w:rPr>
                  <w:rFonts w:ascii="Arial" w:cs="Arial" w:eastAsia="Arial" w:hAnsi="Arial"/>
                  <w:sz w:val="14"/>
                  <w:szCs w:val="14"/>
                  <w:color w:val="0000EE"/>
                  <w:w w:val="93"/>
                </w:rPr>
                <w:t>Item 6.</w:t>
              </w:r>
            </w:hyperlink>
          </w:p>
        </w:tc>
        <w:tc>
          <w:tcPr>
            <w:tcW w:w="520" w:type="dxa"/>
            <w:vAlign w:val="bottom"/>
            <w:gridSpan w:val="2"/>
          </w:tcPr>
          <w:p>
            <w:pPr>
              <w:spacing w:after="0"/>
              <w:rPr>
                <w:sz w:val="24"/>
                <w:szCs w:val="24"/>
                <w:color w:val="auto"/>
              </w:rPr>
            </w:pPr>
          </w:p>
        </w:tc>
        <w:tc>
          <w:tcPr>
            <w:tcW w:w="480" w:type="dxa"/>
            <w:vAlign w:val="bottom"/>
          </w:tcPr>
          <w:p>
            <w:pPr>
              <w:spacing w:after="0"/>
              <w:rPr>
                <w:rFonts w:ascii="Arial" w:cs="Arial" w:eastAsia="Arial" w:hAnsi="Arial"/>
                <w:sz w:val="14"/>
                <w:szCs w:val="14"/>
                <w:color w:val="0000EE"/>
                <w:w w:val="93"/>
              </w:rPr>
            </w:pPr>
            <w:hyperlink w:anchor="page35">
              <w:r>
                <w:rPr>
                  <w:rFonts w:ascii="Arial" w:cs="Arial" w:eastAsia="Arial" w:hAnsi="Arial"/>
                  <w:sz w:val="14"/>
                  <w:szCs w:val="14"/>
                  <w:color w:val="0000EE"/>
                  <w:w w:val="93"/>
                </w:rPr>
                <w:t>Exhibits</w:t>
              </w:r>
            </w:hyperlink>
          </w:p>
        </w:tc>
        <w:tc>
          <w:tcPr>
            <w:tcW w:w="560" w:type="dxa"/>
            <w:vAlign w:val="bottom"/>
            <w:gridSpan w:val="2"/>
          </w:tcPr>
          <w:p>
            <w:pPr>
              <w:spacing w:after="0"/>
              <w:rPr>
                <w:sz w:val="24"/>
                <w:szCs w:val="24"/>
                <w:color w:val="auto"/>
              </w:rPr>
            </w:pPr>
          </w:p>
        </w:tc>
        <w:tc>
          <w:tcPr>
            <w:tcW w:w="8900" w:type="dxa"/>
            <w:vAlign w:val="bottom"/>
            <w:gridSpan w:val="14"/>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5">
              <w:r>
                <w:rPr>
                  <w:rFonts w:ascii="Arial" w:cs="Arial" w:eastAsia="Arial" w:hAnsi="Arial"/>
                  <w:sz w:val="14"/>
                  <w:szCs w:val="14"/>
                  <w:color w:val="0000EE"/>
                </w:rPr>
                <w:t>35</w:t>
              </w:r>
            </w:hyperlink>
          </w:p>
        </w:tc>
        <w:tc>
          <w:tcPr>
            <w:tcW w:w="20" w:type="dxa"/>
            <w:vAlign w:val="bottom"/>
          </w:tcPr>
          <w:p>
            <w:pPr>
              <w:spacing w:after="0"/>
              <w:rPr>
                <w:sz w:val="24"/>
                <w:szCs w:val="24"/>
                <w:color w:val="auto"/>
              </w:rPr>
            </w:pPr>
          </w:p>
        </w:tc>
      </w:tr>
      <w:tr>
        <w:trPr>
          <w:trHeight w:val="399"/>
        </w:trPr>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660" w:type="dxa"/>
            <w:vAlign w:val="bottom"/>
            <w:gridSpan w:val="9"/>
          </w:tcPr>
          <w:p>
            <w:pPr>
              <w:jc w:val="right"/>
              <w:ind w:right="248"/>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5"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20" w:type="dxa"/>
            <w:vAlign w:val="bottom"/>
          </w:tcPr>
          <w:p>
            <w:pPr>
              <w:ind w:left="4320"/>
              <w:spacing w:after="0"/>
              <w:rPr>
                <w:sz w:val="20"/>
                <w:szCs w:val="20"/>
                <w:color w:val="auto"/>
              </w:rPr>
            </w:pPr>
            <w:r>
              <w:rPr>
                <w:rFonts w:ascii="Arial" w:cs="Arial" w:eastAsia="Arial" w:hAnsi="Arial"/>
                <w:sz w:val="13"/>
                <w:szCs w:val="13"/>
                <w:b w:val="1"/>
                <w:bCs w:val="1"/>
                <w:color w:val="auto"/>
                <w:w w:val="89"/>
              </w:rPr>
              <w:t>(in millions, except par value and number of shares)</w:t>
            </w: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7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March 31, 2019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520" w:type="dxa"/>
            <w:vAlign w:val="bottom"/>
          </w:tcPr>
          <w:p>
            <w:pPr>
              <w:jc w:val="right"/>
              <w:ind w:right="75"/>
              <w:spacing w:after="0"/>
              <w:rPr>
                <w:sz w:val="20"/>
                <w:szCs w:val="20"/>
                <w:color w:val="auto"/>
              </w:rPr>
            </w:pPr>
            <w:r>
              <w:rPr>
                <w:rFonts w:ascii="Arial" w:cs="Arial" w:eastAsia="Arial" w:hAnsi="Arial"/>
                <w:sz w:val="13"/>
                <w:szCs w:val="13"/>
                <w:b w:val="1"/>
                <w:bCs w:val="1"/>
                <w:color w:val="auto"/>
              </w:rPr>
              <w:t>(Unaudited)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35"/>
              <w:spacing w:after="0"/>
              <w:rPr>
                <w:sz w:val="20"/>
                <w:szCs w:val="20"/>
                <w:color w:val="auto"/>
              </w:rPr>
            </w:pPr>
            <w:r>
              <w:rPr>
                <w:rFonts w:ascii="Arial" w:cs="Arial" w:eastAsia="Arial" w:hAnsi="Arial"/>
                <w:sz w:val="13"/>
                <w:szCs w:val="13"/>
                <w:b w:val="1"/>
                <w:bCs w:val="1"/>
                <w:color w:val="auto"/>
              </w:rPr>
              <w:t>December 30, 2018</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5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2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520" w:type="dxa"/>
            <w:vAlign w:val="bottom"/>
            <w:tcBorders>
              <w:bottom w:val="single" w:sz="8" w:color="CCEEFF"/>
            </w:tcBorders>
            <w:shd w:val="clear" w:color="auto" w:fill="CCEEFF"/>
          </w:tcPr>
          <w:p>
            <w:pPr>
              <w:jc w:val="right"/>
              <w:ind w:right="135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178.4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15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Unbilled receivables, net</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158.0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172.8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Inventoried costs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69.2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Current assets of discontinued operations</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current assets</w:t>
            </w:r>
          </w:p>
        </w:tc>
        <w:tc>
          <w:tcPr>
            <w:tcW w:w="15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517.1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494.7</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113.5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38.1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Goodwill</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459.4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425.7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34.4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Other assets</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assets</w:t>
            </w:r>
          </w:p>
        </w:tc>
        <w:tc>
          <w:tcPr>
            <w:tcW w:w="1520" w:type="dxa"/>
            <w:vAlign w:val="bottom"/>
            <w:tcBorders>
              <w:bottom w:val="single" w:sz="8" w:color="auto"/>
            </w:tcBorders>
            <w:shd w:val="clear" w:color="auto" w:fill="CCEEFF"/>
          </w:tcPr>
          <w:p>
            <w:pPr>
              <w:jc w:val="right"/>
              <w:ind w:right="135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96"/>
              </w:rPr>
              <w:t>1,168.9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1,010.1</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Liabilities and Stockholders</w:t>
            </w:r>
            <w:r>
              <w:rPr>
                <w:rFonts w:ascii="Arial" w:cs="Arial" w:eastAsia="Arial" w:hAnsi="Arial"/>
                <w:sz w:val="14"/>
                <w:szCs w:val="14"/>
                <w:color w:val="auto"/>
              </w:rPr>
              <w:t>’</w:t>
            </w:r>
            <w:r>
              <w:rPr>
                <w:rFonts w:ascii="Arial" w:cs="Arial" w:eastAsia="Arial" w:hAnsi="Arial"/>
                <w:sz w:val="13"/>
                <w:szCs w:val="13"/>
                <w:b w:val="1"/>
                <w:bCs w:val="1"/>
                <w:color w:val="auto"/>
              </w:rPr>
              <w:t xml:space="preserve"> Equity</w:t>
            </w: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2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520" w:type="dxa"/>
            <w:vAlign w:val="bottom"/>
          </w:tcPr>
          <w:p>
            <w:pPr>
              <w:jc w:val="right"/>
              <w:ind w:right="1355"/>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47.4</w:t>
            </w:r>
          </w:p>
        </w:tc>
        <w:tc>
          <w:tcPr>
            <w:tcW w:w="120" w:type="dxa"/>
            <w:vAlign w:val="bottom"/>
          </w:tcPr>
          <w:p>
            <w:pPr>
              <w:spacing w:after="0"/>
              <w:rPr>
                <w:sz w:val="16"/>
                <w:szCs w:val="16"/>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Accrued expenses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36.6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Accrued compensation</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Accrued interest</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Billings in excess of costs and earnings on uncompleted contracts</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39.7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Current portion of operating lease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13.3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Other current liabilities</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Current liabilities of discontinued operations</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9"/>
        </w:trPr>
        <w:tc>
          <w:tcPr>
            <w:tcW w:w="7220" w:type="dxa"/>
            <w:vAlign w:val="bottom"/>
          </w:tcPr>
          <w:p>
            <w:pPr>
              <w:ind w:left="300"/>
              <w:spacing w:after="0"/>
              <w:rPr>
                <w:sz w:val="20"/>
                <w:szCs w:val="20"/>
                <w:color w:val="auto"/>
              </w:rPr>
            </w:pPr>
            <w:r>
              <w:rPr>
                <w:rFonts w:ascii="Arial" w:cs="Arial" w:eastAsia="Arial" w:hAnsi="Arial"/>
                <w:sz w:val="13"/>
                <w:szCs w:val="13"/>
                <w:color w:val="auto"/>
              </w:rPr>
              <w:t>Total current liabilities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195.3</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Long-term debt principal, net of current portion</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294.4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294.2</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Operating lease liabilities, net of current portion</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73.5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Long-term liabilities of discontinued operations</w:t>
            </w:r>
          </w:p>
        </w:tc>
        <w:tc>
          <w:tcPr>
            <w:tcW w:w="15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601.0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490.8</w:t>
            </w:r>
          </w:p>
        </w:tc>
        <w:tc>
          <w:tcPr>
            <w:tcW w:w="0" w:type="dxa"/>
            <w:vAlign w:val="bottom"/>
          </w:tcPr>
          <w:p>
            <w:pPr>
              <w:spacing w:after="0"/>
              <w:rPr>
                <w:sz w:val="1"/>
                <w:szCs w:val="1"/>
                <w:color w:val="auto"/>
              </w:rPr>
            </w:pP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color w:val="auto"/>
              </w:rPr>
              <w:t>Commitments and contingencies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Redeemable noncontrolling interest (Note 12)</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220" w:type="dxa"/>
            <w:vAlign w:val="bottom"/>
          </w:tcPr>
          <w:p>
            <w:pPr>
              <w:ind w:left="20"/>
              <w:spacing w:after="0"/>
              <w:rPr>
                <w:sz w:val="20"/>
                <w:szCs w:val="20"/>
                <w:color w:val="auto"/>
              </w:rPr>
            </w:pPr>
            <w:r>
              <w:rPr>
                <w:rFonts w:ascii="Arial" w:cs="Arial" w:eastAsia="Arial" w:hAnsi="Arial"/>
                <w:sz w:val="13"/>
                <w:szCs w:val="13"/>
                <w:color w:val="auto"/>
              </w:rPr>
              <w:t>Stockholders</w:t>
            </w:r>
            <w:r>
              <w:rPr>
                <w:rFonts w:ascii="Arial" w:cs="Arial" w:eastAsia="Arial" w:hAnsi="Arial"/>
                <w:sz w:val="14"/>
                <w:szCs w:val="14"/>
                <w:color w:val="auto"/>
              </w:rPr>
              <w:t>’</w:t>
            </w:r>
            <w:r>
              <w:rPr>
                <w:rFonts w:ascii="Arial" w:cs="Arial" w:eastAsia="Arial" w:hAnsi="Arial"/>
                <w:sz w:val="13"/>
                <w:szCs w:val="13"/>
                <w:color w:val="auto"/>
              </w:rPr>
              <w:t xml:space="preserve"> equity:</w:t>
            </w:r>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4"/>
              </w:rPr>
              <w:t>Preferred stock, $0.001 par value, 5,000,000 shares authorized, 0 shares outstanding at March 31, 2019 and December 30, 2018</w:t>
            </w:r>
          </w:p>
        </w:tc>
        <w:tc>
          <w:tcPr>
            <w:tcW w:w="1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220" w:type="dxa"/>
            <w:vAlign w:val="bottom"/>
          </w:tcPr>
          <w:p>
            <w:pPr>
              <w:ind w:left="140"/>
              <w:spacing w:after="0"/>
              <w:rPr>
                <w:sz w:val="20"/>
                <w:szCs w:val="20"/>
                <w:color w:val="auto"/>
              </w:rPr>
            </w:pPr>
            <w:r>
              <w:rPr>
                <w:rFonts w:ascii="Arial" w:cs="Arial" w:eastAsia="Arial" w:hAnsi="Arial"/>
                <w:sz w:val="13"/>
                <w:szCs w:val="13"/>
                <w:color w:val="auto"/>
                <w:w w:val="89"/>
              </w:rPr>
              <w:t>Common stock, $0.001 par value, 195,000,000 shares authorized; 105,885,792 and 103,766,899 shares issued and outstanding at March</w:t>
            </w: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220" w:type="dxa"/>
            <w:vAlign w:val="bottom"/>
          </w:tcPr>
          <w:p>
            <w:pPr>
              <w:ind w:left="140"/>
              <w:spacing w:after="0"/>
              <w:rPr>
                <w:sz w:val="20"/>
                <w:szCs w:val="20"/>
                <w:color w:val="auto"/>
              </w:rPr>
            </w:pPr>
            <w:r>
              <w:rPr>
                <w:rFonts w:ascii="Arial" w:cs="Arial" w:eastAsia="Arial" w:hAnsi="Arial"/>
                <w:sz w:val="13"/>
                <w:szCs w:val="13"/>
                <w:color w:val="auto"/>
              </w:rPr>
              <w:t>31, 2019 and December 30, 2018, respectively</w:t>
            </w:r>
          </w:p>
        </w:tc>
        <w:tc>
          <w:tcPr>
            <w:tcW w:w="15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6"/>
              </w:rPr>
              <w:t>1,275.0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1,244.5</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(721.4)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(724.5)</w:t>
            </w:r>
          </w:p>
        </w:tc>
        <w:tc>
          <w:tcPr>
            <w:tcW w:w="0" w:type="dxa"/>
            <w:vAlign w:val="bottom"/>
          </w:tcPr>
          <w:p>
            <w:pPr>
              <w:spacing w:after="0"/>
              <w:rPr>
                <w:sz w:val="1"/>
                <w:szCs w:val="1"/>
                <w:color w:val="auto"/>
              </w:rPr>
            </w:pPr>
          </w:p>
        </w:tc>
      </w:tr>
      <w:tr>
        <w:trPr>
          <w:trHeight w:val="173"/>
        </w:trPr>
        <w:tc>
          <w:tcPr>
            <w:tcW w:w="7220" w:type="dxa"/>
            <w:vAlign w:val="bottom"/>
          </w:tcPr>
          <w:p>
            <w:pPr>
              <w:ind w:left="300"/>
              <w:spacing w:after="0"/>
              <w:rPr>
                <w:sz w:val="20"/>
                <w:szCs w:val="20"/>
                <w:color w:val="auto"/>
              </w:rPr>
            </w:pPr>
            <w:r>
              <w:rPr>
                <w:rFonts w:ascii="Arial" w:cs="Arial" w:eastAsia="Arial" w:hAnsi="Arial"/>
                <w:sz w:val="13"/>
                <w:szCs w:val="13"/>
                <w:color w:val="auto"/>
              </w:rPr>
              <w:t>Total stockholders</w:t>
            </w:r>
            <w:r>
              <w:rPr>
                <w:rFonts w:ascii="Arial" w:cs="Arial" w:eastAsia="Arial" w:hAnsi="Arial"/>
                <w:sz w:val="14"/>
                <w:szCs w:val="14"/>
                <w:color w:val="auto"/>
              </w:rPr>
              <w:t>’</w:t>
            </w:r>
            <w:r>
              <w:rPr>
                <w:rFonts w:ascii="Arial" w:cs="Arial" w:eastAsia="Arial" w:hAnsi="Arial"/>
                <w:sz w:val="13"/>
                <w:szCs w:val="13"/>
                <w:color w:val="auto"/>
              </w:rPr>
              <w:t xml:space="preserve"> equity</w:t>
            </w:r>
          </w:p>
        </w:tc>
        <w:tc>
          <w:tcPr>
            <w:tcW w:w="1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552.9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519.3</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liabilities and stockholders</w:t>
            </w:r>
            <w:r>
              <w:rPr>
                <w:rFonts w:ascii="Arial" w:cs="Arial" w:eastAsia="Arial" w:hAnsi="Arial"/>
                <w:sz w:val="14"/>
                <w:szCs w:val="14"/>
                <w:color w:val="auto"/>
              </w:rPr>
              <w:t>’</w:t>
            </w:r>
            <w:r>
              <w:rPr>
                <w:rFonts w:ascii="Arial" w:cs="Arial" w:eastAsia="Arial" w:hAnsi="Arial"/>
                <w:sz w:val="13"/>
                <w:szCs w:val="13"/>
                <w:color w:val="auto"/>
              </w:rPr>
              <w:t xml:space="preserve"> equity</w:t>
            </w:r>
          </w:p>
        </w:tc>
        <w:tc>
          <w:tcPr>
            <w:tcW w:w="1520" w:type="dxa"/>
            <w:vAlign w:val="bottom"/>
            <w:tcBorders>
              <w:bottom w:val="single" w:sz="8" w:color="auto"/>
            </w:tcBorders>
            <w:shd w:val="clear" w:color="auto" w:fill="CCEEFF"/>
          </w:tcPr>
          <w:p>
            <w:pPr>
              <w:jc w:val="right"/>
              <w:ind w:right="135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96"/>
              </w:rPr>
              <w:t>1,168.9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1,010.1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KRATOS DEFENSE &amp; SECURITY SOLUTIONS,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 AND COMPREHENSIVE INCOME (LOSS)</w:t>
      </w:r>
    </w:p>
    <w:p>
      <w:pPr>
        <w:jc w:val="center"/>
        <w:spacing w:after="0" w:line="230" w:lineRule="auto"/>
        <w:rPr>
          <w:sz w:val="20"/>
          <w:szCs w:val="20"/>
          <w:color w:val="auto"/>
        </w:rPr>
      </w:pPr>
      <w:r>
        <w:rPr>
          <w:rFonts w:ascii="Arial" w:cs="Arial" w:eastAsia="Arial" w:hAnsi="Arial"/>
          <w:sz w:val="13"/>
          <w:szCs w:val="13"/>
          <w:b w:val="1"/>
          <w:bCs w:val="1"/>
          <w:color w:val="auto"/>
        </w:rPr>
        <w:t>(in millions, except per share amounts)</w:t>
      </w:r>
    </w:p>
    <w:p>
      <w:pPr>
        <w:jc w:val="center"/>
        <w:ind w:right="-39"/>
        <w:spacing w:after="0"/>
        <w:rPr>
          <w:sz w:val="20"/>
          <w:szCs w:val="20"/>
          <w:color w:val="auto"/>
        </w:rPr>
      </w:pPr>
      <w:r>
        <w:rPr>
          <w:rFonts w:ascii="Arial" w:cs="Arial" w:eastAsia="Arial" w:hAnsi="Arial"/>
          <w:sz w:val="11"/>
          <w:szCs w:val="11"/>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1"/>
                <w:szCs w:val="11"/>
                <w:b w:val="1"/>
                <w:bCs w:val="1"/>
                <w:color w:val="auto"/>
              </w:rPr>
              <w:t>Three Months Ended</w:t>
            </w:r>
          </w:p>
        </w:tc>
      </w:tr>
      <w:tr>
        <w:trPr>
          <w:trHeight w:val="206"/>
        </w:trPr>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31, 2019</w:t>
            </w:r>
          </w:p>
        </w:tc>
        <w:tc>
          <w:tcPr>
            <w:tcW w:w="220" w:type="dxa"/>
            <w:vAlign w:val="bottom"/>
          </w:tcPr>
          <w:p>
            <w:pPr>
              <w:spacing w:after="0"/>
              <w:rPr>
                <w:sz w:val="17"/>
                <w:szCs w:val="17"/>
                <w:color w:val="auto"/>
              </w:rPr>
            </w:pPr>
          </w:p>
        </w:tc>
        <w:tc>
          <w:tcPr>
            <w:tcW w:w="1140" w:type="dxa"/>
            <w:vAlign w:val="bottom"/>
          </w:tcPr>
          <w:p>
            <w:pPr>
              <w:jc w:val="right"/>
              <w:ind w:right="295"/>
              <w:spacing w:after="0"/>
              <w:rPr>
                <w:sz w:val="20"/>
                <w:szCs w:val="20"/>
                <w:color w:val="auto"/>
              </w:rPr>
            </w:pPr>
            <w:r>
              <w:rPr>
                <w:rFonts w:ascii="Arial" w:cs="Arial" w:eastAsia="Arial" w:hAnsi="Arial"/>
                <w:sz w:val="11"/>
                <w:szCs w:val="11"/>
                <w:b w:val="1"/>
                <w:bCs w:val="1"/>
                <w:color w:val="auto"/>
              </w:rPr>
              <w:t>April 1, 2018</w:t>
            </w:r>
          </w:p>
        </w:tc>
      </w:tr>
      <w:tr>
        <w:trPr>
          <w:trHeight w:val="180"/>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Service revenues</w:t>
            </w:r>
          </w:p>
        </w:tc>
        <w:tc>
          <w:tcPr>
            <w:tcW w:w="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46.0</w:t>
            </w:r>
          </w:p>
        </w:tc>
      </w:tr>
      <w:tr>
        <w:trPr>
          <w:trHeight w:val="189"/>
        </w:trPr>
        <w:tc>
          <w:tcPr>
            <w:tcW w:w="8600" w:type="dxa"/>
            <w:vAlign w:val="bottom"/>
          </w:tcPr>
          <w:p>
            <w:pPr>
              <w:ind w:left="20"/>
              <w:spacing w:after="0"/>
              <w:rPr>
                <w:sz w:val="20"/>
                <w:szCs w:val="20"/>
                <w:color w:val="auto"/>
              </w:rPr>
            </w:pPr>
            <w:r>
              <w:rPr>
                <w:rFonts w:ascii="Arial" w:cs="Arial" w:eastAsia="Arial" w:hAnsi="Arial"/>
                <w:sz w:val="13"/>
                <w:szCs w:val="13"/>
                <w:color w:val="auto"/>
              </w:rPr>
              <w:t>Product sales</w:t>
            </w:r>
          </w:p>
        </w:tc>
        <w:tc>
          <w:tcPr>
            <w:tcW w:w="2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97.8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97.0</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revenues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160.4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143.0</w:t>
            </w:r>
          </w:p>
        </w:tc>
      </w:tr>
      <w:tr>
        <w:trPr>
          <w:trHeight w:val="169"/>
        </w:trPr>
        <w:tc>
          <w:tcPr>
            <w:tcW w:w="8600" w:type="dxa"/>
            <w:vAlign w:val="bottom"/>
          </w:tcPr>
          <w:p>
            <w:pPr>
              <w:ind w:left="20"/>
              <w:spacing w:after="0"/>
              <w:rPr>
                <w:sz w:val="20"/>
                <w:szCs w:val="20"/>
                <w:color w:val="auto"/>
              </w:rPr>
            </w:pPr>
            <w:r>
              <w:rPr>
                <w:rFonts w:ascii="Arial" w:cs="Arial" w:eastAsia="Arial" w:hAnsi="Arial"/>
                <w:sz w:val="13"/>
                <w:szCs w:val="13"/>
                <w:color w:val="auto"/>
              </w:rPr>
              <w:t>Cost of service revenues</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32.9</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Cost of product sales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69.3</w:t>
            </w:r>
          </w:p>
        </w:tc>
      </w:tr>
      <w:tr>
        <w:trPr>
          <w:trHeight w:val="169"/>
        </w:trPr>
        <w:tc>
          <w:tcPr>
            <w:tcW w:w="8600" w:type="dxa"/>
            <w:vAlign w:val="bottom"/>
          </w:tcPr>
          <w:p>
            <w:pPr>
              <w:ind w:left="220"/>
              <w:spacing w:after="0"/>
              <w:rPr>
                <w:sz w:val="20"/>
                <w:szCs w:val="20"/>
                <w:color w:val="auto"/>
              </w:rPr>
            </w:pPr>
            <w:r>
              <w:rPr>
                <w:rFonts w:ascii="Arial" w:cs="Arial" w:eastAsia="Arial" w:hAnsi="Arial"/>
                <w:sz w:val="13"/>
                <w:szCs w:val="13"/>
                <w:color w:val="auto"/>
              </w:rPr>
              <w:t>Total costs</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102.2</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Gross profit</w:t>
            </w: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44.9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40.8</w:t>
            </w:r>
          </w:p>
        </w:tc>
      </w:tr>
      <w:tr>
        <w:trPr>
          <w:trHeight w:val="189"/>
        </w:trPr>
        <w:tc>
          <w:tcPr>
            <w:tcW w:w="860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29.8</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Merger and acquisition expenses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9"/>
        </w:trPr>
        <w:tc>
          <w:tcPr>
            <w:tcW w:w="860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2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3.6</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Unused office space, restructuring expenses, and other</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0.4</w:t>
            </w:r>
          </w:p>
        </w:tc>
      </w:tr>
      <w:tr>
        <w:trPr>
          <w:trHeight w:val="169"/>
        </w:trPr>
        <w:tc>
          <w:tcPr>
            <w:tcW w:w="8600" w:type="dxa"/>
            <w:vAlign w:val="bottom"/>
          </w:tcPr>
          <w:p>
            <w:pPr>
              <w:ind w:left="220"/>
              <w:spacing w:after="0"/>
              <w:rPr>
                <w:sz w:val="20"/>
                <w:szCs w:val="20"/>
                <w:color w:val="auto"/>
              </w:rPr>
            </w:pPr>
            <w:r>
              <w:rPr>
                <w:rFonts w:ascii="Arial" w:cs="Arial" w:eastAsia="Arial" w:hAnsi="Arial"/>
                <w:sz w:val="13"/>
                <w:szCs w:val="13"/>
                <w:color w:val="auto"/>
              </w:rPr>
              <w:t>Operating income from continuing operations</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7.0</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9"/>
        </w:trPr>
        <w:tc>
          <w:tcPr>
            <w:tcW w:w="8600" w:type="dxa"/>
            <w:vAlign w:val="bottom"/>
          </w:tcPr>
          <w:p>
            <w:pPr>
              <w:ind w:left="220"/>
              <w:spacing w:after="0"/>
              <w:rPr>
                <w:sz w:val="20"/>
                <w:szCs w:val="20"/>
                <w:color w:val="auto"/>
              </w:rPr>
            </w:pPr>
            <w:r>
              <w:rPr>
                <w:rFonts w:ascii="Arial" w:cs="Arial" w:eastAsia="Arial" w:hAnsi="Arial"/>
                <w:sz w:val="13"/>
                <w:szCs w:val="13"/>
                <w:color w:val="auto"/>
              </w:rPr>
              <w:t>Interest expense, net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Other income (expense), net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0.3</w:t>
            </w:r>
          </w:p>
        </w:tc>
      </w:tr>
      <w:tr>
        <w:trPr>
          <w:trHeight w:val="169"/>
        </w:trPr>
        <w:tc>
          <w:tcPr>
            <w:tcW w:w="8600" w:type="dxa"/>
            <w:vAlign w:val="bottom"/>
          </w:tcPr>
          <w:p>
            <w:pPr>
              <w:ind w:left="480"/>
              <w:spacing w:after="0"/>
              <w:rPr>
                <w:sz w:val="20"/>
                <w:szCs w:val="20"/>
                <w:color w:val="auto"/>
              </w:rPr>
            </w:pPr>
            <w:r>
              <w:rPr>
                <w:rFonts w:ascii="Arial" w:cs="Arial" w:eastAsia="Arial" w:hAnsi="Arial"/>
                <w:sz w:val="13"/>
                <w:szCs w:val="13"/>
                <w:color w:val="auto"/>
              </w:rPr>
              <w:t>Total other expense, net</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2.2</w:t>
            </w:r>
          </w:p>
        </w:tc>
      </w:tr>
      <w:tr>
        <w:trPr>
          <w:trHeight w:val="189"/>
        </w:trPr>
        <w:tc>
          <w:tcPr>
            <w:tcW w:w="8600" w:type="dxa"/>
            <w:vAlign w:val="bottom"/>
          </w:tcPr>
          <w:p>
            <w:pPr>
              <w:ind w:left="20"/>
              <w:spacing w:after="0"/>
              <w:rPr>
                <w:sz w:val="20"/>
                <w:szCs w:val="20"/>
                <w:color w:val="auto"/>
              </w:rPr>
            </w:pPr>
            <w:r>
              <w:rPr>
                <w:rFonts w:ascii="Arial" w:cs="Arial" w:eastAsia="Arial" w:hAnsi="Arial"/>
                <w:sz w:val="13"/>
                <w:szCs w:val="13"/>
                <w:color w:val="auto"/>
              </w:rPr>
              <w:t>Provision (benefit) for income taxes from continuing operations</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0.9</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1.3</w:t>
            </w:r>
          </w:p>
        </w:tc>
      </w:tr>
      <w:tr>
        <w:trPr>
          <w:trHeight w:val="180"/>
        </w:trPr>
        <w:tc>
          <w:tcPr>
            <w:tcW w:w="8600" w:type="dxa"/>
            <w:vAlign w:val="bottom"/>
          </w:tcPr>
          <w:p>
            <w:pPr>
              <w:ind w:left="20"/>
              <w:spacing w:after="0"/>
              <w:rPr>
                <w:sz w:val="20"/>
                <w:szCs w:val="20"/>
                <w:color w:val="auto"/>
              </w:rPr>
            </w:pPr>
            <w:r>
              <w:rPr>
                <w:rFonts w:ascii="Arial" w:cs="Arial" w:eastAsia="Arial" w:hAnsi="Arial"/>
                <w:sz w:val="13"/>
                <w:szCs w:val="13"/>
                <w:color w:val="auto"/>
              </w:rPr>
              <w:t>Discontinued operations</w:t>
            </w: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Loss from operations of discontinued component</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89"/>
        </w:trPr>
        <w:tc>
          <w:tcPr>
            <w:tcW w:w="8600" w:type="dxa"/>
            <w:vAlign w:val="bottom"/>
          </w:tcPr>
          <w:p>
            <w:pPr>
              <w:ind w:left="220"/>
              <w:spacing w:after="0"/>
              <w:rPr>
                <w:sz w:val="20"/>
                <w:szCs w:val="20"/>
                <w:color w:val="auto"/>
              </w:rPr>
            </w:pPr>
            <w:r>
              <w:rPr>
                <w:rFonts w:ascii="Arial" w:cs="Arial" w:eastAsia="Arial" w:hAnsi="Arial"/>
                <w:sz w:val="13"/>
                <w:szCs w:val="13"/>
                <w:color w:val="auto"/>
              </w:rPr>
              <w:t>Income tax benefit (provision)</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0.4</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Loss from discontinued operations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9"/>
        </w:trPr>
        <w:tc>
          <w:tcPr>
            <w:tcW w:w="8600" w:type="dxa"/>
            <w:vAlign w:val="bottom"/>
          </w:tcPr>
          <w:p>
            <w:pPr>
              <w:ind w:left="220"/>
              <w:spacing w:after="0"/>
              <w:rPr>
                <w:sz w:val="20"/>
                <w:szCs w:val="20"/>
                <w:color w:val="auto"/>
              </w:rPr>
            </w:pPr>
            <w:r>
              <w:rPr>
                <w:rFonts w:ascii="Arial" w:cs="Arial" w:eastAsia="Arial" w:hAnsi="Arial"/>
                <w:sz w:val="13"/>
                <w:szCs w:val="13"/>
                <w:color w:val="auto"/>
              </w:rPr>
              <w:t>Net income (loss)</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27"/>
        </w:trPr>
        <w:tc>
          <w:tcPr>
            <w:tcW w:w="8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Net loss attributable to noncontrolling interest</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w:t>
            </w:r>
          </w:p>
        </w:tc>
      </w:tr>
      <w:tr>
        <w:trPr>
          <w:trHeight w:val="228"/>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income (loss) attributable to Kratos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65"/>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Basic income (loss) per common share attributable to Kratos:</w:t>
            </w:r>
          </w:p>
        </w:tc>
        <w:tc>
          <w:tcPr>
            <w:tcW w:w="2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89"/>
        </w:trPr>
        <w:tc>
          <w:tcPr>
            <w:tcW w:w="8600" w:type="dxa"/>
            <w:vAlign w:val="bottom"/>
          </w:tcPr>
          <w:p>
            <w:pPr>
              <w:ind w:left="220"/>
              <w:spacing w:after="0"/>
              <w:rPr>
                <w:sz w:val="20"/>
                <w:szCs w:val="20"/>
                <w:color w:val="auto"/>
              </w:rPr>
            </w:pPr>
            <w:r>
              <w:rPr>
                <w:rFonts w:ascii="Arial" w:cs="Arial" w:eastAsia="Arial" w:hAnsi="Arial"/>
                <w:sz w:val="13"/>
                <w:szCs w:val="13"/>
                <w:color w:val="auto"/>
              </w:rPr>
              <w:t>Income from continuing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6"/>
                <w:szCs w:val="16"/>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0.01</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Loss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(0.03)</w:t>
            </w:r>
          </w:p>
        </w:tc>
      </w:tr>
      <w:tr>
        <w:trPr>
          <w:trHeight w:val="228"/>
        </w:trPr>
        <w:tc>
          <w:tcPr>
            <w:tcW w:w="86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Net income (loss) per common share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0.03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(0.02)</w:t>
            </w:r>
          </w:p>
        </w:tc>
      </w:tr>
      <w:tr>
        <w:trPr>
          <w:trHeight w:val="17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income (loss) per common share attributable to Kratos:</w:t>
            </w: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9"/>
        </w:trPr>
        <w:tc>
          <w:tcPr>
            <w:tcW w:w="8600" w:type="dxa"/>
            <w:vAlign w:val="bottom"/>
          </w:tcPr>
          <w:p>
            <w:pPr>
              <w:ind w:left="220"/>
              <w:spacing w:after="0"/>
              <w:rPr>
                <w:sz w:val="20"/>
                <w:szCs w:val="20"/>
                <w:color w:val="auto"/>
              </w:rPr>
            </w:pPr>
            <w:r>
              <w:rPr>
                <w:rFonts w:ascii="Arial" w:cs="Arial" w:eastAsia="Arial" w:hAnsi="Arial"/>
                <w:sz w:val="13"/>
                <w:szCs w:val="13"/>
                <w:color w:val="auto"/>
              </w:rPr>
              <w:t>Income from continuing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6"/>
                <w:szCs w:val="16"/>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0.01</w:t>
            </w: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Loss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(0.03)</w:t>
            </w:r>
          </w:p>
        </w:tc>
      </w:tr>
      <w:tr>
        <w:trPr>
          <w:trHeight w:val="228"/>
        </w:trPr>
        <w:tc>
          <w:tcPr>
            <w:tcW w:w="86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Net income (loss) per common share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0.03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(0.02)</w:t>
            </w:r>
          </w:p>
        </w:tc>
      </w:tr>
      <w:tr>
        <w:trPr>
          <w:trHeight w:val="217"/>
        </w:trPr>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26" w:lineRule="exact"/>
        <w:rPr>
          <w:sz w:val="20"/>
          <w:szCs w:val="20"/>
          <w:color w:val="auto"/>
        </w:rPr>
      </w:pPr>
    </w:p>
    <w:p>
      <w:pPr>
        <w:sectPr>
          <w:pgSz w:w="11900" w:h="16838" w:orient="portrait"/>
          <w:cols w:equalWidth="0" w:num="1">
            <w:col w:w="11460"/>
          </w:cols>
          <w:pgMar w:left="220" w:top="129" w:right="219" w:bottom="1440" w:gutter="0" w:footer="0" w:header="0"/>
        </w:sectPr>
      </w:pPr>
    </w:p>
    <w:p>
      <w:pPr>
        <w:ind w:left="20"/>
        <w:spacing w:after="0"/>
        <w:rPr>
          <w:sz w:val="20"/>
          <w:szCs w:val="20"/>
          <w:color w:val="auto"/>
        </w:rPr>
      </w:pPr>
      <w:r>
        <w:rPr>
          <w:rFonts w:ascii="Arial" w:cs="Arial" w:eastAsia="Arial" w:hAnsi="Arial"/>
          <w:sz w:val="11"/>
          <w:szCs w:val="11"/>
          <w:color w:val="auto"/>
        </w:rPr>
        <w:t>Weighted average common shares outstanding:</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Basic</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Diluted</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Comprehensive Income (Loss)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(loss) (from above)</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Change in cumulative translation adjustment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960"/>
        <w:spacing w:after="0"/>
        <w:tabs>
          <w:tab w:leader="none" w:pos="242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1"/>
          <w:szCs w:val="11"/>
          <w:color w:val="auto"/>
        </w:rPr>
        <w:t>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-5469255</wp:posOffset>
            </wp:positionH>
            <wp:positionV relativeFrom="paragraph">
              <wp:posOffset>-103505</wp:posOffset>
            </wp:positionV>
            <wp:extent cx="7274560" cy="150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50495"/>
                    </a:xfrm>
                    <a:prstGeom prst="rect">
                      <a:avLst/>
                    </a:prstGeom>
                    <a:noFill/>
                  </pic:spPr>
                </pic:pic>
              </a:graphicData>
            </a:graphic>
          </wp:anchor>
        </w:drawing>
      </w:r>
    </w:p>
    <w:p>
      <w:pPr>
        <w:spacing w:after="0" w:line="68" w:lineRule="exact"/>
        <w:rPr>
          <w:sz w:val="20"/>
          <w:szCs w:val="20"/>
          <w:color w:val="auto"/>
        </w:rPr>
      </w:pPr>
    </w:p>
    <w:p>
      <w:pPr>
        <w:ind w:left="960"/>
        <w:spacing w:after="0"/>
        <w:tabs>
          <w:tab w:leader="none" w:pos="2420" w:val="left"/>
        </w:tabs>
        <w:rPr>
          <w:sz w:val="20"/>
          <w:szCs w:val="20"/>
          <w:color w:val="auto"/>
        </w:rPr>
      </w:pPr>
      <w:r>
        <w:rPr>
          <w:rFonts w:ascii="Arial" w:cs="Arial" w:eastAsia="Arial" w:hAnsi="Arial"/>
          <w:sz w:val="13"/>
          <w:szCs w:val="13"/>
          <w:color w:val="auto"/>
        </w:rPr>
        <w:t>107.8</w:t>
      </w:r>
      <w:r>
        <w:rPr>
          <w:sz w:val="20"/>
          <w:szCs w:val="20"/>
          <w:color w:val="auto"/>
        </w:rPr>
        <w:tab/>
      </w:r>
      <w:r>
        <w:rPr>
          <w:rFonts w:ascii="Arial" w:cs="Arial" w:eastAsia="Arial" w:hAnsi="Arial"/>
          <w:sz w:val="11"/>
          <w:szCs w:val="11"/>
          <w:color w:val="auto"/>
        </w:rPr>
        <w:t>105.7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-5469255</wp:posOffset>
            </wp:positionH>
            <wp:positionV relativeFrom="paragraph">
              <wp:posOffset>25400</wp:posOffset>
            </wp:positionV>
            <wp:extent cx="7274560" cy="157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57480"/>
                    </a:xfrm>
                    <a:prstGeom prst="rect">
                      <a:avLst/>
                    </a:prstGeom>
                    <a:noFill/>
                  </pic:spPr>
                </pic:pic>
              </a:graphicData>
            </a:graphic>
          </wp:anchor>
        </w:drawing>
      </w:r>
    </w:p>
    <w:p>
      <w:pPr>
        <w:spacing w:after="0" w:line="294" w:lineRule="exact"/>
        <w:rPr>
          <w:sz w:val="20"/>
          <w:szCs w:val="20"/>
          <w:color w:val="auto"/>
        </w:rPr>
      </w:pPr>
    </w:p>
    <w:p>
      <w:pPr>
        <w:spacing w:after="0"/>
        <w:tabs>
          <w:tab w:leader="none" w:pos="1080" w:val="left"/>
          <w:tab w:leader="none" w:pos="1480" w:val="left"/>
          <w:tab w:leader="none" w:pos="25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-5469255</wp:posOffset>
            </wp:positionH>
            <wp:positionV relativeFrom="paragraph">
              <wp:posOffset>25400</wp:posOffset>
            </wp:positionV>
            <wp:extent cx="72745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(0.1)</w:t>
      </w:r>
    </w:p>
    <w:p>
      <w:pPr>
        <w:spacing w:after="0" w:line="20" w:lineRule="exact"/>
        <w:rPr>
          <w:sz w:val="20"/>
          <w:szCs w:val="20"/>
          <w:color w:val="auto"/>
        </w:rPr>
      </w:pPr>
    </w:p>
    <w:p>
      <w:pPr>
        <w:sectPr>
          <w:pgSz w:w="11900" w:h="16838" w:orient="portrait"/>
          <w:cols w:equalWidth="0" w:num="2">
            <w:col w:w="7900" w:space="720"/>
            <w:col w:w="2840"/>
          </w:cols>
          <w:pgMar w:left="220" w:top="129" w:right="21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8600" w:type="dxa"/>
            <w:vAlign w:val="bottom"/>
          </w:tcPr>
          <w:p>
            <w:pPr>
              <w:ind w:left="20"/>
              <w:spacing w:after="0"/>
              <w:rPr>
                <w:sz w:val="20"/>
                <w:szCs w:val="20"/>
                <w:color w:val="auto"/>
              </w:rPr>
            </w:pPr>
            <w:r>
              <w:rPr>
                <w:rFonts w:ascii="Arial" w:cs="Arial" w:eastAsia="Arial" w:hAnsi="Arial"/>
                <w:sz w:val="13"/>
                <w:szCs w:val="13"/>
                <w:color w:val="auto"/>
              </w:rPr>
              <w:t>Comprehensive income (loss)</w:t>
            </w:r>
          </w:p>
        </w:tc>
        <w:tc>
          <w:tcPr>
            <w:tcW w:w="6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27"/>
        </w:trPr>
        <w:tc>
          <w:tcPr>
            <w:tcW w:w="8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Less: Comprehensive loss attributable to noncontrolling interest</w:t>
            </w:r>
          </w:p>
        </w:tc>
        <w:tc>
          <w:tcPr>
            <w:tcW w:w="6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69"/>
        </w:trPr>
        <w:tc>
          <w:tcPr>
            <w:tcW w:w="8600" w:type="dxa"/>
            <w:vAlign w:val="bottom"/>
          </w:tcPr>
          <w:p>
            <w:pPr>
              <w:ind w:left="20"/>
              <w:spacing w:after="0"/>
              <w:rPr>
                <w:sz w:val="20"/>
                <w:szCs w:val="20"/>
                <w:color w:val="auto"/>
              </w:rPr>
            </w:pPr>
            <w:r>
              <w:rPr>
                <w:rFonts w:ascii="Arial" w:cs="Arial" w:eastAsia="Arial" w:hAnsi="Arial"/>
                <w:sz w:val="13"/>
                <w:szCs w:val="13"/>
                <w:color w:val="auto"/>
              </w:rPr>
              <w:t>Comprehensive income (loss) attributable to Kratos</w:t>
            </w:r>
          </w:p>
        </w:tc>
        <w:tc>
          <w:tcPr>
            <w:tcW w:w="600" w:type="dxa"/>
            <w:vAlign w:val="bottom"/>
            <w:tcBorders>
              <w:top w:val="single" w:sz="8" w:color="auto"/>
            </w:tcBorders>
          </w:tcPr>
          <w:p>
            <w:pPr>
              <w:jc w:val="right"/>
              <w:ind w:right="435"/>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ind w:right="395"/>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27"/>
        </w:trPr>
        <w:tc>
          <w:tcPr>
            <w:tcW w:w="8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9" w:right="2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Balance, December 31, 2017</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Impact from the adoption of ASC 606</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Stock-based compensation</w:t>
      </w:r>
    </w:p>
    <w:p>
      <w:pPr>
        <w:spacing w:after="0" w:line="35" w:lineRule="exact"/>
        <w:rPr>
          <w:sz w:val="20"/>
          <w:szCs w:val="20"/>
          <w:color w:val="auto"/>
        </w:rPr>
      </w:pPr>
    </w:p>
    <w:p>
      <w:pPr>
        <w:ind w:left="260" w:hanging="128"/>
        <w:spacing w:after="0" w:line="262" w:lineRule="auto"/>
        <w:rPr>
          <w:sz w:val="20"/>
          <w:szCs w:val="20"/>
          <w:color w:val="auto"/>
        </w:rPr>
      </w:pPr>
      <w:r>
        <w:rPr>
          <w:rFonts w:ascii="Arial" w:cs="Arial" w:eastAsia="Arial" w:hAnsi="Arial"/>
          <w:sz w:val="11"/>
          <w:szCs w:val="11"/>
          <w:color w:val="auto"/>
        </w:rPr>
        <w:t>Issuance of common stock for employee stock purchase plan, options and warrants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comprehensive income (loss), net of tax</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Balance, April 1, 2018</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center"/>
        <w:ind w:right="3000"/>
        <w:spacing w:after="0"/>
        <w:rPr>
          <w:sz w:val="20"/>
          <w:szCs w:val="20"/>
          <w:color w:val="auto"/>
        </w:rPr>
      </w:pPr>
      <w:r>
        <w:rPr>
          <w:rFonts w:ascii="Arial" w:cs="Arial" w:eastAsia="Arial" w:hAnsi="Arial"/>
          <w:sz w:val="13"/>
          <w:szCs w:val="13"/>
          <w:b w:val="1"/>
          <w:bCs w:val="1"/>
          <w:color w:val="auto"/>
        </w:rPr>
        <w:t>KRATOS DEFENSE &amp; SECURITY SOLUTIONS, INC.</w:t>
      </w:r>
    </w:p>
    <w:p>
      <w:pPr>
        <w:spacing w:after="0" w:line="8" w:lineRule="exact"/>
        <w:rPr>
          <w:sz w:val="20"/>
          <w:szCs w:val="20"/>
          <w:color w:val="auto"/>
        </w:rPr>
      </w:pPr>
    </w:p>
    <w:p>
      <w:pPr>
        <w:jc w:val="center"/>
        <w:ind w:right="3000"/>
        <w:spacing w:after="0"/>
        <w:rPr>
          <w:sz w:val="20"/>
          <w:szCs w:val="20"/>
          <w:color w:val="auto"/>
        </w:rPr>
      </w:pPr>
      <w:r>
        <w:rPr>
          <w:rFonts w:ascii="Arial" w:cs="Arial" w:eastAsia="Arial" w:hAnsi="Arial"/>
          <w:sz w:val="13"/>
          <w:szCs w:val="13"/>
          <w:b w:val="1"/>
          <w:bCs w:val="1"/>
          <w:color w:val="auto"/>
        </w:rPr>
        <w:t>CONDENSED CONSOLIDATED STATEMENTS OF STOCKHOLDERS’ EQUITY</w:t>
      </w:r>
    </w:p>
    <w:p>
      <w:pPr>
        <w:jc w:val="center"/>
        <w:ind w:right="3000"/>
        <w:spacing w:after="0"/>
        <w:rPr>
          <w:sz w:val="20"/>
          <w:szCs w:val="20"/>
          <w:color w:val="auto"/>
        </w:rPr>
      </w:pPr>
      <w:r>
        <w:rPr>
          <w:rFonts w:ascii="Arial" w:cs="Arial" w:eastAsia="Arial" w:hAnsi="Arial"/>
          <w:sz w:val="11"/>
          <w:szCs w:val="11"/>
          <w:b w:val="1"/>
          <w:bCs w:val="1"/>
          <w:color w:val="auto"/>
        </w:rPr>
        <w:t>Three Months ended April 1, 2018, and March 31, 2019</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1"/>
          <w:szCs w:val="11"/>
          <w:b w:val="1"/>
          <w:bCs w:val="1"/>
          <w:color w:val="auto"/>
        </w:rPr>
        <w:t>(in millions)</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1"/>
          <w:szCs w:val="11"/>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4"/>
              </w:rPr>
              <w:t>Common Stock</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Accumulated Other</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1300" w:type="dxa"/>
            <w:vAlign w:val="bottom"/>
            <w:tcBorders>
              <w:right w:val="single" w:sz="8" w:color="auto"/>
            </w:tcBorders>
            <w:vMerge w:val="restart"/>
          </w:tcPr>
          <w:p>
            <w:pPr>
              <w:jc w:val="right"/>
              <w:ind w:right="358"/>
              <w:spacing w:after="0" w:line="112" w:lineRule="exact"/>
              <w:rPr>
                <w:sz w:val="20"/>
                <w:szCs w:val="20"/>
                <w:color w:val="auto"/>
              </w:rPr>
            </w:pPr>
            <w:r>
              <w:rPr>
                <w:rFonts w:ascii="Arial" w:cs="Arial" w:eastAsia="Arial" w:hAnsi="Arial"/>
                <w:sz w:val="11"/>
                <w:szCs w:val="11"/>
                <w:b w:val="1"/>
                <w:bCs w:val="1"/>
                <w:color w:val="auto"/>
              </w:rPr>
              <w:t>Redeemable</w:t>
            </w:r>
          </w:p>
        </w:tc>
        <w:tc>
          <w:tcPr>
            <w:tcW w:w="100" w:type="dxa"/>
            <w:vAlign w:val="bottom"/>
            <w:gridSpan w:val="2"/>
            <w:vMerge w:val="restart"/>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restart"/>
          </w:tcPr>
          <w:p>
            <w:pPr>
              <w:ind w:left="20"/>
              <w:spacing w:after="0" w:line="112" w:lineRule="exact"/>
              <w:rPr>
                <w:sz w:val="20"/>
                <w:szCs w:val="20"/>
                <w:color w:val="auto"/>
              </w:rPr>
            </w:pPr>
            <w:r>
              <w:rPr>
                <w:rFonts w:ascii="Arial" w:cs="Arial" w:eastAsia="Arial" w:hAnsi="Arial"/>
                <w:sz w:val="11"/>
                <w:szCs w:val="11"/>
                <w:b w:val="1"/>
                <w:bCs w:val="1"/>
                <w:color w:val="auto"/>
              </w:rPr>
              <w:t>Additional Paid-In</w:t>
            </w:r>
          </w:p>
        </w:tc>
        <w:tc>
          <w:tcPr>
            <w:tcW w:w="100" w:type="dxa"/>
            <w:vAlign w:val="bottom"/>
          </w:tcPr>
          <w:p>
            <w:pPr>
              <w:spacing w:after="0"/>
              <w:rPr>
                <w:sz w:val="3"/>
                <w:szCs w:val="3"/>
                <w:color w:val="auto"/>
              </w:rPr>
            </w:pPr>
          </w:p>
        </w:tc>
        <w:tc>
          <w:tcPr>
            <w:tcW w:w="1380" w:type="dxa"/>
            <w:vAlign w:val="bottom"/>
            <w:gridSpan w:val="2"/>
            <w:vMerge w:val="restart"/>
          </w:tcPr>
          <w:p>
            <w:pPr>
              <w:jc w:val="center"/>
              <w:ind w:right="220"/>
              <w:spacing w:after="0" w:line="112" w:lineRule="exact"/>
              <w:rPr>
                <w:sz w:val="20"/>
                <w:szCs w:val="20"/>
                <w:color w:val="auto"/>
              </w:rPr>
            </w:pPr>
            <w:r>
              <w:rPr>
                <w:rFonts w:ascii="Arial" w:cs="Arial" w:eastAsia="Arial" w:hAnsi="Arial"/>
                <w:sz w:val="11"/>
                <w:szCs w:val="11"/>
                <w:b w:val="1"/>
                <w:bCs w:val="1"/>
                <w:color w:val="auto"/>
                <w:w w:val="93"/>
              </w:rPr>
              <w:t>Comprehensive Income</w:t>
            </w: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vMerge w:val="restart"/>
          </w:tcPr>
          <w:p>
            <w:pPr>
              <w:jc w:val="right"/>
              <w:ind w:right="23"/>
              <w:spacing w:after="0" w:line="112" w:lineRule="exact"/>
              <w:rPr>
                <w:sz w:val="20"/>
                <w:szCs w:val="20"/>
                <w:color w:val="auto"/>
              </w:rPr>
            </w:pPr>
            <w:r>
              <w:rPr>
                <w:rFonts w:ascii="Arial" w:cs="Arial" w:eastAsia="Arial" w:hAnsi="Arial"/>
                <w:sz w:val="11"/>
                <w:szCs w:val="11"/>
                <w:b w:val="1"/>
                <w:bCs w:val="1"/>
                <w:color w:val="auto"/>
                <w:w w:val="92"/>
              </w:rPr>
              <w:t>Total Stockholders’</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70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Shares</w:t>
            </w: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Amounts</w:t>
            </w: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8"/>
              </w:rPr>
              <w:t>Accumulated Deficit</w:t>
            </w:r>
          </w:p>
        </w:tc>
        <w:tc>
          <w:tcPr>
            <w:tcW w:w="1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11"/>
                <w:szCs w:val="11"/>
                <w:b w:val="1"/>
                <w:bCs w:val="1"/>
                <w:color w:val="auto"/>
                <w:w w:val="94"/>
              </w:rPr>
              <w:t>Noncontrolling Interest</w:t>
            </w:r>
          </w:p>
        </w:tc>
        <w:tc>
          <w:tcPr>
            <w:tcW w:w="100" w:type="dxa"/>
            <w:vAlign w:val="bottom"/>
            <w:gridSpan w:val="2"/>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0"/>
              </w:rPr>
              <w:t>(Loss)</w:t>
            </w:r>
          </w:p>
        </w:tc>
        <w:tc>
          <w:tcPr>
            <w:tcW w:w="120" w:type="dxa"/>
            <w:vAlign w:val="bottom"/>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91"/>
        </w:trPr>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right w:val="single" w:sz="8" w:color="auto"/>
            </w:tcBorders>
          </w:tcPr>
          <w:p>
            <w:pPr>
              <w:jc w:val="right"/>
              <w:ind w:right="78"/>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6"/>
                <w:szCs w:val="16"/>
                <w:color w:val="auto"/>
              </w:rPr>
            </w:pPr>
          </w:p>
        </w:tc>
        <w:tc>
          <w:tcPr>
            <w:tcW w:w="700" w:type="dxa"/>
            <w:vAlign w:val="bottom"/>
          </w:tcPr>
          <w:p>
            <w:pPr>
              <w:jc w:val="right"/>
              <w:ind w:right="58"/>
              <w:spacing w:after="0"/>
              <w:rPr>
                <w:sz w:val="20"/>
                <w:szCs w:val="20"/>
                <w:color w:val="auto"/>
              </w:rPr>
            </w:pPr>
            <w:r>
              <w:rPr>
                <w:rFonts w:ascii="Arial" w:cs="Arial" w:eastAsia="Arial" w:hAnsi="Arial"/>
                <w:sz w:val="11"/>
                <w:szCs w:val="11"/>
                <w:color w:val="auto"/>
              </w:rPr>
              <w:t>103.3</w:t>
            </w:r>
          </w:p>
        </w:tc>
        <w:tc>
          <w:tcPr>
            <w:tcW w:w="120" w:type="dxa"/>
            <w:vAlign w:val="bottom"/>
          </w:tcPr>
          <w:p>
            <w:pPr>
              <w:spacing w:after="0"/>
              <w:rPr>
                <w:sz w:val="16"/>
                <w:szCs w:val="16"/>
                <w:color w:val="auto"/>
              </w:rPr>
            </w:pPr>
          </w:p>
        </w:tc>
        <w:tc>
          <w:tcPr>
            <w:tcW w:w="160" w:type="dxa"/>
            <w:vAlign w:val="bottom"/>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58"/>
              <w:spacing w:after="0"/>
              <w:rPr>
                <w:sz w:val="20"/>
                <w:szCs w:val="20"/>
                <w:color w:val="auto"/>
              </w:rPr>
            </w:pPr>
            <w:r>
              <w:rPr>
                <w:rFonts w:ascii="Arial" w:cs="Arial" w:eastAsia="Arial" w:hAnsi="Arial"/>
                <w:sz w:val="11"/>
                <w:szCs w:val="11"/>
                <w:color w:val="auto"/>
              </w:rPr>
              <w:t>1,233.7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(720.8)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511.5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00" w:type="dxa"/>
            <w:vAlign w:val="bottom"/>
            <w:tcBorders>
              <w:right w:val="single" w:sz="8" w:color="auto"/>
            </w:tcBorders>
          </w:tcPr>
          <w:p>
            <w:pPr>
              <w:jc w:val="right"/>
              <w:ind w:right="78"/>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00" w:type="dxa"/>
            <w:vAlign w:val="bottom"/>
            <w:tcBorders>
              <w:right w:val="single" w:sz="8" w:color="auto"/>
            </w:tcBorders>
          </w:tcPr>
          <w:p>
            <w:pPr>
              <w:jc w:val="right"/>
              <w:ind w:right="78"/>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ind w:right="58"/>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1300" w:type="dxa"/>
            <w:vAlign w:val="bottom"/>
            <w:tcBorders>
              <w:right w:val="single" w:sz="8" w:color="auto"/>
            </w:tcBorders>
          </w:tcPr>
          <w:p>
            <w:pPr>
              <w:jc w:val="right"/>
              <w:ind w:right="78"/>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24"/>
                <w:szCs w:val="24"/>
                <w:color w:val="auto"/>
              </w:rPr>
            </w:pPr>
          </w:p>
        </w:tc>
        <w:tc>
          <w:tcPr>
            <w:tcW w:w="700" w:type="dxa"/>
            <w:vAlign w:val="bottom"/>
          </w:tcPr>
          <w:p>
            <w:pPr>
              <w:jc w:val="right"/>
              <w:ind w:right="58"/>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ind w:right="58"/>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00" w:type="dxa"/>
            <w:vAlign w:val="bottom"/>
            <w:tcBorders>
              <w:right w:val="single" w:sz="8" w:color="auto"/>
            </w:tcBorders>
          </w:tcPr>
          <w:p>
            <w:pPr>
              <w:jc w:val="right"/>
              <w:ind w:right="78"/>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20"/>
        </w:trPr>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9"/>
                <w:szCs w:val="19"/>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85"/>
        </w:trPr>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right w:val="single" w:sz="8" w:color="auto"/>
            </w:tcBorders>
          </w:tcPr>
          <w:p>
            <w:pPr>
              <w:jc w:val="right"/>
              <w:ind w:right="78"/>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6"/>
                <w:szCs w:val="16"/>
                <w:color w:val="auto"/>
              </w:rPr>
            </w:pPr>
          </w:p>
        </w:tc>
        <w:tc>
          <w:tcPr>
            <w:tcW w:w="700" w:type="dxa"/>
            <w:vAlign w:val="bottom"/>
          </w:tcPr>
          <w:p>
            <w:pPr>
              <w:jc w:val="right"/>
              <w:ind w:right="58"/>
              <w:spacing w:after="0"/>
              <w:rPr>
                <w:sz w:val="20"/>
                <w:szCs w:val="20"/>
                <w:color w:val="auto"/>
              </w:rPr>
            </w:pPr>
            <w:r>
              <w:rPr>
                <w:rFonts w:ascii="Arial" w:cs="Arial" w:eastAsia="Arial" w:hAnsi="Arial"/>
                <w:sz w:val="11"/>
                <w:szCs w:val="11"/>
                <w:color w:val="auto"/>
              </w:rPr>
              <w:t>103.5</w:t>
            </w:r>
          </w:p>
        </w:tc>
        <w:tc>
          <w:tcPr>
            <w:tcW w:w="120" w:type="dxa"/>
            <w:vAlign w:val="bottom"/>
          </w:tcPr>
          <w:p>
            <w:pPr>
              <w:spacing w:after="0"/>
              <w:rPr>
                <w:sz w:val="16"/>
                <w:szCs w:val="16"/>
                <w:color w:val="auto"/>
              </w:rPr>
            </w:pPr>
          </w:p>
        </w:tc>
        <w:tc>
          <w:tcPr>
            <w:tcW w:w="160" w:type="dxa"/>
            <w:vAlign w:val="bottom"/>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60" w:type="dxa"/>
            <w:vAlign w:val="bottom"/>
          </w:tcPr>
          <w:p>
            <w:pPr>
              <w:jc w:val="right"/>
              <w:ind w:right="58"/>
              <w:spacing w:after="0"/>
              <w:rPr>
                <w:sz w:val="20"/>
                <w:szCs w:val="20"/>
                <w:color w:val="auto"/>
              </w:rPr>
            </w:pPr>
            <w:r>
              <w:rPr>
                <w:rFonts w:ascii="Arial" w:cs="Arial" w:eastAsia="Arial" w:hAnsi="Arial"/>
                <w:sz w:val="11"/>
                <w:szCs w:val="11"/>
                <w:color w:val="auto"/>
              </w:rPr>
              <w:t>1,237.2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6"/>
                <w:szCs w:val="16"/>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(723.2)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512.5</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-1012190</wp:posOffset>
            </wp:positionV>
            <wp:extent cx="72745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-738505</wp:posOffset>
            </wp:positionV>
            <wp:extent cx="72745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-423545</wp:posOffset>
            </wp:positionV>
            <wp:extent cx="72745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-149860</wp:posOffset>
            </wp:positionV>
            <wp:extent cx="72745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300"/>
            <w:col w:w="8460"/>
          </w:cols>
          <w:pgMar w:left="220" w:top="129" w:right="219" w:bottom="1440" w:gutter="0" w:footer="0" w:header="0"/>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4"/>
              </w:rPr>
              <w:t>Common Stock</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Accumulated Other</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right w:val="single" w:sz="8" w:color="auto"/>
            </w:tcBorders>
            <w:vMerge w:val="restart"/>
          </w:tcPr>
          <w:p>
            <w:pPr>
              <w:jc w:val="right"/>
              <w:ind w:right="361"/>
              <w:spacing w:after="0" w:line="112" w:lineRule="exact"/>
              <w:rPr>
                <w:sz w:val="20"/>
                <w:szCs w:val="20"/>
                <w:color w:val="auto"/>
              </w:rPr>
            </w:pPr>
            <w:r>
              <w:rPr>
                <w:rFonts w:ascii="Arial" w:cs="Arial" w:eastAsia="Arial" w:hAnsi="Arial"/>
                <w:sz w:val="11"/>
                <w:szCs w:val="11"/>
                <w:b w:val="1"/>
                <w:bCs w:val="1"/>
                <w:color w:val="auto"/>
              </w:rPr>
              <w:t>Redeemable</w:t>
            </w:r>
          </w:p>
        </w:tc>
        <w:tc>
          <w:tcPr>
            <w:tcW w:w="100" w:type="dxa"/>
            <w:vAlign w:val="bottom"/>
            <w:gridSpan w:val="2"/>
            <w:vMerge w:val="restart"/>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restart"/>
          </w:tcPr>
          <w:p>
            <w:pPr>
              <w:ind w:left="20"/>
              <w:spacing w:after="0" w:line="112" w:lineRule="exact"/>
              <w:rPr>
                <w:sz w:val="20"/>
                <w:szCs w:val="20"/>
                <w:color w:val="auto"/>
              </w:rPr>
            </w:pPr>
            <w:r>
              <w:rPr>
                <w:rFonts w:ascii="Arial" w:cs="Arial" w:eastAsia="Arial" w:hAnsi="Arial"/>
                <w:sz w:val="11"/>
                <w:szCs w:val="11"/>
                <w:b w:val="1"/>
                <w:bCs w:val="1"/>
                <w:color w:val="auto"/>
              </w:rPr>
              <w:t>Additional Paid-In</w:t>
            </w:r>
          </w:p>
        </w:tc>
        <w:tc>
          <w:tcPr>
            <w:tcW w:w="100" w:type="dxa"/>
            <w:vAlign w:val="bottom"/>
          </w:tcPr>
          <w:p>
            <w:pPr>
              <w:spacing w:after="0"/>
              <w:rPr>
                <w:sz w:val="3"/>
                <w:szCs w:val="3"/>
                <w:color w:val="auto"/>
              </w:rPr>
            </w:pPr>
          </w:p>
        </w:tc>
        <w:tc>
          <w:tcPr>
            <w:tcW w:w="1380" w:type="dxa"/>
            <w:vAlign w:val="bottom"/>
            <w:gridSpan w:val="2"/>
            <w:vMerge w:val="restart"/>
          </w:tcPr>
          <w:p>
            <w:pPr>
              <w:jc w:val="center"/>
              <w:ind w:right="220"/>
              <w:spacing w:after="0" w:line="112" w:lineRule="exact"/>
              <w:rPr>
                <w:sz w:val="20"/>
                <w:szCs w:val="20"/>
                <w:color w:val="auto"/>
              </w:rPr>
            </w:pPr>
            <w:r>
              <w:rPr>
                <w:rFonts w:ascii="Arial" w:cs="Arial" w:eastAsia="Arial" w:hAnsi="Arial"/>
                <w:sz w:val="11"/>
                <w:szCs w:val="11"/>
                <w:b w:val="1"/>
                <w:bCs w:val="1"/>
                <w:color w:val="auto"/>
                <w:w w:val="93"/>
              </w:rPr>
              <w:t>Comprehensive Income</w:t>
            </w: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vMerge w:val="restart"/>
          </w:tcPr>
          <w:p>
            <w:pPr>
              <w:jc w:val="right"/>
              <w:ind w:right="23"/>
              <w:spacing w:after="0" w:line="112" w:lineRule="exact"/>
              <w:rPr>
                <w:sz w:val="20"/>
                <w:szCs w:val="20"/>
                <w:color w:val="auto"/>
              </w:rPr>
            </w:pPr>
            <w:r>
              <w:rPr>
                <w:rFonts w:ascii="Arial" w:cs="Arial" w:eastAsia="Arial" w:hAnsi="Arial"/>
                <w:sz w:val="11"/>
                <w:szCs w:val="11"/>
                <w:b w:val="1"/>
                <w:bCs w:val="1"/>
                <w:color w:val="auto"/>
                <w:w w:val="92"/>
              </w:rPr>
              <w:t>Total Stockholders’</w:t>
            </w:r>
          </w:p>
        </w:tc>
        <w:tc>
          <w:tcPr>
            <w:tcW w:w="0" w:type="dxa"/>
            <w:vAlign w:val="bottom"/>
          </w:tcPr>
          <w:p>
            <w:pPr>
              <w:spacing w:after="0"/>
              <w:rPr>
                <w:sz w:val="1"/>
                <w:szCs w:val="1"/>
                <w:color w:val="auto"/>
              </w:rPr>
            </w:pPr>
          </w:p>
        </w:tc>
      </w:tr>
      <w:tr>
        <w:trPr>
          <w:trHeight w:val="49"/>
        </w:trPr>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1"/>
                <w:szCs w:val="11"/>
                <w:b w:val="1"/>
                <w:bCs w:val="1"/>
                <w:color w:val="auto"/>
              </w:rPr>
              <w:t>Shares</w:t>
            </w: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restart"/>
          </w:tcPr>
          <w:p>
            <w:pPr>
              <w:jc w:val="right"/>
              <w:ind w:right="175"/>
              <w:spacing w:after="0"/>
              <w:rPr>
                <w:sz w:val="20"/>
                <w:szCs w:val="20"/>
                <w:color w:val="auto"/>
              </w:rPr>
            </w:pPr>
            <w:r>
              <w:rPr>
                <w:rFonts w:ascii="Arial" w:cs="Arial" w:eastAsia="Arial" w:hAnsi="Arial"/>
                <w:sz w:val="11"/>
                <w:szCs w:val="11"/>
                <w:b w:val="1"/>
                <w:bCs w:val="1"/>
                <w:color w:val="auto"/>
              </w:rPr>
              <w:t>Amounts</w:t>
            </w: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8"/>
              </w:rPr>
              <w:t>Accumulated Deficit</w:t>
            </w:r>
          </w:p>
        </w:tc>
        <w:tc>
          <w:tcPr>
            <w:tcW w:w="1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0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1"/>
                <w:szCs w:val="11"/>
                <w:b w:val="1"/>
                <w:bCs w:val="1"/>
                <w:color w:val="auto"/>
                <w:w w:val="94"/>
              </w:rPr>
              <w:t>Noncontrolling Interest</w:t>
            </w:r>
          </w:p>
        </w:tc>
        <w:tc>
          <w:tcPr>
            <w:tcW w:w="10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Capital</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0"/>
              </w:rPr>
              <w:t>(Loss)</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30, 2018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spacing w:after="0"/>
              <w:rPr>
                <w:sz w:val="17"/>
                <w:szCs w:val="17"/>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103.8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1,244.5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519.3</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Stock-based compensation</w:t>
            </w:r>
          </w:p>
        </w:tc>
        <w:tc>
          <w:tcPr>
            <w:tcW w:w="100" w:type="dxa"/>
            <w:vAlign w:val="bottom"/>
          </w:tcPr>
          <w:p>
            <w:pPr>
              <w:spacing w:after="0"/>
              <w:rPr>
                <w:sz w:val="18"/>
                <w:szCs w:val="18"/>
                <w:color w:val="auto"/>
              </w:rPr>
            </w:pPr>
          </w:p>
        </w:tc>
        <w:tc>
          <w:tcPr>
            <w:tcW w:w="1300" w:type="dxa"/>
            <w:vAlign w:val="bottom"/>
            <w:tcBorders>
              <w:right w:val="single" w:sz="8" w:color="auto"/>
            </w:tcBorders>
          </w:tcPr>
          <w:p>
            <w:pPr>
              <w:jc w:val="right"/>
              <w:ind w:right="81"/>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9"/>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Issuance of common stock for employee stock purchase</w:t>
            </w:r>
          </w:p>
        </w:tc>
        <w:tc>
          <w:tcPr>
            <w:tcW w:w="100" w:type="dxa"/>
            <w:vAlign w:val="bottom"/>
            <w:shd w:val="clear" w:color="auto" w:fill="CCEEFF"/>
          </w:tcPr>
          <w:p>
            <w:pPr>
              <w:spacing w:after="0"/>
              <w:rPr>
                <w:sz w:val="11"/>
                <w:szCs w:val="11"/>
                <w:color w:val="auto"/>
              </w:rPr>
            </w:pPr>
          </w:p>
        </w:tc>
        <w:tc>
          <w:tcPr>
            <w:tcW w:w="130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plan, options and warrants</w:t>
            </w:r>
          </w:p>
        </w:tc>
        <w:tc>
          <w:tcPr>
            <w:tcW w:w="100" w:type="dxa"/>
            <w:vAlign w:val="bottom"/>
            <w:shd w:val="clear" w:color="auto" w:fill="CCEEFF"/>
          </w:tcPr>
          <w:p>
            <w:pPr>
              <w:spacing w:after="0"/>
              <w:rPr>
                <w:sz w:val="13"/>
                <w:szCs w:val="13"/>
                <w:color w:val="auto"/>
              </w:rPr>
            </w:pPr>
          </w:p>
        </w:tc>
        <w:tc>
          <w:tcPr>
            <w:tcW w:w="130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spacing w:after="0"/>
              <w:rPr>
                <w:sz w:val="13"/>
                <w:szCs w:val="13"/>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Restricted stock issued and related taxes</w:t>
            </w:r>
          </w:p>
        </w:tc>
        <w:tc>
          <w:tcPr>
            <w:tcW w:w="100" w:type="dxa"/>
            <w:vAlign w:val="bottom"/>
          </w:tcPr>
          <w:p>
            <w:pPr>
              <w:spacing w:after="0"/>
              <w:rPr>
                <w:sz w:val="18"/>
                <w:szCs w:val="18"/>
                <w:color w:val="auto"/>
              </w:rPr>
            </w:pPr>
          </w:p>
        </w:tc>
        <w:tc>
          <w:tcPr>
            <w:tcW w:w="1300" w:type="dxa"/>
            <w:vAlign w:val="bottom"/>
            <w:tcBorders>
              <w:right w:val="single" w:sz="8" w:color="auto"/>
            </w:tcBorders>
          </w:tcPr>
          <w:p>
            <w:pPr>
              <w:jc w:val="right"/>
              <w:ind w:right="81"/>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Issuance of common stock for acquisitions</w:t>
            </w: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spacing w:after="0"/>
              <w:rPr>
                <w:sz w:val="19"/>
                <w:szCs w:val="19"/>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27.0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27.0</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8"/>
                <w:szCs w:val="18"/>
                <w:color w:val="auto"/>
              </w:rPr>
            </w:pPr>
          </w:p>
        </w:tc>
        <w:tc>
          <w:tcPr>
            <w:tcW w:w="1300" w:type="dxa"/>
            <w:vAlign w:val="bottom"/>
            <w:tcBorders>
              <w:right w:val="single" w:sz="8" w:color="auto"/>
            </w:tcBorders>
          </w:tcPr>
          <w:p>
            <w:pPr>
              <w:jc w:val="right"/>
              <w:ind w:right="81"/>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20" w:type="dxa"/>
            <w:vAlign w:val="bottom"/>
          </w:tcPr>
          <w:p>
            <w:pPr>
              <w:jc w:val="right"/>
              <w:ind w:right="38"/>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comprehensive income (loss), net of tax</w:t>
            </w: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Changes in noncontrolling interest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1"/>
                <w:szCs w:val="11"/>
                <w:color w:val="auto"/>
              </w:rPr>
              <w:t>15.0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March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right w:val="single" w:sz="8" w:color="auto"/>
            </w:tcBorders>
            <w:shd w:val="clear" w:color="auto" w:fill="CCEEFF"/>
          </w:tcPr>
          <w:p>
            <w:pPr>
              <w:jc w:val="right"/>
              <w:ind w:right="81"/>
              <w:spacing w:after="0"/>
              <w:rPr>
                <w:sz w:val="20"/>
                <w:szCs w:val="20"/>
                <w:color w:val="auto"/>
              </w:rPr>
            </w:pPr>
            <w:r>
              <w:rPr>
                <w:rFonts w:ascii="Arial" w:cs="Arial" w:eastAsia="Arial" w:hAnsi="Arial"/>
                <w:sz w:val="11"/>
                <w:szCs w:val="11"/>
                <w:color w:val="auto"/>
              </w:rPr>
              <w:t>15.0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105.9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1"/>
                <w:szCs w:val="11"/>
                <w:color w:val="auto"/>
              </w:rPr>
              <w:t>1,275.0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552.9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KRATOS DEFENSE &amp; SECURITY SOLUTIONS,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jc w:val="center"/>
        <w:spacing w:after="0" w:line="230" w:lineRule="auto"/>
        <w:rPr>
          <w:sz w:val="20"/>
          <w:szCs w:val="20"/>
          <w:color w:val="auto"/>
        </w:rPr>
      </w:pPr>
      <w:r>
        <w:rPr>
          <w:rFonts w:ascii="Arial" w:cs="Arial" w:eastAsia="Arial" w:hAnsi="Arial"/>
          <w:sz w:val="13"/>
          <w:szCs w:val="13"/>
          <w:b w:val="1"/>
          <w:bCs w:val="1"/>
          <w:color w:val="auto"/>
        </w:rPr>
        <w:t>(in millions)</w:t>
      </w:r>
    </w:p>
    <w:p>
      <w:pPr>
        <w:jc w:val="center"/>
        <w:spacing w:after="0"/>
        <w:rPr>
          <w:sz w:val="20"/>
          <w:szCs w:val="20"/>
          <w:color w:val="auto"/>
        </w:rPr>
      </w:pPr>
      <w:r>
        <w:rPr>
          <w:rFonts w:ascii="Arial" w:cs="Arial" w:eastAsia="Arial" w:hAnsi="Arial"/>
          <w:sz w:val="11"/>
          <w:szCs w:val="11"/>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2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1"/>
                <w:szCs w:val="11"/>
                <w:b w:val="1"/>
                <w:bCs w:val="1"/>
                <w:color w:val="auto"/>
              </w:rPr>
              <w:t>Three Months Ended</w:t>
            </w:r>
          </w:p>
        </w:tc>
        <w:tc>
          <w:tcPr>
            <w:tcW w:w="1460" w:type="dxa"/>
            <w:vAlign w:val="bottom"/>
            <w:tcBorders>
              <w:bottom w:val="single" w:sz="8" w:color="auto"/>
            </w:tcBorders>
          </w:tcPr>
          <w:p>
            <w:pPr>
              <w:spacing w:after="0"/>
              <w:rPr>
                <w:sz w:val="13"/>
                <w:szCs w:val="13"/>
                <w:color w:val="auto"/>
              </w:rPr>
            </w:pPr>
          </w:p>
        </w:tc>
      </w:tr>
      <w:tr>
        <w:trPr>
          <w:trHeight w:val="206"/>
        </w:trPr>
        <w:tc>
          <w:tcPr>
            <w:tcW w:w="72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March 31, 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April 1, 2018</w:t>
            </w:r>
          </w:p>
        </w:tc>
      </w:tr>
      <w:tr>
        <w:trPr>
          <w:trHeight w:val="19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15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520" w:type="dxa"/>
            <w:vAlign w:val="bottom"/>
          </w:tcPr>
          <w:p>
            <w:pPr>
              <w:jc w:val="right"/>
              <w:ind w:right="1358"/>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6"/>
                <w:szCs w:val="16"/>
                <w:color w:val="auto"/>
              </w:rPr>
            </w:pPr>
          </w:p>
        </w:tc>
        <w:tc>
          <w:tcPr>
            <w:tcW w:w="580" w:type="dxa"/>
            <w:vAlign w:val="bottom"/>
          </w:tcPr>
          <w:p>
            <w:pPr>
              <w:jc w:val="right"/>
              <w:ind w:right="435"/>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Less: Loss from discontinued operations</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9"/>
        </w:trPr>
        <w:tc>
          <w:tcPr>
            <w:tcW w:w="7220" w:type="dxa"/>
            <w:vAlign w:val="bottom"/>
          </w:tcPr>
          <w:p>
            <w:pPr>
              <w:ind w:left="140"/>
              <w:spacing w:after="0"/>
              <w:rPr>
                <w:sz w:val="20"/>
                <w:szCs w:val="20"/>
                <w:color w:val="auto"/>
              </w:rPr>
            </w:pPr>
            <w:r>
              <w:rPr>
                <w:rFonts w:ascii="Arial" w:cs="Arial" w:eastAsia="Arial" w:hAnsi="Arial"/>
                <w:sz w:val="13"/>
                <w:szCs w:val="13"/>
                <w:color w:val="auto"/>
              </w:rPr>
              <w:t>Income from continuing operations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1.3</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3"/>
              </w:rPr>
              <w:t>Adjustments to reconcile income from continuing operations to net cash provided by operating activities from continuing operations: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89"/>
        </w:trPr>
        <w:tc>
          <w:tcPr>
            <w:tcW w:w="722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4.5</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Amortization of lease right-of-use assets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9"/>
        </w:trPr>
        <w:tc>
          <w:tcPr>
            <w:tcW w:w="7220" w:type="dxa"/>
            <w:vAlign w:val="bottom"/>
          </w:tcPr>
          <w:p>
            <w:pPr>
              <w:ind w:left="300"/>
              <w:spacing w:after="0"/>
              <w:rPr>
                <w:sz w:val="20"/>
                <w:szCs w:val="20"/>
                <w:color w:val="auto"/>
              </w:rPr>
            </w:pPr>
            <w:r>
              <w:rPr>
                <w:rFonts w:ascii="Arial" w:cs="Arial" w:eastAsia="Arial" w:hAnsi="Arial"/>
                <w:sz w:val="13"/>
                <w:szCs w:val="13"/>
                <w:color w:val="auto"/>
              </w:rPr>
              <w:t>Stock-based compensation</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1.7</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Deferred income taxes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9"/>
        </w:trPr>
        <w:tc>
          <w:tcPr>
            <w:tcW w:w="7220" w:type="dxa"/>
            <w:vAlign w:val="bottom"/>
          </w:tcPr>
          <w:p>
            <w:pPr>
              <w:ind w:left="300"/>
              <w:spacing w:after="0"/>
              <w:rPr>
                <w:sz w:val="20"/>
                <w:szCs w:val="20"/>
                <w:color w:val="auto"/>
              </w:rPr>
            </w:pPr>
            <w:r>
              <w:rPr>
                <w:rFonts w:ascii="Arial" w:cs="Arial" w:eastAsia="Arial" w:hAnsi="Arial"/>
                <w:sz w:val="13"/>
                <w:szCs w:val="13"/>
                <w:color w:val="auto"/>
              </w:rPr>
              <w:t>Amortization of deferred financing costs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0.2</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Changes in assets and liabilities, net of acquisitions: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Accounts receivable</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16.4</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Unbilled receivables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Inventoried costs</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1.3</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Prepaid expenses and other assets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0.8</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Operating lease liabilities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Accounts payable</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Accrued compensation</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3"/>
                <w:szCs w:val="13"/>
                <w:color w:val="auto"/>
              </w:rPr>
              <w:t>3.8</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Accrued expenses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Advance payments received on contracts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Accrued interest</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4.9</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4.9</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Billings in excess of costs and earnings on uncompleted contracts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Income tax receivable and payable</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0.2</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Other liabilities</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Net cash provided by operating activities from continuing operations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16.0</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6.5</w:t>
            </w: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color w:val="auto"/>
              </w:rPr>
              <w:t>Investing activities: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paid for acquisitions, net of cash acquired</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Net cash used in investing activities from continuing operations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80"/>
        </w:trPr>
        <w:tc>
          <w:tcPr>
            <w:tcW w:w="722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1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Debt issuance costs</w:t>
            </w:r>
          </w:p>
        </w:tc>
        <w:tc>
          <w:tcPr>
            <w:tcW w:w="1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Proceeds (use) from the issuance of common stock</w:t>
            </w:r>
          </w:p>
        </w:tc>
        <w:tc>
          <w:tcPr>
            <w:tcW w:w="15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Repayment of debt</w:t>
            </w:r>
          </w:p>
        </w:tc>
        <w:tc>
          <w:tcPr>
            <w:tcW w:w="1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93"/>
        </w:trPr>
        <w:tc>
          <w:tcPr>
            <w:tcW w:w="7220" w:type="dxa"/>
            <w:vAlign w:val="bottom"/>
          </w:tcPr>
          <w:p>
            <w:pPr>
              <w:ind w:left="140"/>
              <w:spacing w:after="0"/>
              <w:rPr>
                <w:sz w:val="20"/>
                <w:szCs w:val="20"/>
                <w:color w:val="auto"/>
              </w:rPr>
            </w:pPr>
            <w:r>
              <w:rPr>
                <w:rFonts w:ascii="Arial" w:cs="Arial" w:eastAsia="Arial" w:hAnsi="Arial"/>
                <w:sz w:val="13"/>
                <w:szCs w:val="13"/>
                <w:color w:val="auto"/>
              </w:rPr>
              <w:t>Payments under finance leases</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35"/>
              <w:spacing w:after="0"/>
              <w:rPr>
                <w:sz w:val="20"/>
                <w:szCs w:val="20"/>
                <w:color w:val="auto"/>
              </w:rPr>
            </w:pPr>
            <w:r>
              <w:rPr>
                <w:rFonts w:ascii="Arial" w:cs="Arial" w:eastAsia="Arial" w:hAnsi="Arial"/>
                <w:sz w:val="14"/>
                <w:szCs w:val="14"/>
                <w:color w:val="auto"/>
              </w:rPr>
              <w:t>—</w:t>
            </w:r>
          </w:p>
        </w:tc>
      </w:tr>
      <w:tr>
        <w:trPr>
          <w:trHeight w:val="23"/>
        </w:trPr>
        <w:tc>
          <w:tcPr>
            <w:tcW w:w="7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Proceeds from exercise of restricted stock units, employee stock options, and employee stock purchase plan</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1.8</w:t>
            </w:r>
          </w:p>
        </w:tc>
      </w:tr>
      <w:tr>
        <w:trPr>
          <w:trHeight w:val="169"/>
        </w:trPr>
        <w:tc>
          <w:tcPr>
            <w:tcW w:w="7220" w:type="dxa"/>
            <w:vAlign w:val="bottom"/>
          </w:tcPr>
          <w:p>
            <w:pPr>
              <w:ind w:left="560"/>
              <w:spacing w:after="0"/>
              <w:rPr>
                <w:sz w:val="20"/>
                <w:szCs w:val="20"/>
                <w:color w:val="auto"/>
              </w:rPr>
            </w:pPr>
            <w:r>
              <w:rPr>
                <w:rFonts w:ascii="Arial" w:cs="Arial" w:eastAsia="Arial" w:hAnsi="Arial"/>
                <w:sz w:val="13"/>
                <w:szCs w:val="13"/>
                <w:color w:val="auto"/>
              </w:rPr>
              <w:t>Net cash provided by financing activities from continuing operations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0.4</w:t>
            </w: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flows of continuing operations</w:t>
            </w:r>
          </w:p>
        </w:tc>
        <w:tc>
          <w:tcPr>
            <w:tcW w:w="15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0.2</w:t>
            </w: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Net operating cash flows of discontinued operations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0.2</w:t>
            </w: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183.0</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130.9</w:t>
            </w:r>
          </w:p>
        </w:tc>
      </w:tr>
      <w:tr>
        <w:trPr>
          <w:trHeight w:val="188"/>
        </w:trPr>
        <w:tc>
          <w:tcPr>
            <w:tcW w:w="72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1520" w:type="dxa"/>
            <w:vAlign w:val="bottom"/>
            <w:tcBorders>
              <w:top w:val="single" w:sz="8" w:color="auto"/>
              <w:bottom w:val="single" w:sz="8" w:color="auto"/>
            </w:tcBorders>
          </w:tcPr>
          <w:p>
            <w:pPr>
              <w:jc w:val="right"/>
              <w:ind w:right="1358"/>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178.4</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128.2</w:t>
            </w: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9"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Summary of Significant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 references to the “Company” and “Kratos” refer to Kratos Defense &amp; Security Solutions, Inc., a Delaware corporation, and its subsidiaries.</w:t>
      </w:r>
    </w:p>
    <w:p>
      <w:pPr>
        <w:spacing w:after="0" w:line="180" w:lineRule="exact"/>
        <w:rPr>
          <w:sz w:val="20"/>
          <w:szCs w:val="20"/>
          <w:color w:val="auto"/>
        </w:rPr>
      </w:pPr>
    </w:p>
    <w:p>
      <w:pPr>
        <w:ind w:left="520" w:hanging="514"/>
        <w:spacing w:after="0"/>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w:t>
      </w:r>
    </w:p>
    <w:p>
      <w:pPr>
        <w:spacing w:after="0" w:line="188" w:lineRule="exact"/>
        <w:rPr>
          <w:sz w:val="20"/>
          <w:szCs w:val="20"/>
          <w:color w:val="auto"/>
        </w:rPr>
      </w:pPr>
    </w:p>
    <w:p>
      <w:pPr>
        <w:ind w:firstLine="551"/>
        <w:spacing w:after="0" w:line="261" w:lineRule="auto"/>
        <w:rPr>
          <w:sz w:val="20"/>
          <w:szCs w:val="20"/>
          <w:color w:val="auto"/>
        </w:rPr>
      </w:pPr>
      <w:r>
        <w:rPr>
          <w:rFonts w:ascii="Arial" w:cs="Arial" w:eastAsia="Arial" w:hAnsi="Arial"/>
          <w:sz w:val="14"/>
          <w:szCs w:val="14"/>
          <w:color w:val="auto"/>
        </w:rPr>
        <w:t>The information as of March 31, 2019 and for the three months ended March 31, 2019 and April 1, 2018 is unaudited. The condensed consolidated balance sheet as of December 30, 2018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30, 2018, included in the Company’s Annual Report on Form 10-K filed with the U.S. Securities and Exchange Commission (the “SEC”) on February 28, 2019 (the “Form 10-K”). Interim operating results are not necessarily indicative of operating results expected in subsequent periods or for the year as a whole.</w:t>
      </w:r>
    </w:p>
    <w:p>
      <w:pPr>
        <w:spacing w:after="0" w:line="151" w:lineRule="exact"/>
        <w:rPr>
          <w:sz w:val="20"/>
          <w:szCs w:val="20"/>
          <w:color w:val="auto"/>
        </w:rPr>
      </w:pPr>
    </w:p>
    <w:p>
      <w:pPr>
        <w:ind w:right="140" w:firstLine="517"/>
        <w:spacing w:after="0" w:line="294" w:lineRule="auto"/>
        <w:rPr>
          <w:sz w:val="20"/>
          <w:szCs w:val="20"/>
          <w:color w:val="auto"/>
        </w:rPr>
      </w:pPr>
      <w:r>
        <w:rPr>
          <w:rFonts w:ascii="Arial" w:cs="Arial" w:eastAsia="Arial" w:hAnsi="Arial"/>
          <w:sz w:val="13"/>
          <w:szCs w:val="13"/>
          <w:color w:val="auto"/>
        </w:rPr>
        <w:t>As discussed in “Acquisition” in Note 2, on February 27, 2019, the Company acquired 80.1% of the issued and outstanding shares of capital stock of Florida Turbine Technologies Inc. (“FTT Inc.”), and 80.1% of the membership interests in FTT CORE, LLC, (“FTT Core” and, together with FTT Inc.,“FTT”) for an aggregate purchase price of approximately $60 million. FTT is now Kratos Turbine Technologies Division (the ”KTT Division”), which is focused on the development and production of small, affordable, high-performance, jet engines for the next generation of tactical weapon systems and tactical jet unmanned aerial systems (“UAS”). The KTT Division is included in the Kratos Government Solutions (“KGS”) Segment.</w:t>
      </w:r>
    </w:p>
    <w:p>
      <w:pPr>
        <w:spacing w:after="0" w:line="126" w:lineRule="exact"/>
        <w:rPr>
          <w:sz w:val="20"/>
          <w:szCs w:val="20"/>
          <w:color w:val="auto"/>
        </w:rPr>
      </w:pPr>
    </w:p>
    <w:p>
      <w:pPr>
        <w:ind w:left="520" w:hanging="514"/>
        <w:spacing w:after="0"/>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Principles of Consolidation</w:t>
      </w:r>
    </w:p>
    <w:p>
      <w:pPr>
        <w:spacing w:after="0" w:line="188" w:lineRule="exact"/>
        <w:rPr>
          <w:sz w:val="20"/>
          <w:szCs w:val="20"/>
          <w:color w:val="auto"/>
        </w:rPr>
      </w:pPr>
    </w:p>
    <w:p>
      <w:pPr>
        <w:ind w:firstLine="517"/>
        <w:spacing w:after="0" w:line="272" w:lineRule="auto"/>
        <w:rPr>
          <w:sz w:val="20"/>
          <w:szCs w:val="20"/>
          <w:color w:val="auto"/>
        </w:rPr>
      </w:pPr>
      <w:r>
        <w:rPr>
          <w:rFonts w:ascii="Arial" w:cs="Arial" w:eastAsia="Arial" w:hAnsi="Arial"/>
          <w:sz w:val="14"/>
          <w:szCs w:val="14"/>
          <w:color w:val="auto"/>
        </w:rPr>
        <w:t>The condensed consolidated financial statements include the accounts of the Company and its 100% owned and majority owned subsidiaries, FTT Inc. and FTT Core,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38" w:lineRule="exact"/>
        <w:rPr>
          <w:sz w:val="20"/>
          <w:szCs w:val="20"/>
          <w:color w:val="auto"/>
        </w:rPr>
      </w:pPr>
    </w:p>
    <w:p>
      <w:pPr>
        <w:ind w:left="520" w:hanging="514"/>
        <w:spacing w:after="0"/>
        <w:tabs>
          <w:tab w:leader="none" w:pos="52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has a 52/53 week fiscal year ending on the last Sunday of the calendar year. The three month periods ended March 31, 2019 and April 1, 2018 consisted of 13-week periods.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There are 52 calendar weeks in the fiscal years ending on December 29, 2019 and December 30, 2018.</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(d)</w:t>
      </w:r>
      <w:r>
        <w:rPr>
          <w:sz w:val="20"/>
          <w:szCs w:val="20"/>
          <w:color w:val="auto"/>
        </w:rPr>
        <w:tab/>
      </w:r>
      <w:r>
        <w:rPr>
          <w:rFonts w:ascii="Arial" w:cs="Arial" w:eastAsia="Arial" w:hAnsi="Arial"/>
          <w:sz w:val="12"/>
          <w:szCs w:val="12"/>
          <w:b w:val="1"/>
          <w:bCs w:val="1"/>
          <w:color w:val="auto"/>
        </w:rPr>
        <w:t>Accounting Estimates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There have been no significant changes in the Company’s accounting estimates for the three months ended March 31, 2019 as compared to the accounting estimates described in the Form</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10-K.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(e)</w:t>
      </w:r>
      <w:r>
        <w:rPr>
          <w:sz w:val="20"/>
          <w:szCs w:val="20"/>
          <w:color w:val="auto"/>
        </w:rPr>
        <w:tab/>
      </w:r>
      <w:r>
        <w:rPr>
          <w:rFonts w:ascii="Arial" w:cs="Arial" w:eastAsia="Arial" w:hAnsi="Arial"/>
          <w:sz w:val="12"/>
          <w:szCs w:val="12"/>
          <w:b w:val="1"/>
          <w:bCs w:val="1"/>
          <w:color w:val="auto"/>
        </w:rPr>
        <w:t>Accounting Standards Updates</w:t>
      </w:r>
    </w:p>
    <w:p>
      <w:pPr>
        <w:spacing w:after="0" w:line="188" w:lineRule="exact"/>
        <w:rPr>
          <w:sz w:val="20"/>
          <w:szCs w:val="20"/>
          <w:color w:val="auto"/>
        </w:rPr>
      </w:pPr>
    </w:p>
    <w:p>
      <w:pPr>
        <w:ind w:right="140" w:firstLine="517"/>
        <w:spacing w:after="0" w:line="289" w:lineRule="auto"/>
        <w:rPr>
          <w:sz w:val="20"/>
          <w:szCs w:val="20"/>
          <w:color w:val="auto"/>
        </w:rPr>
      </w:pPr>
      <w:r>
        <w:rPr>
          <w:rFonts w:ascii="Arial" w:cs="Arial" w:eastAsia="Arial" w:hAnsi="Arial"/>
          <w:sz w:val="13"/>
          <w:szCs w:val="13"/>
          <w:color w:val="auto"/>
        </w:rPr>
        <w:t xml:space="preserve">In February 2016, the FASB issued ASU 2016-02 (“ASU 2016-02”), </w:t>
      </w:r>
      <w:r>
        <w:rPr>
          <w:rFonts w:ascii="Arial" w:cs="Arial" w:eastAsia="Arial" w:hAnsi="Arial"/>
          <w:sz w:val="13"/>
          <w:szCs w:val="13"/>
          <w:i w:val="1"/>
          <w:iCs w:val="1"/>
          <w:color w:val="auto"/>
        </w:rPr>
        <w:t>Leases</w:t>
      </w:r>
      <w:r>
        <w:rPr>
          <w:rFonts w:ascii="Arial" w:cs="Arial" w:eastAsia="Arial" w:hAnsi="Arial"/>
          <w:sz w:val="13"/>
          <w:szCs w:val="13"/>
          <w:color w:val="auto"/>
        </w:rPr>
        <w:t>, also referred to as “ASC 842”</w:t>
      </w:r>
      <w:r>
        <w:rPr>
          <w:rFonts w:ascii="Arial" w:cs="Arial" w:eastAsia="Arial" w:hAnsi="Arial"/>
          <w:sz w:val="13"/>
          <w:szCs w:val="13"/>
          <w:i w:val="1"/>
          <w:iCs w:val="1"/>
          <w:color w:val="auto"/>
        </w:rPr>
        <w:t>.</w:t>
      </w:r>
      <w:r>
        <w:rPr>
          <w:rFonts w:ascii="Arial" w:cs="Arial" w:eastAsia="Arial" w:hAnsi="Arial"/>
          <w:sz w:val="13"/>
          <w:szCs w:val="13"/>
          <w:color w:val="auto"/>
        </w:rPr>
        <w:t xml:space="preserve"> ASU 2016-02 requires that lessees recognize assets and liabilities for the rights and obligations underlying leases with a lease term of more than one year. The amendments in this ASU are effective for annual periods beginning after December 15, 2018. In July 2018, the FASB issued ASU 2018-11, </w:t>
      </w:r>
      <w:r>
        <w:rPr>
          <w:rFonts w:ascii="Arial" w:cs="Arial" w:eastAsia="Arial" w:hAnsi="Arial"/>
          <w:sz w:val="13"/>
          <w:szCs w:val="13"/>
          <w:i w:val="1"/>
          <w:iCs w:val="1"/>
          <w:color w:val="auto"/>
        </w:rPr>
        <w:t>Leases; Targeted Improvements</w:t>
      </w:r>
      <w:r>
        <w:rPr>
          <w:rFonts w:ascii="Arial" w:cs="Arial" w:eastAsia="Arial" w:hAnsi="Arial"/>
          <w:sz w:val="13"/>
          <w:szCs w:val="13"/>
          <w:color w:val="auto"/>
        </w:rPr>
        <w:t xml:space="preserve">, which, among other things, allows a company to elect an optional transition method that applies the new lease requirements through a cumulative-effect adjustment in the period of adoption. The Company adopted this standard on December 31, 2018 using the optional transition method, and, as a result, did not recast prior period unaudited condensed comparative financial statements. All prior period amounts and disclosures are presented under Accounting Standards Codification Topic 840,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840”).</w:t>
      </w:r>
    </w:p>
    <w:p>
      <w:pPr>
        <w:spacing w:after="0" w:line="134" w:lineRule="exact"/>
        <w:rPr>
          <w:sz w:val="20"/>
          <w:szCs w:val="20"/>
          <w:color w:val="auto"/>
        </w:rPr>
      </w:pPr>
    </w:p>
    <w:p>
      <w:pPr>
        <w:ind w:firstLine="517"/>
        <w:spacing w:after="0" w:line="287" w:lineRule="auto"/>
        <w:rPr>
          <w:sz w:val="20"/>
          <w:szCs w:val="20"/>
          <w:color w:val="auto"/>
        </w:rPr>
      </w:pPr>
      <w:r>
        <w:rPr>
          <w:rFonts w:ascii="Arial" w:cs="Arial" w:eastAsia="Arial" w:hAnsi="Arial"/>
          <w:sz w:val="13"/>
          <w:szCs w:val="13"/>
          <w:color w:val="auto"/>
        </w:rPr>
        <w:t>The Company has revised its controls and processes to address the new lease standard and has completed the implementation and data input for our lease accounting software tool. The Company is electing the package of practical expedients, which, among other things, allows carry-forward of prior lease classifications under the prior standard. However, the Company is not electing to adopt the hindsight practical expedient and is therefore maintaining the lease terms previously determined under the prior lease standard. For all new and modified leases after adoption of the ASU, the Company has taken the component election allowing the Company to account for lease components together with non lease components in the calculation of the lease asset and corresponding liability. Adoption of the new standard resulted in the recording of additional lease assets and lease liabilities on the unaudited condensed consolidated balance sheet. No cumulative-effect adjustment was recognized as the amount was not material, and the impact on the Company’s results of operations and cash flows was also not material. See Note 8 for additional disclosures.</w:t>
      </w:r>
    </w:p>
    <w:p>
      <w:pPr>
        <w:spacing w:after="0" w:line="134" w:lineRule="exact"/>
        <w:rPr>
          <w:sz w:val="20"/>
          <w:szCs w:val="20"/>
          <w:color w:val="auto"/>
        </w:rPr>
      </w:pPr>
    </w:p>
    <w:p>
      <w:pPr>
        <w:ind w:right="60" w:firstLine="517"/>
        <w:spacing w:after="0" w:line="267" w:lineRule="auto"/>
        <w:rPr>
          <w:sz w:val="20"/>
          <w:szCs w:val="20"/>
          <w:color w:val="auto"/>
        </w:rPr>
      </w:pPr>
      <w:r>
        <w:rPr>
          <w:rFonts w:ascii="Arial" w:cs="Arial" w:eastAsia="Arial" w:hAnsi="Arial"/>
          <w:sz w:val="14"/>
          <w:szCs w:val="14"/>
          <w:color w:val="auto"/>
        </w:rPr>
        <w:t xml:space="preserve">In February 2018, the FASB issued ASU 2018-02 (“ASU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xml:space="preserve"> (“AOCI”). ASU 2018-02 provides entities the option to reclassify tax effects to retained earnings from AOCI which are impacted by the Tax Cuts and Jobs Act (“TCJA”). This ASU is effective for fiscal years beginning after December 15, 2018 but early adoption is permitted. The Company adopted this standard on December 31, 2018. The Company has a full valuation allowance for all tax benefits related to AOCI, and therefore, there are no tax effects to be reclassified to retained earnings.</w:t>
      </w:r>
    </w:p>
    <w:p>
      <w:pPr>
        <w:spacing w:after="0" w:line="142" w:lineRule="exact"/>
        <w:rPr>
          <w:sz w:val="20"/>
          <w:szCs w:val="20"/>
          <w:color w:val="auto"/>
        </w:rPr>
      </w:pPr>
    </w:p>
    <w:p>
      <w:pPr>
        <w:ind w:left="520" w:hanging="514"/>
        <w:spacing w:after="0"/>
        <w:tabs>
          <w:tab w:leader="none" w:pos="52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88" w:lineRule="exact"/>
        <w:rPr>
          <w:sz w:val="20"/>
          <w:szCs w:val="20"/>
          <w:color w:val="auto"/>
        </w:rPr>
      </w:pPr>
    </w:p>
    <w:p>
      <w:pPr>
        <w:ind w:right="60" w:firstLine="517"/>
        <w:spacing w:after="0" w:line="267" w:lineRule="auto"/>
        <w:rPr>
          <w:sz w:val="20"/>
          <w:szCs w:val="20"/>
          <w:color w:val="auto"/>
        </w:rPr>
      </w:pPr>
      <w:r>
        <w:rPr>
          <w:rFonts w:ascii="Arial" w:cs="Arial" w:eastAsia="Arial" w:hAnsi="Arial"/>
          <w:sz w:val="14"/>
          <w:szCs w:val="14"/>
          <w:color w:val="auto"/>
        </w:rPr>
        <w:t>The carrying amounts and the related estimated fair values of the Company’s long-term debt financial instruments not measured at fair value on a recurring basis at March 31, 2019 and December 30, 2018 are presented in Note 10.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March 31, 2019 and December 30, 2018 due to the short-term nature of these instruments.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Acquisition</w:t>
      </w:r>
    </w:p>
    <w:p>
      <w:pPr>
        <w:spacing w:after="0" w:line="188"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On February 27, 2019, the Company acquired 80.1% of the issued and outstanding shares of capital stock of FTT Inc., and 80.1% of the membership interests in FTT Core for an aggregate purchase price of approximately $60 million. The purchase price was $33 million in cash, with approximately $17.7 million paid at close and approximately $15.3 million to be paid over a three year period, subject to adjustments for transaction expenses, indebtedness, cash on hand, certain amounts payable or potentially payable to employees of FTT and post-closing working capital adjustments, and 1,825,406 shares of common stock (with a value of approximately $27 million).</w:t>
      </w:r>
    </w:p>
    <w:p>
      <w:pPr>
        <w:spacing w:after="0" w:line="146" w:lineRule="exact"/>
        <w:rPr>
          <w:sz w:val="20"/>
          <w:szCs w:val="20"/>
          <w:color w:val="auto"/>
        </w:rPr>
      </w:pPr>
    </w:p>
    <w:p>
      <w:pPr>
        <w:ind w:right="100" w:firstLine="517"/>
        <w:spacing w:after="0" w:line="272" w:lineRule="auto"/>
        <w:rPr>
          <w:sz w:val="20"/>
          <w:szCs w:val="20"/>
          <w:color w:val="auto"/>
        </w:rPr>
      </w:pPr>
      <w:r>
        <w:rPr>
          <w:rFonts w:ascii="Arial" w:cs="Arial" w:eastAsia="Arial" w:hAnsi="Arial"/>
          <w:sz w:val="14"/>
          <w:szCs w:val="14"/>
          <w:color w:val="auto"/>
        </w:rPr>
        <w:t>FTT is a leading turbomachinery design and manufacturing company specializing in engineering, development, and testing of gas turbines, propulsion components, and systems for military and commercial applications. FTT is now the KTT Division, which is focused on the development and production of small, affordable, high-performance, jet engines for the next generation of tactical weapon systems and tactical jet UAS. The KTT Division is included in the KGS Segment.</w:t>
      </w:r>
    </w:p>
    <w:p>
      <w:pPr>
        <w:spacing w:after="0" w:line="142" w:lineRule="exact"/>
        <w:rPr>
          <w:sz w:val="20"/>
          <w:szCs w:val="20"/>
          <w:color w:val="auto"/>
        </w:rPr>
      </w:pPr>
    </w:p>
    <w:p>
      <w:pPr>
        <w:jc w:val="both"/>
        <w:ind w:right="480" w:firstLine="517"/>
        <w:spacing w:after="0" w:line="272" w:lineRule="auto"/>
        <w:rPr>
          <w:sz w:val="20"/>
          <w:szCs w:val="20"/>
          <w:color w:val="auto"/>
        </w:rPr>
      </w:pPr>
      <w:r>
        <w:rPr>
          <w:rFonts w:ascii="Arial" w:cs="Arial" w:eastAsia="Arial" w:hAnsi="Arial"/>
          <w:sz w:val="14"/>
          <w:szCs w:val="14"/>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142" w:lineRule="exact"/>
        <w:rPr>
          <w:sz w:val="20"/>
          <w:szCs w:val="20"/>
          <w:color w:val="auto"/>
        </w:rPr>
      </w:pPr>
    </w:p>
    <w:p>
      <w:pPr>
        <w:ind w:firstLine="647"/>
        <w:spacing w:after="0" w:line="328" w:lineRule="auto"/>
        <w:rPr>
          <w:sz w:val="20"/>
          <w:szCs w:val="20"/>
          <w:color w:val="auto"/>
        </w:rPr>
      </w:pPr>
      <w:r>
        <w:rPr>
          <w:rFonts w:ascii="Arial" w:cs="Arial" w:eastAsia="Arial" w:hAnsi="Arial"/>
          <w:sz w:val="13"/>
          <w:szCs w:val="13"/>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an assumed enterprise value of 12 times the trailing 12 months EBITDA of FTT Inc., FTT Core and each of their respective subsidiaries (the “Acquired Companies”), subject to adjustment as set forth in the Exchange Agreement (the “Minority Interest Purchase Price”) (provided, however, that following certain events, including a change of control, the Put Right will be accelerated and the Minority Interest Purchase Price will be increased to 14 times the trailing 12 months EBITDA of the Acquired Companies), and (iii) beginning in January 2025, the Company will have an annual right to purchase all of the Minority Interests from the Holders at the Minority Interest Purchase Price.</w:t>
      </w:r>
    </w:p>
    <w:p>
      <w:pPr>
        <w:spacing w:after="0" w:line="148" w:lineRule="exact"/>
        <w:rPr>
          <w:sz w:val="20"/>
          <w:szCs w:val="20"/>
          <w:color w:val="auto"/>
        </w:rPr>
      </w:pPr>
    </w:p>
    <w:p>
      <w:pPr>
        <w:ind w:right="160" w:firstLine="517"/>
        <w:spacing w:after="0" w:line="267" w:lineRule="auto"/>
        <w:rPr>
          <w:sz w:val="20"/>
          <w:szCs w:val="20"/>
          <w:color w:val="auto"/>
        </w:rPr>
      </w:pPr>
      <w:r>
        <w:rPr>
          <w:rFonts w:ascii="Arial" w:cs="Arial" w:eastAsia="Arial" w:hAnsi="Arial"/>
          <w:sz w:val="14"/>
          <w:szCs w:val="14"/>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 thus represent Level 3 measurements. The following table summarizes the provisional allocation of the purchase price over the estimated fair values of the major assets acquired, liabilities assumed, and noncontrolling interest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193"/>
        </w:trPr>
        <w:tc>
          <w:tcPr>
            <w:tcW w:w="9520" w:type="dxa"/>
            <w:vAlign w:val="bottom"/>
          </w:tcPr>
          <w:p>
            <w:pPr>
              <w:ind w:left="20"/>
              <w:spacing w:after="0"/>
              <w:rPr>
                <w:sz w:val="20"/>
                <w:szCs w:val="20"/>
                <w:color w:val="auto"/>
              </w:rPr>
            </w:pPr>
            <w:r>
              <w:rPr>
                <w:rFonts w:ascii="Arial" w:cs="Arial" w:eastAsia="Arial" w:hAnsi="Arial"/>
                <w:sz w:val="14"/>
                <w:szCs w:val="14"/>
                <w:color w:val="auto"/>
              </w:rPr>
              <w:t>Unbilled receivables</w:t>
            </w:r>
          </w:p>
        </w:tc>
        <w:tc>
          <w:tcPr>
            <w:tcW w:w="8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3"/>
        </w:trPr>
        <w:tc>
          <w:tcPr>
            <w:tcW w:w="9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Inventoried costs</w:t>
            </w:r>
          </w:p>
        </w:tc>
        <w:tc>
          <w:tcPr>
            <w:tcW w:w="8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193"/>
        </w:trPr>
        <w:tc>
          <w:tcPr>
            <w:tcW w:w="952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8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3"/>
        </w:trPr>
        <w:tc>
          <w:tcPr>
            <w:tcW w:w="9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8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r>
      <w:tr>
        <w:trPr>
          <w:trHeight w:val="193"/>
        </w:trPr>
        <w:tc>
          <w:tcPr>
            <w:tcW w:w="952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8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19.8</w:t>
            </w:r>
          </w:p>
        </w:tc>
      </w:tr>
      <w:tr>
        <w:trPr>
          <w:trHeight w:val="23"/>
        </w:trPr>
        <w:tc>
          <w:tcPr>
            <w:tcW w:w="9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8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r>
      <w:tr>
        <w:trPr>
          <w:trHeight w:val="184"/>
        </w:trPr>
        <w:tc>
          <w:tcPr>
            <w:tcW w:w="9520" w:type="dxa"/>
            <w:vAlign w:val="bottom"/>
          </w:tcPr>
          <w:p>
            <w:pPr>
              <w:ind w:left="100"/>
              <w:spacing w:after="0"/>
              <w:rPr>
                <w:sz w:val="20"/>
                <w:szCs w:val="20"/>
                <w:color w:val="auto"/>
              </w:rPr>
            </w:pPr>
            <w:r>
              <w:rPr>
                <w:rFonts w:ascii="Arial" w:cs="Arial" w:eastAsia="Arial" w:hAnsi="Arial"/>
                <w:sz w:val="14"/>
                <w:szCs w:val="14"/>
                <w:color w:val="auto"/>
              </w:rPr>
              <w:t>Total identifiable net assets acquired</w:t>
            </w:r>
          </w:p>
        </w:tc>
        <w:tc>
          <w:tcPr>
            <w:tcW w:w="8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84.0</w:t>
            </w:r>
          </w:p>
        </w:tc>
      </w:tr>
      <w:tr>
        <w:trPr>
          <w:trHeight w:val="23"/>
        </w:trPr>
        <w:tc>
          <w:tcPr>
            <w:tcW w:w="9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identifiable net liabilities assumed</w:t>
            </w:r>
          </w:p>
        </w:tc>
        <w:tc>
          <w:tcPr>
            <w:tcW w:w="8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4"/>
        </w:trPr>
        <w:tc>
          <w:tcPr>
            <w:tcW w:w="9520" w:type="dxa"/>
            <w:vAlign w:val="bottom"/>
          </w:tcPr>
          <w:p>
            <w:pPr>
              <w:ind w:left="100"/>
              <w:spacing w:after="0"/>
              <w:rPr>
                <w:sz w:val="20"/>
                <w:szCs w:val="20"/>
                <w:color w:val="auto"/>
              </w:rPr>
            </w:pPr>
            <w:r>
              <w:rPr>
                <w:rFonts w:ascii="Arial" w:cs="Arial" w:eastAsia="Arial" w:hAnsi="Arial"/>
                <w:sz w:val="14"/>
                <w:szCs w:val="14"/>
                <w:color w:val="auto"/>
              </w:rPr>
              <w:t>Net assets before noncontrolling interest</w:t>
            </w:r>
          </w:p>
        </w:tc>
        <w:tc>
          <w:tcPr>
            <w:tcW w:w="8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75.0</w:t>
            </w:r>
          </w:p>
        </w:tc>
      </w:tr>
      <w:tr>
        <w:trPr>
          <w:trHeight w:val="23"/>
        </w:trPr>
        <w:tc>
          <w:tcPr>
            <w:tcW w:w="9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8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00"/>
        </w:trPr>
        <w:tc>
          <w:tcPr>
            <w:tcW w:w="9520" w:type="dxa"/>
            <w:vAlign w:val="bottom"/>
          </w:tcPr>
          <w:p>
            <w:pPr>
              <w:ind w:left="100"/>
              <w:spacing w:after="0"/>
              <w:rPr>
                <w:sz w:val="20"/>
                <w:szCs w:val="20"/>
                <w:color w:val="auto"/>
              </w:rPr>
            </w:pPr>
            <w:r>
              <w:rPr>
                <w:rFonts w:ascii="Arial" w:cs="Arial" w:eastAsia="Arial" w:hAnsi="Arial"/>
                <w:sz w:val="14"/>
                <w:szCs w:val="14"/>
                <w:color w:val="auto"/>
              </w:rPr>
              <w:t>Net assets acquired, excluding cash</w:t>
            </w: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60.0</w:t>
            </w:r>
          </w:p>
        </w:tc>
      </w:tr>
      <w:tr>
        <w:trPr>
          <w:trHeight w:val="20"/>
        </w:trPr>
        <w:tc>
          <w:tcPr>
            <w:tcW w:w="9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right="20" w:firstLine="517"/>
        <w:spacing w:after="0" w:line="283" w:lineRule="auto"/>
        <w:rPr>
          <w:sz w:val="20"/>
          <w:szCs w:val="20"/>
          <w:color w:val="auto"/>
        </w:rPr>
      </w:pPr>
      <w:r>
        <w:rPr>
          <w:rFonts w:ascii="Arial" w:cs="Arial" w:eastAsia="Arial" w:hAnsi="Arial"/>
          <w:sz w:val="13"/>
          <w:szCs w:val="13"/>
          <w:color w:val="auto"/>
        </w:rPr>
        <w:t>As of February 27, 2019, net liabilities include $7.7 million of current liabilities and $1.3 million of long-term liabilities. There was no contingent purchase consideration associated with the acquisition of an 80.1% majority interest in FTT. The amounts above represent the provisional fair value estimates as of March 31, 2019 and are subject to subsequent adjustment as the Company obtains additional information during the measurement period and finalizes its fair value estimates. If an adjustment to the provisional amounts recognized is subsequently identified during the measurement period, the Company will recognize the adjustment in the reporting period in which the adjustment amount is determined, including recording cumulative catch-up changes to depreciation, amortization, or other income statement effects recognized in completing the initial accounting. The provisional identifiable intangible asset estimates include customer relationships of $11.2 million with a useful life of 10 years, in-process research and development of $6.0 million that will commence amortization at the completion of the development project, backlog of $2.2 million with a useful life of 2 years, and trade name of $0.4 million with a useful life of 1 year. Any subsequent adjustments to these fair value estimates occurring during the measurement period will result in an adjustment to goodwill. The Company also established a deferred tax liability of $4.4 million for the increase in the financial statement basis of the acquired assets of FTT and a corresponding increase in goodwill. The goodwill recorded in this transaction is not expected to be tax-deductible.</w:t>
      </w:r>
    </w:p>
    <w:p>
      <w:pPr>
        <w:spacing w:after="0" w:line="138" w:lineRule="exact"/>
        <w:rPr>
          <w:sz w:val="20"/>
          <w:szCs w:val="20"/>
          <w:color w:val="auto"/>
        </w:rPr>
      </w:pPr>
    </w:p>
    <w:p>
      <w:pPr>
        <w:ind w:right="80" w:firstLine="517"/>
        <w:spacing w:after="0" w:line="272" w:lineRule="auto"/>
        <w:rPr>
          <w:sz w:val="20"/>
          <w:szCs w:val="20"/>
          <w:color w:val="auto"/>
        </w:rPr>
      </w:pPr>
      <w:r>
        <w:rPr>
          <w:rFonts w:ascii="Arial" w:cs="Arial" w:eastAsia="Arial" w:hAnsi="Arial"/>
          <w:sz w:val="14"/>
          <w:szCs w:val="14"/>
          <w:color w:val="auto"/>
        </w:rPr>
        <w:t>The amounts of revenue and operating income of FTT included in the Company's condensed consolidated statement of operations for the three months ended March 31, 2019 are $4.2 million and $0.1 million, respectively. Included in the unallocated corporate expense, net, for the three months ended March 31, 2019 is transaction expenses of $1.2 million related to the acquisition of FTT.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99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8"/>
        </w:trPr>
        <w:tc>
          <w:tcPr>
            <w:tcW w:w="9980" w:type="dxa"/>
            <w:vAlign w:val="bottom"/>
            <w:gridSpan w:val="2"/>
          </w:tcPr>
          <w:p>
            <w:pPr>
              <w:ind w:left="520"/>
              <w:spacing w:after="0"/>
              <w:rPr>
                <w:sz w:val="20"/>
                <w:szCs w:val="20"/>
                <w:color w:val="auto"/>
              </w:rPr>
            </w:pPr>
            <w:r>
              <w:rPr>
                <w:rFonts w:ascii="Arial" w:cs="Arial" w:eastAsia="Arial" w:hAnsi="Arial"/>
                <w:sz w:val="14"/>
                <w:szCs w:val="14"/>
                <w:color w:val="auto"/>
              </w:rPr>
              <w:t>A summary of the consideration paid for the acquired ownership in FTT is as follow:</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9"/>
        </w:trPr>
        <w:tc>
          <w:tcPr>
            <w:tcW w:w="10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96"/>
        </w:trPr>
        <w:tc>
          <w:tcPr>
            <w:tcW w:w="9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paid</w:t>
            </w: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r>
      <w:tr>
        <w:trPr>
          <w:trHeight w:val="193"/>
        </w:trPr>
        <w:tc>
          <w:tcPr>
            <w:tcW w:w="9980" w:type="dxa"/>
            <w:vAlign w:val="bottom"/>
            <w:gridSpan w:val="2"/>
          </w:tcPr>
          <w:p>
            <w:pPr>
              <w:ind w:left="20"/>
              <w:spacing w:after="0"/>
              <w:rPr>
                <w:sz w:val="20"/>
                <w:szCs w:val="20"/>
                <w:color w:val="auto"/>
              </w:rPr>
            </w:pPr>
            <w:r>
              <w:rPr>
                <w:rFonts w:ascii="Arial" w:cs="Arial" w:eastAsia="Arial" w:hAnsi="Arial"/>
                <w:sz w:val="14"/>
                <w:szCs w:val="14"/>
                <w:color w:val="auto"/>
              </w:rPr>
              <w:t>Deferred purchase consideration</w:t>
            </w:r>
          </w:p>
        </w:tc>
        <w:tc>
          <w:tcPr>
            <w:tcW w:w="6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3"/>
        </w:trPr>
        <w:tc>
          <w:tcPr>
            <w:tcW w:w="10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9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issued</w:t>
            </w:r>
          </w:p>
        </w:tc>
        <w:tc>
          <w:tcPr>
            <w:tcW w:w="6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r>
      <w:tr>
        <w:trPr>
          <w:trHeight w:val="184"/>
        </w:trPr>
        <w:tc>
          <w:tcPr>
            <w:tcW w:w="10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63.0</w:t>
            </w:r>
          </w:p>
        </w:tc>
      </w:tr>
      <w:tr>
        <w:trPr>
          <w:trHeight w:val="23"/>
        </w:trPr>
        <w:tc>
          <w:tcPr>
            <w:tcW w:w="10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9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Less: Cash acquired</w:t>
            </w:r>
          </w:p>
        </w:tc>
        <w:tc>
          <w:tcPr>
            <w:tcW w:w="6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9980" w:type="dxa"/>
            <w:vAlign w:val="bottom"/>
            <w:gridSpan w:val="2"/>
          </w:tcPr>
          <w:p>
            <w:pPr>
              <w:ind w:left="20"/>
              <w:spacing w:after="0"/>
              <w:rPr>
                <w:sz w:val="20"/>
                <w:szCs w:val="20"/>
                <w:color w:val="auto"/>
              </w:rPr>
            </w:pPr>
            <w:r>
              <w:rPr>
                <w:rFonts w:ascii="Arial" w:cs="Arial" w:eastAsia="Arial" w:hAnsi="Arial"/>
                <w:sz w:val="14"/>
                <w:szCs w:val="14"/>
                <w:color w:val="auto"/>
              </w:rPr>
              <w:t>Total consideration</w:t>
            </w: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60.0</w:t>
            </w:r>
          </w:p>
        </w:tc>
      </w:tr>
      <w:tr>
        <w:trPr>
          <w:trHeight w:val="20"/>
        </w:trPr>
        <w:tc>
          <w:tcPr>
            <w:tcW w:w="10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Pro Forma Financial Information</w:t>
      </w:r>
    </w:p>
    <w:p>
      <w:pPr>
        <w:spacing w:after="0" w:line="188" w:lineRule="exact"/>
        <w:rPr>
          <w:sz w:val="20"/>
          <w:szCs w:val="20"/>
          <w:color w:val="auto"/>
        </w:rPr>
      </w:pPr>
    </w:p>
    <w:p>
      <w:pPr>
        <w:ind w:firstLine="517"/>
        <w:spacing w:after="0" w:line="264" w:lineRule="auto"/>
        <w:rPr>
          <w:sz w:val="20"/>
          <w:szCs w:val="20"/>
          <w:color w:val="auto"/>
        </w:rPr>
      </w:pPr>
      <w:r>
        <w:rPr>
          <w:rFonts w:ascii="Arial" w:cs="Arial" w:eastAsia="Arial" w:hAnsi="Arial"/>
          <w:sz w:val="14"/>
          <w:szCs w:val="14"/>
          <w:color w:val="auto"/>
        </w:rPr>
        <w:t>The following tables summarize the supplemental condensed consolidated statements of operations information on an unaudited pro forma basis as if the acquisition of FTT occurred on December 31, 2018 and include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 (all amounts, except per share amounts are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20" w:type="dxa"/>
            <w:vAlign w:val="bottom"/>
          </w:tcPr>
          <w:p>
            <w:pPr>
              <w:ind w:left="520"/>
              <w:spacing w:after="0"/>
              <w:rPr>
                <w:sz w:val="20"/>
                <w:szCs w:val="20"/>
                <w:color w:val="auto"/>
              </w:rPr>
            </w:pPr>
            <w:r>
              <w:rPr>
                <w:rFonts w:ascii="Arial" w:cs="Arial" w:eastAsia="Arial" w:hAnsi="Arial"/>
                <w:sz w:val="14"/>
                <w:szCs w:val="14"/>
                <w:color w:val="auto"/>
              </w:rPr>
              <w:t>For the three months ended March 31, 2019 (in millions):</w:t>
            </w:r>
          </w:p>
        </w:tc>
        <w:tc>
          <w:tcPr>
            <w:tcW w:w="36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09"/>
        </w:trPr>
        <w:tc>
          <w:tcPr>
            <w:tcW w:w="69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9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revenues</w:t>
            </w:r>
          </w:p>
        </w:tc>
        <w:tc>
          <w:tcPr>
            <w:tcW w:w="364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168.5</w:t>
            </w:r>
          </w:p>
        </w:tc>
      </w:tr>
      <w:tr>
        <w:trPr>
          <w:trHeight w:val="193"/>
        </w:trPr>
        <w:tc>
          <w:tcPr>
            <w:tcW w:w="6920" w:type="dxa"/>
            <w:vAlign w:val="bottom"/>
          </w:tcPr>
          <w:p>
            <w:pPr>
              <w:ind w:left="20"/>
              <w:spacing w:after="0"/>
              <w:rPr>
                <w:sz w:val="20"/>
                <w:szCs w:val="20"/>
                <w:color w:val="auto"/>
              </w:rPr>
            </w:pPr>
            <w:r>
              <w:rPr>
                <w:rFonts w:ascii="Arial" w:cs="Arial" w:eastAsia="Arial" w:hAnsi="Arial"/>
                <w:sz w:val="14"/>
                <w:szCs w:val="14"/>
                <w:color w:val="auto"/>
              </w:rPr>
              <w:t>Pro forma net income before tax</w:t>
            </w:r>
          </w:p>
        </w:tc>
        <w:tc>
          <w:tcPr>
            <w:tcW w:w="3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3"/>
        </w:trPr>
        <w:tc>
          <w:tcPr>
            <w:tcW w:w="6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net income</w:t>
            </w:r>
          </w:p>
        </w:tc>
        <w:tc>
          <w:tcPr>
            <w:tcW w:w="364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193"/>
        </w:trPr>
        <w:tc>
          <w:tcPr>
            <w:tcW w:w="6920" w:type="dxa"/>
            <w:vAlign w:val="bottom"/>
          </w:tcPr>
          <w:p>
            <w:pPr>
              <w:ind w:left="20"/>
              <w:spacing w:after="0"/>
              <w:rPr>
                <w:sz w:val="20"/>
                <w:szCs w:val="20"/>
                <w:color w:val="auto"/>
              </w:rPr>
            </w:pPr>
            <w:r>
              <w:rPr>
                <w:rFonts w:ascii="Arial" w:cs="Arial" w:eastAsia="Arial" w:hAnsi="Arial"/>
                <w:sz w:val="14"/>
                <w:szCs w:val="14"/>
                <w:color w:val="auto"/>
              </w:rPr>
              <w:t>Pro forma net income attributable to Kratos</w:t>
            </w:r>
          </w:p>
        </w:tc>
        <w:tc>
          <w:tcPr>
            <w:tcW w:w="3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3"/>
        </w:trPr>
        <w:tc>
          <w:tcPr>
            <w:tcW w:w="6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9"/>
        </w:trPr>
        <w:tc>
          <w:tcPr>
            <w:tcW w:w="6920" w:type="dxa"/>
            <w:vAlign w:val="bottom"/>
            <w:shd w:val="clear" w:color="auto" w:fill="CCEEFF"/>
          </w:tcPr>
          <w:p>
            <w:pPr>
              <w:spacing w:after="0"/>
              <w:rPr>
                <w:sz w:val="22"/>
                <w:szCs w:val="22"/>
                <w:color w:val="auto"/>
              </w:rPr>
            </w:pPr>
          </w:p>
        </w:tc>
        <w:tc>
          <w:tcPr>
            <w:tcW w:w="36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3"/>
        </w:trPr>
        <w:tc>
          <w:tcPr>
            <w:tcW w:w="6920" w:type="dxa"/>
            <w:vAlign w:val="bottom"/>
          </w:tcPr>
          <w:p>
            <w:pPr>
              <w:ind w:left="20"/>
              <w:spacing w:after="0"/>
              <w:rPr>
                <w:sz w:val="20"/>
                <w:szCs w:val="20"/>
                <w:color w:val="auto"/>
              </w:rPr>
            </w:pPr>
            <w:r>
              <w:rPr>
                <w:rFonts w:ascii="Arial" w:cs="Arial" w:eastAsia="Arial" w:hAnsi="Arial"/>
                <w:sz w:val="14"/>
                <w:szCs w:val="14"/>
                <w:color w:val="auto"/>
              </w:rPr>
              <w:t>Basic pro forma income per share attributable to Kratos</w:t>
            </w:r>
          </w:p>
        </w:tc>
        <w:tc>
          <w:tcPr>
            <w:tcW w:w="3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3"/>
        </w:trPr>
        <w:tc>
          <w:tcPr>
            <w:tcW w:w="6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pro forma income per share attributable to Kratos</w:t>
            </w:r>
          </w:p>
        </w:tc>
        <w:tc>
          <w:tcPr>
            <w:tcW w:w="36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r>
      <w:tr>
        <w:trPr>
          <w:trHeight w:val="23"/>
        </w:trPr>
        <w:tc>
          <w:tcPr>
            <w:tcW w:w="692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bl>
    <w:p>
      <w:pPr>
        <w:spacing w:after="0" w:line="270" w:lineRule="exact"/>
        <w:rPr>
          <w:sz w:val="20"/>
          <w:szCs w:val="20"/>
          <w:color w:val="auto"/>
        </w:rPr>
      </w:pPr>
    </w:p>
    <w:p>
      <w:pPr>
        <w:ind w:right="420" w:firstLine="517"/>
        <w:spacing w:after="0" w:line="288" w:lineRule="auto"/>
        <w:rPr>
          <w:sz w:val="20"/>
          <w:szCs w:val="20"/>
          <w:color w:val="auto"/>
        </w:rPr>
      </w:pPr>
      <w:r>
        <w:rPr>
          <w:rFonts w:ascii="Arial" w:cs="Arial" w:eastAsia="Arial" w:hAnsi="Arial"/>
          <w:sz w:val="14"/>
          <w:szCs w:val="14"/>
          <w:color w:val="auto"/>
        </w:rPr>
        <w:t>The pro forma financial information reflects pro forma adjustments for the additional amortization of $0.5 million associated with finite-lived intangible assets acquired. The weighted average common shares used to calculate income per share also reflect the issuance of 1,825,406 shares of our common stock in conjunction with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Revenue Recognition</w:t>
      </w:r>
    </w:p>
    <w:p>
      <w:pPr>
        <w:spacing w:after="0" w:line="188" w:lineRule="exact"/>
        <w:rPr>
          <w:sz w:val="20"/>
          <w:szCs w:val="20"/>
          <w:color w:val="auto"/>
        </w:rPr>
      </w:pPr>
    </w:p>
    <w:p>
      <w:pPr>
        <w:jc w:val="both"/>
        <w:ind w:right="60" w:firstLine="517"/>
        <w:spacing w:after="0" w:line="272" w:lineRule="auto"/>
        <w:rPr>
          <w:sz w:val="20"/>
          <w:szCs w:val="20"/>
          <w:color w:val="auto"/>
        </w:rPr>
      </w:pPr>
      <w:r>
        <w:rPr>
          <w:rFonts w:ascii="Arial" w:cs="Arial" w:eastAsia="Arial" w:hAnsi="Arial"/>
          <w:sz w:val="14"/>
          <w:szCs w:val="14"/>
          <w:color w:val="auto"/>
        </w:rPr>
        <w:t>The Company recognizes revenue in accordance with Accounting Standards Codification 606, Revenue from Contracts with Customers (“ASC 606”). Under ASC 606 revenue is recognized when a customer obtains control of promised goods or services. The amount of revenue recognized reflects the consideration that the Company expects to be entitled to receive in exchange for these goods or services.</w:t>
      </w:r>
    </w:p>
    <w:p>
      <w:pPr>
        <w:spacing w:after="0" w:line="142" w:lineRule="exact"/>
        <w:rPr>
          <w:sz w:val="20"/>
          <w:szCs w:val="20"/>
          <w:color w:val="auto"/>
        </w:rPr>
      </w:pPr>
    </w:p>
    <w:p>
      <w:pPr>
        <w:ind w:firstLine="517"/>
        <w:spacing w:after="0" w:line="287" w:lineRule="auto"/>
        <w:rPr>
          <w:sz w:val="20"/>
          <w:szCs w:val="20"/>
          <w:color w:val="auto"/>
        </w:rPr>
      </w:pPr>
      <w:r>
        <w:rPr>
          <w:rFonts w:ascii="Arial" w:cs="Arial" w:eastAsia="Arial" w:hAnsi="Arial"/>
          <w:sz w:val="13"/>
          <w:szCs w:val="13"/>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34" w:lineRule="exact"/>
        <w:rPr>
          <w:sz w:val="20"/>
          <w:szCs w:val="20"/>
          <w:color w:val="auto"/>
        </w:rPr>
      </w:pPr>
    </w:p>
    <w:p>
      <w:pPr>
        <w:ind w:right="20" w:firstLine="517"/>
        <w:spacing w:after="0" w:line="272" w:lineRule="auto"/>
        <w:rPr>
          <w:sz w:val="20"/>
          <w:szCs w:val="20"/>
          <w:color w:val="auto"/>
        </w:rPr>
      </w:pPr>
      <w:r>
        <w:rPr>
          <w:rFonts w:ascii="Arial" w:cs="Arial" w:eastAsia="Arial" w:hAnsi="Arial"/>
          <w:sz w:val="14"/>
          <w:szCs w:val="14"/>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19" w:right="21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ind w:right="360"/>
        <w:spacing w:after="0" w:line="272" w:lineRule="auto"/>
        <w:rPr>
          <w:sz w:val="20"/>
          <w:szCs w:val="20"/>
          <w:color w:val="auto"/>
        </w:rPr>
      </w:pPr>
      <w:r>
        <w:rPr>
          <w:rFonts w:ascii="Arial" w:cs="Arial" w:eastAsia="Arial" w:hAnsi="Arial"/>
          <w:sz w:val="14"/>
          <w:szCs w:val="14"/>
          <w:color w:val="auto"/>
        </w:rPr>
        <w:t>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Remaining Performance Obligations</w:t>
      </w:r>
    </w:p>
    <w:p>
      <w:pPr>
        <w:spacing w:after="0" w:line="184" w:lineRule="exact"/>
        <w:rPr>
          <w:sz w:val="20"/>
          <w:szCs w:val="20"/>
          <w:color w:val="auto"/>
        </w:rPr>
      </w:pPr>
    </w:p>
    <w:p>
      <w:pPr>
        <w:ind w:right="220" w:firstLine="517"/>
        <w:spacing w:after="0" w:line="272" w:lineRule="auto"/>
        <w:rPr>
          <w:sz w:val="20"/>
          <w:szCs w:val="20"/>
          <w:color w:val="auto"/>
        </w:rPr>
      </w:pPr>
      <w:r>
        <w:rPr>
          <w:rFonts w:ascii="Arial" w:cs="Arial" w:eastAsia="Arial" w:hAnsi="Arial"/>
          <w:sz w:val="14"/>
          <w:szCs w:val="14"/>
          <w:color w:val="auto"/>
        </w:rPr>
        <w:t>The Company calculates revenues from remaining performance obligations as the dollar value of the remaining performance obligations on executed contracts. On March 31, 2019, the Company had approximately $620.2 million of remaining performance obligations. The Company expects to recognize approximately 57% of the remaining performance obligations as revenue in 2019, an additional 23% by 2020, and the balance thereafter.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Contract Estimates</w:t>
      </w:r>
    </w:p>
    <w:p>
      <w:pPr>
        <w:spacing w:after="0" w:line="184" w:lineRule="exact"/>
        <w:rPr>
          <w:sz w:val="20"/>
          <w:szCs w:val="20"/>
          <w:color w:val="auto"/>
        </w:rPr>
      </w:pPr>
    </w:p>
    <w:p>
      <w:pPr>
        <w:ind w:right="40" w:firstLine="517"/>
        <w:spacing w:after="0" w:line="262" w:lineRule="auto"/>
        <w:rPr>
          <w:sz w:val="20"/>
          <w:szCs w:val="20"/>
          <w:color w:val="auto"/>
        </w:rPr>
      </w:pPr>
      <w:r>
        <w:rPr>
          <w:rFonts w:ascii="Arial" w:cs="Arial" w:eastAsia="Arial" w:hAnsi="Arial"/>
          <w:sz w:val="14"/>
          <w:szCs w:val="14"/>
          <w:color w:val="auto"/>
        </w:rPr>
        <w:t>Due to the nature of the work required to be performed on many performance obligations, the estimation of total revenue and cost at completion is complex, subject to many variables and requires significant judgment. It is common for the Company’s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49" w:lineRule="exact"/>
        <w:rPr>
          <w:sz w:val="20"/>
          <w:szCs w:val="20"/>
          <w:color w:val="auto"/>
        </w:rPr>
      </w:pPr>
    </w:p>
    <w:p>
      <w:pPr>
        <w:ind w:right="180" w:firstLine="517"/>
        <w:spacing w:after="0" w:line="325" w:lineRule="auto"/>
        <w:rPr>
          <w:sz w:val="20"/>
          <w:szCs w:val="20"/>
          <w:color w:val="auto"/>
        </w:rPr>
      </w:pPr>
      <w:r>
        <w:rPr>
          <w:rFonts w:ascii="Arial" w:cs="Arial" w:eastAsia="Arial" w:hAnsi="Arial"/>
          <w:sz w:val="12"/>
          <w:szCs w:val="12"/>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15" w:lineRule="exact"/>
        <w:rPr>
          <w:sz w:val="20"/>
          <w:szCs w:val="20"/>
          <w:color w:val="auto"/>
        </w:rPr>
      </w:pPr>
    </w:p>
    <w:p>
      <w:pPr>
        <w:ind w:right="80" w:firstLine="517"/>
        <w:spacing w:after="0" w:line="262" w:lineRule="auto"/>
        <w:rPr>
          <w:sz w:val="20"/>
          <w:szCs w:val="20"/>
          <w:color w:val="auto"/>
        </w:rPr>
      </w:pPr>
      <w:r>
        <w:rPr>
          <w:rFonts w:ascii="Arial" w:cs="Arial" w:eastAsia="Arial" w:hAnsi="Arial"/>
          <w:sz w:val="14"/>
          <w:szCs w:val="14"/>
          <w:color w:val="auto"/>
        </w:rPr>
        <w:t>There is a Company-wide standard and disciplined quarterly Estimate at Completion (EAC) process in which management reviews the progress and execution of outstanding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49" w:lineRule="exact"/>
        <w:rPr>
          <w:sz w:val="20"/>
          <w:szCs w:val="20"/>
          <w:color w:val="auto"/>
        </w:rPr>
      </w:pPr>
    </w:p>
    <w:p>
      <w:pPr>
        <w:ind w:firstLine="517"/>
        <w:spacing w:after="0" w:line="283" w:lineRule="auto"/>
        <w:rPr>
          <w:sz w:val="20"/>
          <w:szCs w:val="20"/>
          <w:color w:val="auto"/>
        </w:rPr>
      </w:pPr>
      <w:r>
        <w:rPr>
          <w:rFonts w:ascii="Arial" w:cs="Arial" w:eastAsia="Arial" w:hAnsi="Arial"/>
          <w:sz w:val="13"/>
          <w:szCs w:val="13"/>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the Company’s performance obligations. When estimates of total costs to be incurred on a performance obligation exceed total estimates of revenue to be earned, a provision for the entire loss on the performance obligation is recognized in the period the loss is determined. No adjustment on any one contract was material to the Company’s unaudited condensed consolidated financial statements for the three-month periods ended March 31, 2019, and April 1, 2018.</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Contract Assets and Liabilities</w:t>
      </w:r>
    </w:p>
    <w:p>
      <w:pPr>
        <w:spacing w:after="0" w:line="184" w:lineRule="exact"/>
        <w:rPr>
          <w:sz w:val="20"/>
          <w:szCs w:val="20"/>
          <w:color w:val="auto"/>
        </w:rPr>
      </w:pPr>
    </w:p>
    <w:p>
      <w:pPr>
        <w:ind w:right="100" w:firstLine="517"/>
        <w:spacing w:after="0" w:line="267" w:lineRule="auto"/>
        <w:rPr>
          <w:sz w:val="20"/>
          <w:szCs w:val="20"/>
          <w:color w:val="auto"/>
        </w:rPr>
      </w:pPr>
      <w:r>
        <w:rPr>
          <w:rFonts w:ascii="Arial" w:cs="Arial" w:eastAsia="Arial" w:hAnsi="Arial"/>
          <w:sz w:val="14"/>
          <w:szCs w:val="14"/>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46" w:lineRule="exact"/>
        <w:rPr>
          <w:sz w:val="20"/>
          <w:szCs w:val="20"/>
          <w:color w:val="auto"/>
        </w:rPr>
      </w:pPr>
    </w:p>
    <w:p>
      <w:pPr>
        <w:ind w:right="140" w:firstLine="517"/>
        <w:spacing w:after="0" w:line="263" w:lineRule="auto"/>
        <w:rPr>
          <w:sz w:val="20"/>
          <w:szCs w:val="20"/>
          <w:color w:val="auto"/>
        </w:rPr>
      </w:pPr>
      <w:r>
        <w:rPr>
          <w:rFonts w:ascii="Arial" w:cs="Arial" w:eastAsia="Arial" w:hAnsi="Arial"/>
          <w:sz w:val="14"/>
          <w:szCs w:val="14"/>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148"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contract assets and liabilities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2019</w:t>
            </w: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30, 2018</w:t>
            </w:r>
          </w:p>
        </w:tc>
        <w:tc>
          <w:tcPr>
            <w:tcW w:w="2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3"/>
                <w:szCs w:val="13"/>
                <w:b w:val="1"/>
                <w:bCs w:val="1"/>
                <w:color w:val="auto"/>
                <w:w w:val="99"/>
              </w:rPr>
              <w:t>Net Change</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158.0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172.9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4"/>
        </w:trPr>
        <w:tc>
          <w:tcPr>
            <w:tcW w:w="642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3"/>
        </w:trPr>
        <w:tc>
          <w:tcPr>
            <w:tcW w:w="6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contract assets</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116.2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40" w:firstLine="517"/>
        <w:spacing w:after="0" w:line="267" w:lineRule="auto"/>
        <w:rPr>
          <w:sz w:val="20"/>
          <w:szCs w:val="20"/>
          <w:color w:val="auto"/>
        </w:rPr>
      </w:pPr>
      <w:r>
        <w:rPr>
          <w:rFonts w:ascii="Arial" w:cs="Arial" w:eastAsia="Arial" w:hAnsi="Arial"/>
          <w:sz w:val="14"/>
          <w:szCs w:val="14"/>
          <w:color w:val="auto"/>
        </w:rPr>
        <w:t>The change in the balances of the Company’s contract assets and liabilities primarily results from the advance payments from customers exceeding reductions from recognition of revenue as performance obligations were satisfied and related billings. There were no significant impairment losses related to any receivables or contract assets arising from the Company’s contracts with customers during the three months ended March 31, 2019. For the three months ended March 31, 2019, the Company recognized revenue of $15.9 million that was previously included in the beginning balance of contract liabilities.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84" w:lineRule="exact"/>
        <w:rPr>
          <w:sz w:val="20"/>
          <w:szCs w:val="20"/>
          <w:color w:val="auto"/>
        </w:rPr>
      </w:pPr>
    </w:p>
    <w:p>
      <w:pPr>
        <w:ind w:right="580"/>
        <w:spacing w:after="0" w:line="288" w:lineRule="auto"/>
        <w:rPr>
          <w:sz w:val="20"/>
          <w:szCs w:val="20"/>
          <w:color w:val="auto"/>
        </w:rPr>
      </w:pPr>
      <w:r>
        <w:rPr>
          <w:rFonts w:ascii="Arial" w:cs="Arial" w:eastAsia="Arial" w:hAnsi="Arial"/>
          <w:sz w:val="14"/>
          <w:szCs w:val="14"/>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Three Months 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51"/>
              <w:spacing w:after="0"/>
              <w:rPr>
                <w:sz w:val="20"/>
                <w:szCs w:val="20"/>
                <w:color w:val="auto"/>
              </w:rPr>
            </w:pPr>
            <w:r>
              <w:rPr>
                <w:rFonts w:ascii="Arial" w:cs="Arial" w:eastAsia="Arial" w:hAnsi="Arial"/>
                <w:sz w:val="11"/>
                <w:szCs w:val="11"/>
                <w:b w:val="1"/>
                <w:bCs w:val="1"/>
                <w:color w:val="auto"/>
              </w:rPr>
              <w:t>Three Months Ended</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7"/>
              </w:rPr>
              <w:t>March 31, 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April 1, 2018</w:t>
            </w:r>
          </w:p>
        </w:tc>
        <w:tc>
          <w:tcPr>
            <w:tcW w:w="0" w:type="dxa"/>
            <w:vAlign w:val="bottom"/>
          </w:tcPr>
          <w:p>
            <w:pPr>
              <w:spacing w:after="0"/>
              <w:rPr>
                <w:sz w:val="1"/>
                <w:szCs w:val="1"/>
                <w:color w:val="auto"/>
              </w:rPr>
            </w:pPr>
          </w:p>
        </w:tc>
      </w:tr>
      <w:tr>
        <w:trPr>
          <w:trHeight w:val="19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00"/>
              <w:spacing w:after="0"/>
              <w:rPr>
                <w:sz w:val="20"/>
                <w:szCs w:val="20"/>
                <w:color w:val="auto"/>
              </w:rPr>
            </w:pPr>
            <w:r>
              <w:rPr>
                <w:rFonts w:ascii="Arial" w:cs="Arial" w:eastAsia="Arial" w:hAnsi="Arial"/>
                <w:sz w:val="14"/>
                <w:szCs w:val="14"/>
                <w:color w:val="auto"/>
              </w:rPr>
              <w:t>Kratos Government Solutions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Fixed price</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109.1</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93"/>
        </w:trPr>
        <w:tc>
          <w:tcPr>
            <w:tcW w:w="7680" w:type="dxa"/>
            <w:vAlign w:val="bottom"/>
          </w:tcPr>
          <w:p>
            <w:pPr>
              <w:ind w:left="160"/>
              <w:spacing w:after="0"/>
              <w:rPr>
                <w:sz w:val="20"/>
                <w:szCs w:val="20"/>
                <w:color w:val="auto"/>
              </w:rPr>
            </w:pPr>
            <w:r>
              <w:rPr>
                <w:rFonts w:ascii="Arial" w:cs="Arial" w:eastAsia="Arial" w:hAnsi="Arial"/>
                <w:sz w:val="14"/>
                <w:szCs w:val="14"/>
                <w:color w:val="auto"/>
              </w:rPr>
              <w:t>Cost plus fee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Time and materials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4"/>
        </w:trPr>
        <w:tc>
          <w:tcPr>
            <w:tcW w:w="7680" w:type="dxa"/>
            <w:vAlign w:val="bottom"/>
          </w:tcPr>
          <w:p>
            <w:pPr>
              <w:ind w:left="220"/>
              <w:spacing w:after="0"/>
              <w:rPr>
                <w:sz w:val="20"/>
                <w:szCs w:val="20"/>
                <w:color w:val="auto"/>
              </w:rPr>
            </w:pPr>
            <w:r>
              <w:rPr>
                <w:rFonts w:ascii="Arial" w:cs="Arial" w:eastAsia="Arial" w:hAnsi="Arial"/>
                <w:sz w:val="14"/>
                <w:szCs w:val="14"/>
                <w:color w:val="auto"/>
              </w:rPr>
              <w:t>Total Kratos Government Solutions</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Unmanned Systems</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60"/>
              <w:spacing w:after="0"/>
              <w:rPr>
                <w:sz w:val="20"/>
                <w:szCs w:val="20"/>
                <w:color w:val="auto"/>
              </w:rPr>
            </w:pPr>
            <w:r>
              <w:rPr>
                <w:rFonts w:ascii="Arial" w:cs="Arial" w:eastAsia="Arial" w:hAnsi="Arial"/>
                <w:sz w:val="14"/>
                <w:szCs w:val="14"/>
                <w:color w:val="auto"/>
              </w:rPr>
              <w:t>Fixed price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Cost plus fee</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3"/>
        </w:trPr>
        <w:tc>
          <w:tcPr>
            <w:tcW w:w="7680" w:type="dxa"/>
            <w:vAlign w:val="bottom"/>
          </w:tcPr>
          <w:p>
            <w:pPr>
              <w:ind w:left="160"/>
              <w:spacing w:after="0"/>
              <w:rPr>
                <w:sz w:val="20"/>
                <w:szCs w:val="20"/>
                <w:color w:val="auto"/>
              </w:rPr>
            </w:pPr>
            <w:r>
              <w:rPr>
                <w:rFonts w:ascii="Arial" w:cs="Arial" w:eastAsia="Arial" w:hAnsi="Arial"/>
                <w:sz w:val="14"/>
                <w:szCs w:val="14"/>
                <w:color w:val="auto"/>
              </w:rPr>
              <w:t>Time and materials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Unmanned Systems</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7"/>
        </w:trPr>
        <w:tc>
          <w:tcPr>
            <w:tcW w:w="7680" w:type="dxa"/>
            <w:vAlign w:val="bottom"/>
          </w:tcPr>
          <w:p>
            <w:pPr>
              <w:ind w:left="28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20"/>
              <w:spacing w:after="0"/>
              <w:rPr>
                <w:sz w:val="20"/>
                <w:szCs w:val="20"/>
                <w:color w:val="auto"/>
              </w:rPr>
            </w:pPr>
            <w:r>
              <w:rPr>
                <w:rFonts w:ascii="Arial" w:cs="Arial" w:eastAsia="Arial" w:hAnsi="Arial"/>
                <w:sz w:val="14"/>
                <w:szCs w:val="14"/>
                <w:color w:val="auto"/>
              </w:rPr>
              <w:t>Revenue by customer was as follows (in millions):</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7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7"/>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11"/>
              <w:spacing w:after="0"/>
              <w:rPr>
                <w:sz w:val="20"/>
                <w:szCs w:val="20"/>
                <w:color w:val="auto"/>
              </w:rPr>
            </w:pPr>
            <w:r>
              <w:rPr>
                <w:rFonts w:ascii="Arial" w:cs="Arial" w:eastAsia="Arial" w:hAnsi="Arial"/>
                <w:sz w:val="11"/>
                <w:szCs w:val="11"/>
                <w:b w:val="1"/>
                <w:bCs w:val="1"/>
                <w:color w:val="auto"/>
              </w:rPr>
              <w:t>Three Months Ended</w:t>
            </w:r>
          </w:p>
        </w:tc>
        <w:tc>
          <w:tcPr>
            <w:tcW w:w="0" w:type="dxa"/>
            <w:vAlign w:val="bottom"/>
          </w:tcPr>
          <w:p>
            <w:pPr>
              <w:spacing w:after="0"/>
              <w:rPr>
                <w:sz w:val="1"/>
                <w:szCs w:val="1"/>
                <w:color w:val="auto"/>
              </w:rPr>
            </w:pPr>
          </w:p>
        </w:tc>
      </w:tr>
      <w:tr>
        <w:trPr>
          <w:trHeight w:val="220"/>
        </w:trPr>
        <w:tc>
          <w:tcPr>
            <w:tcW w:w="7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7"/>
              </w:rPr>
              <w:t>March 31, 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11"/>
              <w:spacing w:after="0"/>
              <w:rPr>
                <w:sz w:val="20"/>
                <w:szCs w:val="20"/>
                <w:color w:val="auto"/>
              </w:rPr>
            </w:pPr>
            <w:r>
              <w:rPr>
                <w:rFonts w:ascii="Arial" w:cs="Arial" w:eastAsia="Arial" w:hAnsi="Arial"/>
                <w:sz w:val="11"/>
                <w:szCs w:val="11"/>
                <w:b w:val="1"/>
                <w:bCs w:val="1"/>
                <w:color w:val="auto"/>
              </w:rPr>
              <w:t>April 1, 2018</w:t>
            </w:r>
          </w:p>
        </w:tc>
        <w:tc>
          <w:tcPr>
            <w:tcW w:w="0" w:type="dxa"/>
            <w:vAlign w:val="bottom"/>
          </w:tcPr>
          <w:p>
            <w:pPr>
              <w:spacing w:after="0"/>
              <w:rPr>
                <w:sz w:val="1"/>
                <w:szCs w:val="1"/>
                <w:color w:val="auto"/>
              </w:rPr>
            </w:pPr>
          </w:p>
        </w:tc>
      </w:tr>
      <w:tr>
        <w:trPr>
          <w:trHeight w:val="191"/>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line="215" w:lineRule="exact"/>
              <w:rPr>
                <w:sz w:val="20"/>
                <w:szCs w:val="20"/>
                <w:color w:val="auto"/>
              </w:rPr>
            </w:pPr>
            <w:r>
              <w:rPr>
                <w:rFonts w:ascii="Arial" w:cs="Arial" w:eastAsia="Arial" w:hAnsi="Arial"/>
                <w:sz w:val="14"/>
                <w:szCs w:val="14"/>
                <w:color w:val="auto"/>
              </w:rPr>
              <w:t xml:space="preserve">U.S. Government </w:t>
            </w:r>
            <w:r>
              <w:rPr>
                <w:rFonts w:ascii="Arial" w:cs="Arial" w:eastAsia="Arial" w:hAnsi="Arial"/>
                <w:sz w:val="20"/>
                <w:szCs w:val="20"/>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 xml:space="preserve">International </w:t>
            </w:r>
            <w:r>
              <w:rPr>
                <w:rFonts w:ascii="Arial" w:cs="Arial" w:eastAsia="Arial" w:hAnsi="Arial"/>
                <w:sz w:val="20"/>
                <w:szCs w:val="20"/>
                <w:color w:val="auto"/>
                <w:vertAlign w:val="superscript"/>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U.S. Commercial and other customers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7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Kratos Government Solutions</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125.5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84"/>
        </w:trPr>
        <w:tc>
          <w:tcPr>
            <w:tcW w:w="7680" w:type="dxa"/>
            <w:vAlign w:val="bottom"/>
          </w:tcPr>
          <w:p>
            <w:pPr>
              <w:ind w:left="20"/>
              <w:spacing w:after="0"/>
              <w:rPr>
                <w:sz w:val="20"/>
                <w:szCs w:val="20"/>
                <w:color w:val="auto"/>
              </w:rPr>
            </w:pPr>
            <w:r>
              <w:rPr>
                <w:rFonts w:ascii="Arial" w:cs="Arial" w:eastAsia="Arial" w:hAnsi="Arial"/>
                <w:sz w:val="14"/>
                <w:szCs w:val="14"/>
                <w:color w:val="auto"/>
              </w:rPr>
              <w:t>Unmanned Systems</w:t>
            </w: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 xml:space="preserve">U.S. Government </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line="215" w:lineRule="exact"/>
              <w:rPr>
                <w:sz w:val="20"/>
                <w:szCs w:val="20"/>
                <w:color w:val="auto"/>
              </w:rPr>
            </w:pPr>
            <w:r>
              <w:rPr>
                <w:rFonts w:ascii="Arial" w:cs="Arial" w:eastAsia="Arial" w:hAnsi="Arial"/>
                <w:sz w:val="14"/>
                <w:szCs w:val="14"/>
                <w:color w:val="auto"/>
              </w:rPr>
              <w:t xml:space="preserve">International </w:t>
            </w:r>
            <w:r>
              <w:rPr>
                <w:rFonts w:ascii="Arial" w:cs="Arial" w:eastAsia="Arial" w:hAnsi="Arial"/>
                <w:sz w:val="20"/>
                <w:szCs w:val="20"/>
                <w:color w:val="auto"/>
                <w:vertAlign w:val="superscript"/>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Commercial and other customers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680" w:type="dxa"/>
            <w:vAlign w:val="bottom"/>
          </w:tcPr>
          <w:p>
            <w:pPr>
              <w:ind w:left="160"/>
              <w:spacing w:after="0"/>
              <w:rPr>
                <w:sz w:val="20"/>
                <w:szCs w:val="20"/>
                <w:color w:val="auto"/>
              </w:rPr>
            </w:pPr>
            <w:r>
              <w:rPr>
                <w:rFonts w:ascii="Arial" w:cs="Arial" w:eastAsia="Arial" w:hAnsi="Arial"/>
                <w:sz w:val="14"/>
                <w:szCs w:val="14"/>
                <w:color w:val="auto"/>
              </w:rPr>
              <w:t>Total Unmanned Systems</w:t>
            </w: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160.4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4160" w:firstLine="6"/>
        <w:spacing w:after="0" w:line="303" w:lineRule="auto"/>
        <w:tabs>
          <w:tab w:leader="none" w:pos="122" w:val="left"/>
        </w:tabs>
        <w:numPr>
          <w:ilvl w:val="0"/>
          <w:numId w:val="8"/>
        </w:numPr>
        <w:rPr>
          <w:rFonts w:ascii="Arial" w:cs="Arial" w:eastAsia="Arial" w:hAnsi="Arial"/>
          <w:sz w:val="8"/>
          <w:szCs w:val="8"/>
          <w:color w:val="auto"/>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02" w:lineRule="exact"/>
        <w:rPr>
          <w:rFonts w:ascii="Arial" w:cs="Arial" w:eastAsia="Arial" w:hAnsi="Arial"/>
          <w:sz w:val="8"/>
          <w:szCs w:val="8"/>
          <w:color w:val="auto"/>
        </w:rPr>
      </w:pPr>
    </w:p>
    <w:p>
      <w:pPr>
        <w:ind w:right="4120" w:firstLine="6"/>
        <w:spacing w:after="0" w:line="270" w:lineRule="auto"/>
        <w:tabs>
          <w:tab w:leader="none" w:pos="122" w:val="left"/>
        </w:tabs>
        <w:numPr>
          <w:ilvl w:val="0"/>
          <w:numId w:val="8"/>
        </w:numPr>
        <w:rPr>
          <w:rFonts w:ascii="Arial" w:cs="Arial" w:eastAsia="Arial" w:hAnsi="Arial"/>
          <w:sz w:val="9"/>
          <w:szCs w:val="9"/>
          <w:color w:val="auto"/>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Discontinued Operations</w:t>
      </w:r>
    </w:p>
    <w:p>
      <w:pPr>
        <w:spacing w:after="0" w:line="188" w:lineRule="exact"/>
        <w:rPr>
          <w:sz w:val="20"/>
          <w:szCs w:val="20"/>
          <w:color w:val="auto"/>
        </w:rPr>
      </w:pPr>
    </w:p>
    <w:p>
      <w:pPr>
        <w:ind w:right="180" w:firstLine="517"/>
        <w:spacing w:after="0" w:line="267" w:lineRule="auto"/>
        <w:rPr>
          <w:sz w:val="20"/>
          <w:szCs w:val="20"/>
          <w:color w:val="auto"/>
        </w:rPr>
      </w:pPr>
      <w:r>
        <w:rPr>
          <w:rFonts w:ascii="Arial" w:cs="Arial" w:eastAsia="Arial" w:hAnsi="Arial"/>
          <w:sz w:val="14"/>
          <w:szCs w:val="14"/>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and the Buyer are currently in a dispute regarding the closing net working capital adjustment. The amount in dispute is approximately $8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9" w:right="21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p>
      <w:pPr>
        <w:ind w:right="20" w:firstLine="517"/>
        <w:spacing w:after="0" w:line="261" w:lineRule="auto"/>
        <w:rPr>
          <w:sz w:val="20"/>
          <w:szCs w:val="20"/>
          <w:color w:val="auto"/>
        </w:rPr>
      </w:pPr>
      <w:r>
        <w:rPr>
          <w:rFonts w:ascii="Arial" w:cs="Arial" w:eastAsia="Arial" w:hAnsi="Arial"/>
          <w:sz w:val="14"/>
          <w:szCs w:val="14"/>
          <w:color w:val="auto"/>
        </w:rPr>
        <w:t>The Company currently expects to receive approximately $70 million of aggregate net cash proceeds from the Transaction, after taking into account amounts to be paid by the Company pursuant to a negotiated transaction services agreement between the Company and Buyer, receipt by the Company of approximately $7.0 million in net working capital retained by the Company, and associated transaction fees and expenses, excluding the impact of the final settlement and determination of the closing working capital adjustment. The Company currently expects that the net working capital retained by the Company will be settled in 2019 once certain legacy projects are completed and the project close-out process has been completed. Through March 31, 2019, approximately $1.0 million has been collected related to these legacy projects. The Company incurred approximately $2.7 million of transaction related costs, which was reflected in the loss from discontinued operations in the periods incurred. The Company currently expects to recognize a net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results of discontinued operations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March 31, 2019</w:t>
            </w:r>
          </w:p>
        </w:tc>
        <w:tc>
          <w:tcPr>
            <w:tcW w:w="160" w:type="dxa"/>
            <w:vAlign w:val="bottom"/>
          </w:tcPr>
          <w:p>
            <w:pPr>
              <w:spacing w:after="0"/>
              <w:rPr>
                <w:sz w:val="13"/>
                <w:szCs w:val="13"/>
                <w:color w:val="auto"/>
              </w:rPr>
            </w:pPr>
          </w:p>
        </w:tc>
        <w:tc>
          <w:tcPr>
            <w:tcW w:w="960" w:type="dxa"/>
            <w:vAlign w:val="bottom"/>
          </w:tcPr>
          <w:p>
            <w:pPr>
              <w:jc w:val="right"/>
              <w:ind w:right="170"/>
              <w:spacing w:after="0"/>
              <w:rPr>
                <w:sz w:val="20"/>
                <w:szCs w:val="20"/>
                <w:color w:val="auto"/>
              </w:rPr>
            </w:pPr>
            <w:r>
              <w:rPr>
                <w:rFonts w:ascii="Arial" w:cs="Arial" w:eastAsia="Arial" w:hAnsi="Arial"/>
                <w:sz w:val="11"/>
                <w:szCs w:val="11"/>
                <w:b w:val="1"/>
                <w:bCs w:val="1"/>
                <w:color w:val="auto"/>
              </w:rPr>
              <w:t>April 1, 2018</w:t>
            </w:r>
          </w:p>
        </w:tc>
      </w:tr>
      <w:tr>
        <w:trPr>
          <w:trHeight w:val="191"/>
        </w:trPr>
        <w:tc>
          <w:tcPr>
            <w:tcW w:w="9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23.9</w:t>
            </w:r>
          </w:p>
        </w:tc>
      </w:tr>
      <w:tr>
        <w:trPr>
          <w:trHeight w:val="193"/>
        </w:trPr>
        <w:tc>
          <w:tcPr>
            <w:tcW w:w="90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14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18.9</w:t>
            </w:r>
          </w:p>
        </w:tc>
      </w:tr>
      <w:tr>
        <w:trPr>
          <w:trHeight w:val="23"/>
        </w:trPr>
        <w:tc>
          <w:tcPr>
            <w:tcW w:w="9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8.1</w:t>
            </w:r>
          </w:p>
        </w:tc>
      </w:tr>
      <w:tr>
        <w:trPr>
          <w:trHeight w:val="193"/>
        </w:trPr>
        <w:tc>
          <w:tcPr>
            <w:tcW w:w="906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0.8</w:t>
            </w:r>
          </w:p>
        </w:tc>
      </w:tr>
      <w:tr>
        <w:trPr>
          <w:trHeight w:val="23"/>
        </w:trPr>
        <w:tc>
          <w:tcPr>
            <w:tcW w:w="9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before income taxes</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3"/>
        </w:trPr>
        <w:tc>
          <w:tcPr>
            <w:tcW w:w="9060" w:type="dxa"/>
            <w:vAlign w:val="bottom"/>
          </w:tcPr>
          <w:p>
            <w:pPr>
              <w:ind w:left="20"/>
              <w:spacing w:after="0"/>
              <w:rPr>
                <w:sz w:val="20"/>
                <w:szCs w:val="20"/>
                <w:color w:val="auto"/>
              </w:rPr>
            </w:pPr>
            <w:r>
              <w:rPr>
                <w:rFonts w:ascii="Arial" w:cs="Arial" w:eastAsia="Arial" w:hAnsi="Arial"/>
                <w:sz w:val="14"/>
                <w:szCs w:val="14"/>
                <w:color w:val="auto"/>
              </w:rPr>
              <w:t>Income tax benefit (provision)</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0.4</w:t>
            </w:r>
          </w:p>
        </w:tc>
      </w:tr>
      <w:tr>
        <w:trPr>
          <w:trHeight w:val="23"/>
        </w:trPr>
        <w:tc>
          <w:tcPr>
            <w:tcW w:w="9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120" w:firstLine="517"/>
        <w:spacing w:after="0" w:line="264" w:lineRule="auto"/>
        <w:rPr>
          <w:sz w:val="20"/>
          <w:szCs w:val="20"/>
          <w:color w:val="auto"/>
        </w:rPr>
      </w:pPr>
      <w:r>
        <w:rPr>
          <w:rFonts w:ascii="Arial" w:cs="Arial" w:eastAsia="Arial" w:hAnsi="Arial"/>
          <w:sz w:val="14"/>
          <w:szCs w:val="14"/>
          <w:color w:val="auto"/>
        </w:rPr>
        <w:t xml:space="preserve">Revenue and operating results for the three months ended March 31, 2019 reflected the work performed in relation to tasks on the legacy projects retained by the Company. Revenue and operating results for the three months ended April 1, 2018 were impacted by approximately $1.8 million and $2.0 million, respectively, of cost adjustments on certain security system deployment projects for a mass transit authority. Transaction expenses of $0.8 million primarily comprised of legal fees related to the pending disposition were included in </w:t>
      </w:r>
      <w:r>
        <w:rPr>
          <w:rFonts w:ascii="Arial" w:cs="Arial" w:eastAsia="Arial" w:hAnsi="Arial"/>
          <w:sz w:val="14"/>
          <w:szCs w:val="14"/>
          <w:i w:val="1"/>
          <w:iCs w:val="1"/>
          <w:color w:val="auto"/>
        </w:rPr>
        <w:t>Other expense</w:t>
      </w:r>
      <w:r>
        <w:rPr>
          <w:rFonts w:ascii="Arial" w:cs="Arial" w:eastAsia="Arial" w:hAnsi="Arial"/>
          <w:sz w:val="14"/>
          <w:szCs w:val="14"/>
          <w:color w:val="auto"/>
        </w:rPr>
        <w:t xml:space="preserve"> for the three months ended April 1, 2018. Depreciation expense included in </w:t>
      </w:r>
      <w:r>
        <w:rPr>
          <w:rFonts w:ascii="Arial" w:cs="Arial" w:eastAsia="Arial" w:hAnsi="Arial"/>
          <w:sz w:val="14"/>
          <w:szCs w:val="14"/>
          <w:i w:val="1"/>
          <w:iCs w:val="1"/>
          <w:color w:val="auto"/>
        </w:rPr>
        <w:t>Selling, general and administrative expenses</w:t>
      </w:r>
      <w:r>
        <w:rPr>
          <w:rFonts w:ascii="Arial" w:cs="Arial" w:eastAsia="Arial" w:hAnsi="Arial"/>
          <w:sz w:val="14"/>
          <w:szCs w:val="14"/>
          <w:color w:val="auto"/>
        </w:rPr>
        <w:t xml:space="preserve"> was $0.0 million and $0.1 million for the three months ended March 31, 2019 and April 1, 2018, respectively.</w:t>
      </w:r>
    </w:p>
    <w:p>
      <w:pPr>
        <w:spacing w:after="0" w:line="149" w:lineRule="exact"/>
        <w:rPr>
          <w:sz w:val="20"/>
          <w:szCs w:val="20"/>
          <w:color w:val="auto"/>
        </w:rPr>
      </w:pPr>
    </w:p>
    <w:p>
      <w:pPr>
        <w:ind w:right="40" w:firstLine="517"/>
        <w:spacing w:after="0" w:line="288" w:lineRule="auto"/>
        <w:rPr>
          <w:sz w:val="20"/>
          <w:szCs w:val="20"/>
          <w:color w:val="auto"/>
        </w:rPr>
      </w:pPr>
      <w:r>
        <w:rPr>
          <w:rFonts w:ascii="Arial" w:cs="Arial" w:eastAsia="Arial" w:hAnsi="Arial"/>
          <w:sz w:val="14"/>
          <w:szCs w:val="14"/>
          <w:color w:val="auto"/>
        </w:rPr>
        <w:t>The following is a summary of the assets and liabilities of discontinued operations in the accompanying condensed consolidated balance sheets as of March 31, 2019 and December 30, 2018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0" w:type="dxa"/>
            <w:vAlign w:val="bottom"/>
            <w:tcBorders>
              <w:bottom w:val="single" w:sz="8" w:color="CCEEFF"/>
            </w:tcBorders>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March 31, 2019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w w:val="90"/>
              </w:rPr>
              <w:t>December 30, 2018</w:t>
            </w:r>
          </w:p>
        </w:tc>
        <w:tc>
          <w:tcPr>
            <w:tcW w:w="0" w:type="dxa"/>
            <w:vAlign w:val="bottom"/>
          </w:tcPr>
          <w:p>
            <w:pPr>
              <w:spacing w:after="0"/>
              <w:rPr>
                <w:sz w:val="1"/>
                <w:szCs w:val="1"/>
                <w:color w:val="auto"/>
              </w:rPr>
            </w:pPr>
          </w:p>
        </w:tc>
      </w:tr>
      <w:tr>
        <w:trPr>
          <w:trHeight w:val="19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 and unbilled receivables, net</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of discontinued operations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4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Current liabilities of discontinued operations</w:t>
            </w:r>
          </w:p>
        </w:tc>
        <w:tc>
          <w:tcPr>
            <w:tcW w:w="46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 of discontinued operations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jc w:val="right"/>
              <w:ind w:right="3128"/>
              <w:spacing w:after="0"/>
              <w:rPr>
                <w:sz w:val="20"/>
                <w:szCs w:val="20"/>
                <w:color w:val="auto"/>
              </w:rPr>
            </w:pPr>
            <w:r>
              <w:rPr>
                <w:rFonts w:ascii="Arial" w:cs="Arial" w:eastAsia="Arial" w:hAnsi="Arial"/>
                <w:sz w:val="14"/>
                <w:szCs w:val="14"/>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4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Goodwill and Intangible Assets</w:t>
      </w:r>
    </w:p>
    <w:p>
      <w:pPr>
        <w:spacing w:after="0" w:line="184" w:lineRule="exact"/>
        <w:rPr>
          <w:sz w:val="20"/>
          <w:szCs w:val="20"/>
          <w:color w:val="auto"/>
        </w:rPr>
      </w:pPr>
    </w:p>
    <w:p>
      <w:pPr>
        <w:ind w:left="520" w:hanging="514"/>
        <w:spacing w:after="0"/>
        <w:tabs>
          <w:tab w:leader="none" w:pos="52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Goodwill</w:t>
      </w:r>
    </w:p>
    <w:p>
      <w:pPr>
        <w:spacing w:after="0" w:line="187"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Arial" w:cs="Arial" w:eastAsia="Arial" w:hAnsi="Arial"/>
          <w:sz w:val="14"/>
          <w:szCs w:val="14"/>
          <w:color w:val="auto"/>
        </w:rPr>
        <w:t>The carrying amounts of goodwill as of March 31, 2019 and December 30, 2018 by reportable segment are as follows (in millions):</w:t>
      </w:r>
    </w:p>
    <w:p>
      <w:pPr>
        <w:spacing w:after="0" w:line="152" w:lineRule="exact"/>
        <w:rPr>
          <w:sz w:val="20"/>
          <w:szCs w:val="20"/>
          <w:color w:val="auto"/>
        </w:rPr>
      </w:pPr>
    </w:p>
    <w:p>
      <w:pPr>
        <w:ind w:left="9180"/>
        <w:spacing w:after="0"/>
        <w:rPr>
          <w:sz w:val="20"/>
          <w:szCs w:val="20"/>
          <w:color w:val="auto"/>
        </w:rPr>
      </w:pPr>
      <w:r>
        <w:rPr>
          <w:rFonts w:ascii="Arial" w:cs="Arial" w:eastAsia="Arial" w:hAnsi="Arial"/>
          <w:sz w:val="13"/>
          <w:szCs w:val="13"/>
          <w:b w:val="1"/>
          <w:bCs w:val="1"/>
          <w:color w:val="auto"/>
        </w:rPr>
        <w:t>As of March 31, 2019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40" w:type="dxa"/>
            <w:vAlign w:val="bottom"/>
          </w:tcPr>
          <w:p>
            <w:pPr>
              <w:spacing w:after="0"/>
              <w:rPr>
                <w:sz w:val="11"/>
                <w:szCs w:val="11"/>
                <w:color w:val="auto"/>
              </w:rPr>
            </w:pP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95"/>
              </w:rPr>
              <w:t>Kratos Government</w:t>
            </w:r>
          </w:p>
        </w:tc>
        <w:tc>
          <w:tcPr>
            <w:tcW w:w="11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1"/>
                <w:szCs w:val="11"/>
                <w:b w:val="1"/>
                <w:bCs w:val="1"/>
                <w:color w:val="auto"/>
              </w:rPr>
              <w:t>Unmanned Systems</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7"/>
              </w:rPr>
              <w:t>Solutions</w:t>
            </w:r>
          </w:p>
        </w:tc>
        <w:tc>
          <w:tcPr>
            <w:tcW w:w="1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value</w:t>
            </w:r>
          </w:p>
        </w:tc>
        <w:tc>
          <w:tcPr>
            <w:tcW w:w="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601.6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4"/>
                <w:szCs w:val="14"/>
                <w:color w:val="auto"/>
              </w:rPr>
              <w:t>Less accumulated impairment</w:t>
            </w:r>
          </w:p>
        </w:tc>
        <w:tc>
          <w:tcPr>
            <w:tcW w:w="22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362.1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459.4</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ind w:left="9140"/>
        <w:spacing w:after="0"/>
        <w:rPr>
          <w:sz w:val="20"/>
          <w:szCs w:val="20"/>
          <w:color w:val="auto"/>
        </w:rPr>
      </w:pPr>
      <w:r>
        <w:rPr>
          <w:rFonts w:ascii="Arial" w:cs="Arial" w:eastAsia="Arial" w:hAnsi="Arial"/>
          <w:sz w:val="13"/>
          <w:szCs w:val="13"/>
          <w:b w:val="1"/>
          <w:bCs w:val="1"/>
          <w:color w:val="auto"/>
        </w:rPr>
        <w:t>As of December 30, 2018</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140" w:type="dxa"/>
            <w:vAlign w:val="bottom"/>
          </w:tcPr>
          <w:p>
            <w:pPr>
              <w:spacing w:after="0"/>
              <w:rPr>
                <w:sz w:val="11"/>
                <w:szCs w:val="11"/>
                <w:color w:val="auto"/>
              </w:rPr>
            </w:pPr>
          </w:p>
        </w:tc>
        <w:tc>
          <w:tcPr>
            <w:tcW w:w="128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5"/>
              </w:rPr>
              <w:t>Kratos Government</w:t>
            </w:r>
          </w:p>
        </w:tc>
        <w:tc>
          <w:tcPr>
            <w:tcW w:w="11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1"/>
                <w:szCs w:val="11"/>
                <w:b w:val="1"/>
                <w:bCs w:val="1"/>
                <w:color w:val="auto"/>
              </w:rPr>
              <w:t>Unmanned Systems</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Solutions</w:t>
            </w:r>
          </w:p>
        </w:tc>
        <w:tc>
          <w:tcPr>
            <w:tcW w:w="11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value</w:t>
            </w: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567.9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193"/>
        </w:trPr>
        <w:tc>
          <w:tcPr>
            <w:tcW w:w="8140" w:type="dxa"/>
            <w:vAlign w:val="bottom"/>
          </w:tcPr>
          <w:p>
            <w:pPr>
              <w:ind w:left="20"/>
              <w:spacing w:after="0"/>
              <w:rPr>
                <w:sz w:val="20"/>
                <w:szCs w:val="20"/>
                <w:color w:val="auto"/>
              </w:rPr>
            </w:pPr>
            <w:r>
              <w:rPr>
                <w:rFonts w:ascii="Arial" w:cs="Arial" w:eastAsia="Arial" w:hAnsi="Arial"/>
                <w:sz w:val="14"/>
                <w:szCs w:val="14"/>
                <w:color w:val="auto"/>
              </w:rPr>
              <w:t>Less accumulated impairment</w:t>
            </w:r>
          </w:p>
        </w:tc>
        <w:tc>
          <w:tcPr>
            <w:tcW w:w="22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23"/>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328.4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425.7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Purchased Intangible Assets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information for finite-lived and indefinite-lived intangible assets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5"/>
              </w:rPr>
              <w:t>As of March 31, 2019</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As of December 30, 2018</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18"/>
        </w:trPr>
        <w:tc>
          <w:tcPr>
            <w:tcW w:w="33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Gross</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1"/>
                <w:szCs w:val="11"/>
                <w:b w:val="1"/>
                <w:bCs w:val="1"/>
                <w:color w:val="auto"/>
                <w:w w:val="92"/>
              </w:rPr>
              <w:t>Accumulated</w:t>
            </w:r>
          </w:p>
        </w:tc>
        <w:tc>
          <w:tcPr>
            <w:tcW w:w="300" w:type="dxa"/>
            <w:vAlign w:val="bottom"/>
          </w:tcPr>
          <w:p>
            <w:pPr>
              <w:spacing w:after="0"/>
              <w:rPr>
                <w:sz w:val="10"/>
                <w:szCs w:val="10"/>
                <w:color w:val="auto"/>
              </w:rPr>
            </w:pPr>
          </w:p>
        </w:tc>
        <w:tc>
          <w:tcPr>
            <w:tcW w:w="108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rPr>
              <w:t>Net</w:t>
            </w:r>
          </w:p>
        </w:tc>
        <w:tc>
          <w:tcPr>
            <w:tcW w:w="300" w:type="dxa"/>
            <w:vAlign w:val="bottom"/>
          </w:tcPr>
          <w:p>
            <w:pPr>
              <w:spacing w:after="0"/>
              <w:rPr>
                <w:sz w:val="10"/>
                <w:szCs w:val="10"/>
                <w:color w:val="auto"/>
              </w:rPr>
            </w:pPr>
          </w:p>
        </w:tc>
        <w:tc>
          <w:tcPr>
            <w:tcW w:w="1080" w:type="dxa"/>
            <w:vAlign w:val="bottom"/>
            <w:gridSpan w:val="2"/>
          </w:tcPr>
          <w:p>
            <w:pPr>
              <w:ind w:left="200"/>
              <w:spacing w:after="0" w:line="119" w:lineRule="exact"/>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10"/>
                <w:szCs w:val="10"/>
                <w:color w:val="auto"/>
              </w:rPr>
            </w:pPr>
          </w:p>
        </w:tc>
        <w:tc>
          <w:tcPr>
            <w:tcW w:w="116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10"/>
                <w:szCs w:val="10"/>
                <w:color w:val="auto"/>
              </w:rPr>
            </w:pPr>
          </w:p>
        </w:tc>
        <w:tc>
          <w:tcPr>
            <w:tcW w:w="960" w:type="dxa"/>
            <w:vAlign w:val="bottom"/>
          </w:tcPr>
          <w:p>
            <w:pPr>
              <w:jc w:val="right"/>
              <w:ind w:right="471"/>
              <w:spacing w:after="0" w:line="119" w:lineRule="exact"/>
              <w:rPr>
                <w:sz w:val="20"/>
                <w:szCs w:val="20"/>
                <w:color w:val="auto"/>
              </w:rPr>
            </w:pPr>
            <w:r>
              <w:rPr>
                <w:rFonts w:ascii="Arial" w:cs="Arial" w:eastAsia="Arial" w:hAnsi="Arial"/>
                <w:sz w:val="11"/>
                <w:szCs w:val="11"/>
                <w:b w:val="1"/>
                <w:bCs w:val="1"/>
                <w:color w:val="auto"/>
              </w:rPr>
              <w:t>Net</w:t>
            </w:r>
          </w:p>
        </w:tc>
      </w:tr>
      <w:tr>
        <w:trPr>
          <w:trHeight w:val="153"/>
        </w:trPr>
        <w:tc>
          <w:tcPr>
            <w:tcW w:w="3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Value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Amortization</w:t>
            </w:r>
          </w:p>
        </w:tc>
        <w:tc>
          <w:tcPr>
            <w:tcW w:w="30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5"/>
              </w:rPr>
              <w:t>Value</w:t>
            </w:r>
          </w:p>
        </w:tc>
        <w:tc>
          <w:tcPr>
            <w:tcW w:w="30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Arial" w:cs="Arial" w:eastAsia="Arial" w:hAnsi="Arial"/>
                <w:sz w:val="11"/>
                <w:szCs w:val="11"/>
                <w:b w:val="1"/>
                <w:bCs w:val="1"/>
                <w:color w:val="auto"/>
              </w:rPr>
              <w:t>Value</w:t>
            </w:r>
          </w:p>
        </w:tc>
        <w:tc>
          <w:tcPr>
            <w:tcW w:w="18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Amortization</w:t>
            </w:r>
          </w:p>
        </w:tc>
        <w:tc>
          <w:tcPr>
            <w:tcW w:w="280" w:type="dxa"/>
            <w:vAlign w:val="bottom"/>
          </w:tcPr>
          <w:p>
            <w:pPr>
              <w:spacing w:after="0"/>
              <w:rPr>
                <w:sz w:val="13"/>
                <w:szCs w:val="13"/>
                <w:color w:val="auto"/>
              </w:rPr>
            </w:pPr>
          </w:p>
        </w:tc>
        <w:tc>
          <w:tcPr>
            <w:tcW w:w="960" w:type="dxa"/>
            <w:vAlign w:val="bottom"/>
          </w:tcPr>
          <w:p>
            <w:pPr>
              <w:jc w:val="right"/>
              <w:ind w:right="411"/>
              <w:spacing w:after="0"/>
              <w:rPr>
                <w:sz w:val="20"/>
                <w:szCs w:val="20"/>
                <w:color w:val="auto"/>
              </w:rPr>
            </w:pPr>
            <w:r>
              <w:rPr>
                <w:rFonts w:ascii="Arial" w:cs="Arial" w:eastAsia="Arial" w:hAnsi="Arial"/>
                <w:sz w:val="11"/>
                <w:szCs w:val="11"/>
                <w:b w:val="1"/>
                <w:bCs w:val="1"/>
                <w:color w:val="auto"/>
              </w:rPr>
              <w:t>Value</w:t>
            </w:r>
          </w:p>
        </w:tc>
      </w:tr>
      <w:tr>
        <w:trPr>
          <w:trHeight w:val="191"/>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finite-lived intangible assets:</w:t>
            </w: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3340" w:type="dxa"/>
            <w:vAlign w:val="bottom"/>
          </w:tcPr>
          <w:p>
            <w:pPr>
              <w:ind w:left="140"/>
              <w:spacing w:after="0"/>
              <w:rPr>
                <w:sz w:val="20"/>
                <w:szCs w:val="20"/>
                <w:color w:val="auto"/>
              </w:rPr>
            </w:pPr>
            <w:r>
              <w:rPr>
                <w:rFonts w:ascii="Arial" w:cs="Arial" w:eastAsia="Arial" w:hAnsi="Arial"/>
                <w:sz w:val="14"/>
                <w:szCs w:val="14"/>
                <w:color w:val="auto"/>
              </w:rPr>
              <w:t>Customer relationships</w:t>
            </w:r>
          </w:p>
        </w:tc>
        <w:tc>
          <w:tcPr>
            <w:tcW w:w="800" w:type="dxa"/>
            <w:vAlign w:val="bottom"/>
          </w:tcPr>
          <w:p>
            <w:pPr>
              <w:jc w:val="right"/>
              <w:ind w:right="655"/>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2.0</w:t>
            </w:r>
          </w:p>
        </w:tc>
      </w:tr>
      <w:tr>
        <w:trPr>
          <w:trHeight w:val="23"/>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Contracts and backlog</w:t>
            </w:r>
          </w:p>
        </w:tc>
        <w:tc>
          <w:tcPr>
            <w:tcW w:w="8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w:t>
            </w:r>
          </w:p>
        </w:tc>
      </w:tr>
      <w:tr>
        <w:trPr>
          <w:trHeight w:val="193"/>
        </w:trPr>
        <w:tc>
          <w:tcPr>
            <w:tcW w:w="3340" w:type="dxa"/>
            <w:vAlign w:val="bottom"/>
          </w:tcPr>
          <w:p>
            <w:pPr>
              <w:ind w:left="140"/>
              <w:spacing w:after="0"/>
              <w:rPr>
                <w:sz w:val="20"/>
                <w:szCs w:val="20"/>
                <w:color w:val="auto"/>
              </w:rPr>
            </w:pPr>
            <w:r>
              <w:rPr>
                <w:rFonts w:ascii="Arial" w:cs="Arial" w:eastAsia="Arial" w:hAnsi="Arial"/>
                <w:sz w:val="14"/>
                <w:szCs w:val="14"/>
                <w:color w:val="auto"/>
              </w:rPr>
              <w:t>Developed technology and technical know-how</w:t>
            </w:r>
          </w:p>
        </w:tc>
        <w:tc>
          <w:tcPr>
            <w:tcW w:w="8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3.7</w:t>
            </w:r>
          </w:p>
        </w:tc>
      </w:tr>
      <w:tr>
        <w:trPr>
          <w:trHeight w:val="23"/>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names</w:t>
            </w:r>
          </w:p>
        </w:tc>
        <w:tc>
          <w:tcPr>
            <w:tcW w:w="8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93"/>
        </w:trPr>
        <w:tc>
          <w:tcPr>
            <w:tcW w:w="3340" w:type="dxa"/>
            <w:vAlign w:val="bottom"/>
          </w:tcPr>
          <w:p>
            <w:pPr>
              <w:ind w:left="140"/>
              <w:spacing w:after="0"/>
              <w:rPr>
                <w:sz w:val="20"/>
                <w:szCs w:val="20"/>
                <w:color w:val="auto"/>
              </w:rPr>
            </w:pPr>
            <w:r>
              <w:rPr>
                <w:rFonts w:ascii="Arial" w:cs="Arial" w:eastAsia="Arial" w:hAnsi="Arial"/>
                <w:sz w:val="14"/>
                <w:szCs w:val="14"/>
                <w:color w:val="auto"/>
              </w:rPr>
              <w:t>In-process research and development</w:t>
            </w:r>
          </w:p>
        </w:tc>
        <w:tc>
          <w:tcPr>
            <w:tcW w:w="8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3"/>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finite-lived intangible assets</w:t>
            </w:r>
          </w:p>
        </w:tc>
        <w:tc>
          <w:tcPr>
            <w:tcW w:w="8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128.7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108.9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9.2</w:t>
            </w:r>
          </w:p>
        </w:tc>
      </w:tr>
      <w:tr>
        <w:trPr>
          <w:trHeight w:val="193"/>
        </w:trPr>
        <w:tc>
          <w:tcPr>
            <w:tcW w:w="3340" w:type="dxa"/>
            <w:vAlign w:val="bottom"/>
          </w:tcPr>
          <w:p>
            <w:pPr>
              <w:ind w:left="20"/>
              <w:spacing w:after="0"/>
              <w:rPr>
                <w:sz w:val="20"/>
                <w:szCs w:val="20"/>
                <w:color w:val="auto"/>
              </w:rPr>
            </w:pPr>
            <w:r>
              <w:rPr>
                <w:rFonts w:ascii="Arial" w:cs="Arial" w:eastAsia="Arial" w:hAnsi="Arial"/>
                <w:sz w:val="14"/>
                <w:szCs w:val="14"/>
                <w:color w:val="auto"/>
              </w:rPr>
              <w:t>Indefinite-lived trade names</w:t>
            </w:r>
          </w:p>
        </w:tc>
        <w:tc>
          <w:tcPr>
            <w:tcW w:w="8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6.9</w:t>
            </w:r>
          </w:p>
        </w:tc>
      </w:tr>
      <w:tr>
        <w:trPr>
          <w:trHeight w:val="23"/>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w:t>
            </w:r>
          </w:p>
        </w:tc>
        <w:tc>
          <w:tcPr>
            <w:tcW w:w="80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135.6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34.4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115.8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16.1</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420" w:firstLine="517"/>
        <w:spacing w:after="0" w:line="288" w:lineRule="auto"/>
        <w:rPr>
          <w:sz w:val="20"/>
          <w:szCs w:val="20"/>
          <w:color w:val="auto"/>
        </w:rPr>
      </w:pPr>
      <w:r>
        <w:rPr>
          <w:rFonts w:ascii="Arial" w:cs="Arial" w:eastAsia="Arial" w:hAnsi="Arial"/>
          <w:sz w:val="14"/>
          <w:szCs w:val="14"/>
          <w:color w:val="auto"/>
        </w:rPr>
        <w:t>Consolidated amortization expense related to intangible assets subject to amortization was $1.5 million and $1.7 million for the three months ended March 31, 2019 and April 1, 2018, respectively.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Inventoried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Inventoried costs, net of progress payments, consisted of the following components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20" w:type="dxa"/>
            <w:vAlign w:val="bottom"/>
          </w:tcPr>
          <w:p>
            <w:pPr>
              <w:spacing w:after="0"/>
              <w:rPr>
                <w:sz w:val="14"/>
                <w:szCs w:val="14"/>
                <w:color w:val="auto"/>
              </w:rPr>
            </w:pPr>
          </w:p>
        </w:tc>
        <w:tc>
          <w:tcPr>
            <w:tcW w:w="1600" w:type="dxa"/>
            <w:vAlign w:val="bottom"/>
          </w:tcPr>
          <w:p>
            <w:pPr>
              <w:jc w:val="right"/>
              <w:ind w:right="51"/>
              <w:spacing w:after="0"/>
              <w:rPr>
                <w:sz w:val="20"/>
                <w:szCs w:val="20"/>
                <w:color w:val="auto"/>
              </w:rPr>
            </w:pPr>
            <w:r>
              <w:rPr>
                <w:rFonts w:ascii="Arial" w:cs="Arial" w:eastAsia="Arial" w:hAnsi="Arial"/>
                <w:sz w:val="13"/>
                <w:szCs w:val="13"/>
                <w:b w:val="1"/>
                <w:bCs w:val="1"/>
                <w:color w:val="auto"/>
              </w:rPr>
              <w:t>March 31, 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429"/>
              <w:spacing w:after="0"/>
              <w:rPr>
                <w:sz w:val="20"/>
                <w:szCs w:val="20"/>
                <w:color w:val="auto"/>
              </w:rPr>
            </w:pPr>
            <w:r>
              <w:rPr>
                <w:rFonts w:ascii="Arial" w:cs="Arial" w:eastAsia="Arial" w:hAnsi="Arial"/>
                <w:sz w:val="13"/>
                <w:szCs w:val="13"/>
                <w:b w:val="1"/>
                <w:bCs w:val="1"/>
                <w:color w:val="auto"/>
              </w:rPr>
              <w:t>December 30, 2018</w:t>
            </w:r>
          </w:p>
        </w:tc>
      </w:tr>
      <w:tr>
        <w:trPr>
          <w:trHeight w:val="27"/>
        </w:trPr>
        <w:tc>
          <w:tcPr>
            <w:tcW w:w="7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1600" w:type="dxa"/>
            <w:vAlign w:val="bottom"/>
            <w:tcBorders>
              <w:bottom w:val="single" w:sz="8" w:color="CCEEFF"/>
            </w:tcBorders>
            <w:shd w:val="clear" w:color="auto" w:fill="CCEEFF"/>
          </w:tcPr>
          <w:p>
            <w:pPr>
              <w:jc w:val="right"/>
              <w:ind w:right="143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34.7</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160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right"/>
              <w:ind w:right="29"/>
              <w:spacing w:after="0"/>
              <w:rPr>
                <w:sz w:val="20"/>
                <w:szCs w:val="20"/>
                <w:color w:val="auto"/>
              </w:rPr>
            </w:pPr>
            <w:r>
              <w:rPr>
                <w:rFonts w:ascii="Arial" w:cs="Arial" w:eastAsia="Arial" w:hAnsi="Arial"/>
                <w:sz w:val="14"/>
                <w:szCs w:val="14"/>
                <w:color w:val="auto"/>
              </w:rPr>
              <w:t>10.3</w:t>
            </w:r>
          </w:p>
        </w:tc>
      </w:tr>
      <w:tr>
        <w:trPr>
          <w:trHeight w:val="23"/>
        </w:trPr>
        <w:tc>
          <w:tcPr>
            <w:tcW w:w="7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6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w:t>
            </w:r>
          </w:p>
        </w:tc>
      </w:tr>
      <w:tr>
        <w:trPr>
          <w:trHeight w:val="184"/>
        </w:trPr>
        <w:tc>
          <w:tcPr>
            <w:tcW w:w="7220" w:type="dxa"/>
            <w:vAlign w:val="bottom"/>
          </w:tcPr>
          <w:p>
            <w:pPr>
              <w:ind w:left="140"/>
              <w:spacing w:after="0"/>
              <w:rPr>
                <w:sz w:val="20"/>
                <w:szCs w:val="20"/>
                <w:color w:val="auto"/>
              </w:rPr>
            </w:pPr>
            <w:r>
              <w:rPr>
                <w:rFonts w:ascii="Arial" w:cs="Arial" w:eastAsia="Arial" w:hAnsi="Arial"/>
                <w:sz w:val="14"/>
                <w:szCs w:val="14"/>
                <w:color w:val="auto"/>
              </w:rPr>
              <w:t>Subtotal inventoried costs</w:t>
            </w:r>
          </w:p>
        </w:tc>
        <w:tc>
          <w:tcPr>
            <w:tcW w:w="16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46.8</w:t>
            </w:r>
          </w:p>
        </w:tc>
      </w:tr>
      <w:tr>
        <w:trPr>
          <w:trHeight w:val="23"/>
        </w:trPr>
        <w:tc>
          <w:tcPr>
            <w:tcW w:w="7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Customer advances and progress payments</w:t>
            </w:r>
          </w:p>
        </w:tc>
        <w:tc>
          <w:tcPr>
            <w:tcW w:w="16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00"/>
        </w:trPr>
        <w:tc>
          <w:tcPr>
            <w:tcW w:w="7220" w:type="dxa"/>
            <w:vAlign w:val="bottom"/>
          </w:tcPr>
          <w:p>
            <w:pPr>
              <w:ind w:left="220"/>
              <w:spacing w:after="0"/>
              <w:rPr>
                <w:sz w:val="20"/>
                <w:szCs w:val="20"/>
                <w:color w:val="auto"/>
              </w:rPr>
            </w:pPr>
            <w:r>
              <w:rPr>
                <w:rFonts w:ascii="Arial" w:cs="Arial" w:eastAsia="Arial" w:hAnsi="Arial"/>
                <w:sz w:val="14"/>
                <w:szCs w:val="14"/>
                <w:color w:val="auto"/>
              </w:rPr>
              <w:t>Total inventoried costs</w:t>
            </w:r>
          </w:p>
        </w:tc>
        <w:tc>
          <w:tcPr>
            <w:tcW w:w="1600" w:type="dxa"/>
            <w:vAlign w:val="bottom"/>
            <w:tcBorders>
              <w:top w:val="single" w:sz="8" w:color="auto"/>
              <w:bottom w:val="single" w:sz="8" w:color="auto"/>
            </w:tcBorders>
          </w:tcPr>
          <w:p>
            <w:pPr>
              <w:jc w:val="right"/>
              <w:ind w:right="1431"/>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46.8</w:t>
            </w:r>
          </w:p>
        </w:tc>
      </w:tr>
      <w:tr>
        <w:trPr>
          <w:trHeight w:val="20"/>
        </w:trPr>
        <w:tc>
          <w:tcPr>
            <w:tcW w:w="7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Net Income (Loss) per Common Share</w:t>
      </w:r>
    </w:p>
    <w:p>
      <w:pPr>
        <w:spacing w:after="0" w:line="188" w:lineRule="exact"/>
        <w:rPr>
          <w:sz w:val="20"/>
          <w:szCs w:val="20"/>
          <w:color w:val="auto"/>
        </w:rPr>
      </w:pPr>
    </w:p>
    <w:p>
      <w:pPr>
        <w:ind w:right="60" w:firstLine="517"/>
        <w:spacing w:after="0" w:line="272" w:lineRule="auto"/>
        <w:rPr>
          <w:sz w:val="20"/>
          <w:szCs w:val="20"/>
          <w:color w:val="auto"/>
        </w:rPr>
      </w:pPr>
      <w:r>
        <w:rPr>
          <w:rFonts w:ascii="Arial" w:cs="Arial" w:eastAsia="Arial" w:hAnsi="Arial"/>
          <w:sz w:val="14"/>
          <w:szCs w:val="14"/>
          <w:color w:val="auto"/>
        </w:rPr>
        <w:t xml:space="preserve">The Company calculates net income (loss) per share in accordance with FASB Accounting Standards Codification Topic 260, </w:t>
      </w:r>
      <w:r>
        <w:rPr>
          <w:rFonts w:ascii="Arial" w:cs="Arial" w:eastAsia="Arial" w:hAnsi="Arial"/>
          <w:sz w:val="14"/>
          <w:szCs w:val="14"/>
          <w:i w:val="1"/>
          <w:iCs w:val="1"/>
          <w:color w:val="auto"/>
        </w:rPr>
        <w:t>Earnings per Share (Topic 260).</w:t>
      </w:r>
      <w:r>
        <w:rPr>
          <w:rFonts w:ascii="Arial" w:cs="Arial" w:eastAsia="Arial" w:hAnsi="Arial"/>
          <w:sz w:val="14"/>
          <w:szCs w:val="14"/>
          <w:color w:val="auto"/>
        </w:rPr>
        <w:t xml:space="preserve">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42" w:lineRule="exact"/>
        <w:rPr>
          <w:sz w:val="20"/>
          <w:szCs w:val="20"/>
          <w:color w:val="auto"/>
        </w:rPr>
      </w:pPr>
    </w:p>
    <w:p>
      <w:pPr>
        <w:ind w:right="260" w:firstLine="453"/>
        <w:spacing w:after="0" w:line="288" w:lineRule="auto"/>
        <w:rPr>
          <w:sz w:val="20"/>
          <w:szCs w:val="20"/>
          <w:color w:val="auto"/>
        </w:rPr>
      </w:pPr>
      <w:r>
        <w:rPr>
          <w:rFonts w:ascii="Arial" w:cs="Arial" w:eastAsia="Arial" w:hAnsi="Arial"/>
          <w:sz w:val="14"/>
          <w:szCs w:val="14"/>
          <w:color w:val="auto"/>
        </w:rPr>
        <w:t>Shares from stock options and awards, excluded from the calculation of diluted net income (loss) per share because their inclusion would have been anti-dilutive, were $0.3 million for the three months ended April 1, 2018.</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Leases</w:t>
      </w:r>
    </w:p>
    <w:p>
      <w:pPr>
        <w:spacing w:after="0" w:line="188" w:lineRule="exact"/>
        <w:rPr>
          <w:sz w:val="20"/>
          <w:szCs w:val="20"/>
          <w:color w:val="auto"/>
        </w:rPr>
      </w:pPr>
    </w:p>
    <w:p>
      <w:pPr>
        <w:ind w:right="20" w:firstLine="517"/>
        <w:spacing w:after="0" w:line="315" w:lineRule="auto"/>
        <w:rPr>
          <w:sz w:val="20"/>
          <w:szCs w:val="20"/>
          <w:color w:val="auto"/>
        </w:rPr>
      </w:pPr>
      <w:r>
        <w:rPr>
          <w:rFonts w:ascii="Arial" w:cs="Arial" w:eastAsia="Arial" w:hAnsi="Arial"/>
          <w:sz w:val="12"/>
          <w:szCs w:val="12"/>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20" w:lineRule="exact"/>
        <w:rPr>
          <w:sz w:val="20"/>
          <w:szCs w:val="20"/>
          <w:color w:val="auto"/>
        </w:rPr>
      </w:pPr>
    </w:p>
    <w:p>
      <w:pPr>
        <w:jc w:val="both"/>
        <w:ind w:right="120" w:firstLine="517"/>
        <w:spacing w:after="0" w:line="272" w:lineRule="auto"/>
        <w:rPr>
          <w:sz w:val="20"/>
          <w:szCs w:val="20"/>
          <w:color w:val="auto"/>
        </w:rPr>
      </w:pPr>
      <w:r>
        <w:rPr>
          <w:rFonts w:ascii="Arial" w:cs="Arial" w:eastAsia="Arial" w:hAnsi="Arial"/>
          <w:sz w:val="14"/>
          <w:szCs w:val="14"/>
          <w:color w:val="auto"/>
        </w:rPr>
        <w:t>Variable lease payments are generally expensed as incurred and include certain index-based changes in rent, certain non-lease components, such as maintenance and other services provided by the lessor, and other charges included in the lease. Leases with an initial term of 12 months or less are not recorded on the balance sheet, and the expense for these short-term leases is recognized on a straight-line basis over the lease term.</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depreciable life of lease assets and leasehold improvements is limited by the expected lease term, unless there is a transfer of title or purchase option reasonably certain of exercise.</w:t>
      </w:r>
    </w:p>
    <w:p>
      <w:pPr>
        <w:spacing w:after="0" w:line="195" w:lineRule="exact"/>
        <w:rPr>
          <w:sz w:val="20"/>
          <w:szCs w:val="20"/>
          <w:color w:val="auto"/>
        </w:rPr>
      </w:pPr>
    </w:p>
    <w:p>
      <w:pPr>
        <w:ind w:right="20" w:firstLine="517"/>
        <w:spacing w:after="0" w:line="288" w:lineRule="auto"/>
        <w:rPr>
          <w:sz w:val="20"/>
          <w:szCs w:val="20"/>
          <w:color w:val="auto"/>
        </w:rPr>
      </w:pPr>
      <w:r>
        <w:rPr>
          <w:rFonts w:ascii="Arial" w:cs="Arial" w:eastAsia="Arial" w:hAnsi="Arial"/>
          <w:sz w:val="14"/>
          <w:szCs w:val="14"/>
          <w:color w:val="auto"/>
        </w:rPr>
        <w:t>As a result of a lease modification for our expanded facilities in Colorado, the Company was required to reassess the classification of the lease which previously had been accounted for as an operating lease. This reassessment resulted in the recording of a $39.3 million finance lease, which includes a 5 year renewal option.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lease expense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7274560" cy="143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right of use assets - finance leases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on lease liabilities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cost (cost resulting from lease payments)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Variable lease cost (cost excluded from lease payments)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50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50495"/>
                    </a:xfrm>
                    <a:prstGeom prst="rect">
                      <a:avLst/>
                    </a:prstGeom>
                    <a:noFill/>
                  </pic:spPr>
                </pic:pic>
              </a:graphicData>
            </a:graphic>
          </wp:anchor>
        </w:drawing>
      </w:r>
    </w:p>
    <w:p>
      <w:pPr>
        <w:spacing w:after="0" w:line="5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Total lease cost</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leases on the balance sheet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7274560"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Current portion of operating lease liabilities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 leases: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Other current liabilities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Other long-term liabilities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Cash paid for amounts included in the measurement of lease liabilities was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226695</wp:posOffset>
            </wp:positionV>
            <wp:extent cx="7274560" cy="143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 lease - cash paid for interest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 lease - financing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 operating cash flows (fixed payments)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supplemental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82550</wp:posOffset>
            </wp:positionV>
            <wp:extent cx="72332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3285" cy="137160"/>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Operating lease right-of-use assets obtained in exchange for new lease liabilities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Finance lease right-of-use assets obtained in exchange for new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33285" cy="109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3285" cy="109220"/>
                    </a:xfrm>
                    <a:prstGeom prst="rect">
                      <a:avLst/>
                    </a:prstGeom>
                    <a:noFill/>
                  </pic:spPr>
                </pic:pic>
              </a:graphicData>
            </a:graphic>
          </wp:anchor>
        </w:drawing>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332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3285" cy="137160"/>
                    </a:xfrm>
                    <a:prstGeom prst="rect">
                      <a:avLst/>
                    </a:prstGeom>
                    <a:noFill/>
                  </pic:spPr>
                </pic:pic>
              </a:graphicData>
            </a:graphic>
          </wp:anchor>
        </w:drawing>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Operating leases</w:t>
      </w:r>
    </w:p>
    <w:p>
      <w:pPr>
        <w:spacing w:after="0" w:line="5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33285" cy="116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3285" cy="116205"/>
                    </a:xfrm>
                    <a:prstGeom prst="rect">
                      <a:avLst/>
                    </a:prstGeom>
                    <a:noFill/>
                  </pic:spPr>
                </pic:pic>
              </a:graphicData>
            </a:graphic>
          </wp:anchor>
        </w:drawing>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332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3285" cy="137160"/>
                    </a:xfrm>
                    <a:prstGeom prst="rect">
                      <a:avLst/>
                    </a:prstGeom>
                    <a:noFill/>
                  </pic:spPr>
                </pic:pic>
              </a:graphicData>
            </a:graphic>
          </wp:anchor>
        </w:drawing>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Operating leases</w:t>
      </w:r>
    </w:p>
    <w:p>
      <w:pPr>
        <w:spacing w:after="0" w:line="5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Finance leases</w:t>
      </w:r>
    </w:p>
    <w:p>
      <w:pPr>
        <w:spacing w:after="0" w:line="39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80" w:type="dxa"/>
            <w:vAlign w:val="bottom"/>
          </w:tcPr>
          <w:p>
            <w:pPr>
              <w:spacing w:after="0"/>
              <w:rPr>
                <w:sz w:val="12"/>
                <w:szCs w:val="12"/>
                <w:color w:val="auto"/>
              </w:rPr>
            </w:pPr>
          </w:p>
        </w:tc>
        <w:tc>
          <w:tcPr>
            <w:tcW w:w="1660" w:type="dxa"/>
            <w:vAlign w:val="bottom"/>
          </w:tcPr>
          <w:p>
            <w:pPr>
              <w:jc w:val="center"/>
              <w:ind w:right="210"/>
              <w:spacing w:after="0"/>
              <w:rPr>
                <w:sz w:val="20"/>
                <w:szCs w:val="20"/>
                <w:color w:val="auto"/>
              </w:rPr>
            </w:pPr>
            <w:r>
              <w:rPr>
                <w:rFonts w:ascii="Arial" w:cs="Arial" w:eastAsia="Arial" w:hAnsi="Arial"/>
                <w:sz w:val="11"/>
                <w:szCs w:val="11"/>
                <w:b w:val="1"/>
                <w:bCs w:val="1"/>
                <w:color w:val="auto"/>
                <w:w w:val="97"/>
              </w:rPr>
              <w:t>Three Months Ended</w:t>
            </w:r>
          </w:p>
        </w:tc>
      </w:tr>
      <w:tr>
        <w:trPr>
          <w:trHeight w:val="220"/>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90"/>
              <w:spacing w:after="0"/>
              <w:rPr>
                <w:sz w:val="20"/>
                <w:szCs w:val="20"/>
                <w:color w:val="auto"/>
              </w:rPr>
            </w:pPr>
            <w:r>
              <w:rPr>
                <w:rFonts w:ascii="Arial" w:cs="Arial" w:eastAsia="Arial" w:hAnsi="Arial"/>
                <w:sz w:val="11"/>
                <w:szCs w:val="11"/>
                <w:b w:val="1"/>
                <w:bCs w:val="1"/>
                <w:color w:val="auto"/>
                <w:w w:val="97"/>
              </w:rPr>
              <w:t>March 31, 2019</w:t>
            </w:r>
          </w:p>
        </w:tc>
      </w:tr>
      <w:tr>
        <w:trPr>
          <w:trHeight w:val="188"/>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0.5</w:t>
            </w:r>
          </w:p>
        </w:tc>
      </w:tr>
      <w:tr>
        <w:trPr>
          <w:trHeight w:val="216"/>
        </w:trPr>
        <w:tc>
          <w:tcPr>
            <w:tcW w:w="28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0.6</w:t>
            </w:r>
          </w:p>
        </w:tc>
      </w:tr>
      <w:tr>
        <w:trPr>
          <w:trHeight w:val="216"/>
        </w:trPr>
        <w:tc>
          <w:tcPr>
            <w:tcW w:w="28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3.0</w:t>
            </w:r>
          </w:p>
        </w:tc>
      </w:tr>
      <w:tr>
        <w:trPr>
          <w:trHeight w:val="216"/>
        </w:trPr>
        <w:tc>
          <w:tcPr>
            <w:tcW w:w="28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0.1</w:t>
            </w:r>
          </w:p>
        </w:tc>
      </w:tr>
      <w:tr>
        <w:trPr>
          <w:trHeight w:val="216"/>
        </w:trPr>
        <w:tc>
          <w:tcPr>
            <w:tcW w:w="28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16"/>
        </w:trPr>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3"/>
        </w:trPr>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4"/>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3.4</w:t>
            </w:r>
          </w:p>
        </w:tc>
      </w:tr>
      <w:tr>
        <w:trPr>
          <w:trHeight w:val="23"/>
        </w:trPr>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733"/>
        </w:trPr>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190"/>
              <w:spacing w:after="0"/>
              <w:rPr>
                <w:sz w:val="20"/>
                <w:szCs w:val="20"/>
                <w:color w:val="auto"/>
              </w:rPr>
            </w:pPr>
            <w:r>
              <w:rPr>
                <w:rFonts w:ascii="Arial" w:cs="Arial" w:eastAsia="Arial" w:hAnsi="Arial"/>
                <w:sz w:val="11"/>
                <w:szCs w:val="11"/>
                <w:b w:val="1"/>
                <w:bCs w:val="1"/>
                <w:color w:val="auto"/>
                <w:w w:val="97"/>
              </w:rPr>
              <w:t>March 31, 2019</w:t>
            </w:r>
          </w:p>
        </w:tc>
      </w:tr>
      <w:tr>
        <w:trPr>
          <w:trHeight w:val="404"/>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38.1</w:t>
            </w:r>
          </w:p>
        </w:tc>
      </w:tr>
      <w:tr>
        <w:trPr>
          <w:trHeight w:val="216"/>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13.3</w:t>
            </w:r>
          </w:p>
        </w:tc>
      </w:tr>
      <w:tr>
        <w:trPr>
          <w:trHeight w:val="216"/>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31.3</w:t>
            </w:r>
          </w:p>
        </w:tc>
      </w:tr>
      <w:tr>
        <w:trPr>
          <w:trHeight w:val="431"/>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39.1</w:t>
            </w:r>
          </w:p>
        </w:tc>
      </w:tr>
      <w:tr>
        <w:trPr>
          <w:trHeight w:val="216"/>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0.5</w:t>
            </w:r>
          </w:p>
        </w:tc>
      </w:tr>
      <w:tr>
        <w:trPr>
          <w:trHeight w:val="216"/>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38.9</w:t>
            </w:r>
          </w:p>
        </w:tc>
      </w:tr>
      <w:tr>
        <w:trPr>
          <w:trHeight w:val="686"/>
        </w:trPr>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5"/>
              </w:rPr>
              <w:t>Three Months Ended March 31, 2019</w:t>
            </w:r>
          </w:p>
        </w:tc>
      </w:tr>
      <w:tr>
        <w:trPr>
          <w:trHeight w:val="188"/>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0.6</w:t>
            </w:r>
          </w:p>
        </w:tc>
      </w:tr>
      <w:tr>
        <w:trPr>
          <w:trHeight w:val="216"/>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0.1</w:t>
            </w:r>
          </w:p>
        </w:tc>
      </w:tr>
      <w:tr>
        <w:trPr>
          <w:trHeight w:val="216"/>
        </w:trPr>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3.3</w:t>
            </w:r>
          </w:p>
        </w:tc>
      </w:tr>
      <w:tr>
        <w:trPr>
          <w:trHeight w:val="668"/>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41.2</w:t>
            </w:r>
          </w:p>
        </w:tc>
      </w:tr>
      <w:tr>
        <w:trPr>
          <w:trHeight w:val="216"/>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39.6</w:t>
            </w:r>
          </w:p>
        </w:tc>
      </w:tr>
      <w:tr>
        <w:trPr>
          <w:trHeight w:val="603"/>
        </w:trPr>
        <w:tc>
          <w:tcPr>
            <w:tcW w:w="28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5.1</w:t>
            </w:r>
          </w:p>
        </w:tc>
      </w:tr>
      <w:tr>
        <w:trPr>
          <w:trHeight w:val="216"/>
        </w:trPr>
        <w:tc>
          <w:tcPr>
            <w:tcW w:w="28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19.6</w:t>
            </w:r>
          </w:p>
        </w:tc>
      </w:tr>
    </w:tbl>
    <w:p>
      <w:pPr>
        <w:spacing w:after="0" w:line="200" w:lineRule="exact"/>
        <w:rPr>
          <w:sz w:val="20"/>
          <w:szCs w:val="20"/>
          <w:color w:val="auto"/>
        </w:rPr>
      </w:pPr>
    </w:p>
    <w:p>
      <w:pPr>
        <w:spacing w:after="0" w:line="232"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6.50%</w:t>
      </w:r>
    </w:p>
    <w:p>
      <w:pPr>
        <w:spacing w:after="0" w:line="55"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6.53%</w:t>
      </w:r>
    </w:p>
    <w:p>
      <w:pPr>
        <w:sectPr>
          <w:pgSz w:w="11900" w:h="16838" w:orient="portrait"/>
          <w:cols w:equalWidth="0" w:num="2">
            <w:col w:w="8800" w:space="720"/>
            <w:col w:w="1940"/>
          </w:cols>
          <w:pgMar w:left="220" w:top="129"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73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8"/>
        </w:trPr>
        <w:tc>
          <w:tcPr>
            <w:tcW w:w="7360" w:type="dxa"/>
            <w:vAlign w:val="bottom"/>
            <w:gridSpan w:val="2"/>
          </w:tcPr>
          <w:p>
            <w:pPr>
              <w:ind w:left="520"/>
              <w:spacing w:after="0"/>
              <w:rPr>
                <w:sz w:val="20"/>
                <w:szCs w:val="20"/>
                <w:color w:val="auto"/>
              </w:rPr>
            </w:pPr>
            <w:r>
              <w:rPr>
                <w:rFonts w:ascii="Arial" w:cs="Arial" w:eastAsia="Arial" w:hAnsi="Arial"/>
                <w:sz w:val="14"/>
                <w:szCs w:val="14"/>
                <w:color w:val="auto"/>
              </w:rPr>
              <w:t>The maturity of lease liabilities is (in millions):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1"/>
        </w:trPr>
        <w:tc>
          <w:tcPr>
            <w:tcW w:w="102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w w:val="88"/>
              </w:rPr>
              <w:t>Operating Leases</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Finance Leases</w:t>
            </w:r>
          </w:p>
        </w:tc>
      </w:tr>
      <w:tr>
        <w:trPr>
          <w:trHeight w:val="34"/>
        </w:trPr>
        <w:tc>
          <w:tcPr>
            <w:tcW w:w="1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102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 xml:space="preserve">2019 </w:t>
            </w:r>
            <w:r>
              <w:rPr>
                <w:rFonts w:ascii="Arial" w:cs="Arial" w:eastAsia="Arial" w:hAnsi="Arial"/>
                <w:sz w:val="20"/>
                <w:szCs w:val="20"/>
                <w:color w:val="auto"/>
                <w:vertAlign w:val="superscript"/>
              </w:rPr>
              <w:t>(1)</w:t>
            </w:r>
          </w:p>
        </w:tc>
        <w:tc>
          <w:tcPr>
            <w:tcW w:w="6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r>
      <w:tr>
        <w:trPr>
          <w:trHeight w:val="193"/>
        </w:trPr>
        <w:tc>
          <w:tcPr>
            <w:tcW w:w="1020" w:type="dxa"/>
            <w:vAlign w:val="bottom"/>
          </w:tcPr>
          <w:p>
            <w:pPr>
              <w:ind w:left="20"/>
              <w:spacing w:after="0"/>
              <w:rPr>
                <w:sz w:val="20"/>
                <w:szCs w:val="20"/>
                <w:color w:val="auto"/>
              </w:rPr>
            </w:pPr>
            <w:r>
              <w:rPr>
                <w:rFonts w:ascii="Arial" w:cs="Arial" w:eastAsia="Arial" w:hAnsi="Arial"/>
                <w:sz w:val="14"/>
                <w:szCs w:val="14"/>
                <w:color w:val="auto"/>
              </w:rPr>
              <w:t>2020</w:t>
            </w:r>
          </w:p>
        </w:tc>
        <w:tc>
          <w:tcPr>
            <w:tcW w:w="6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color w:val="auto"/>
              </w:rPr>
              <w:t>3.1</w:t>
            </w:r>
          </w:p>
        </w:tc>
      </w:tr>
      <w:tr>
        <w:trPr>
          <w:trHeight w:val="23"/>
        </w:trPr>
        <w:tc>
          <w:tcPr>
            <w:tcW w:w="10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6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3.2</w:t>
            </w:r>
          </w:p>
        </w:tc>
      </w:tr>
      <w:tr>
        <w:trPr>
          <w:trHeight w:val="193"/>
        </w:trPr>
        <w:tc>
          <w:tcPr>
            <w:tcW w:w="1020" w:type="dxa"/>
            <w:vAlign w:val="bottom"/>
          </w:tcPr>
          <w:p>
            <w:pPr>
              <w:ind w:left="20"/>
              <w:spacing w:after="0"/>
              <w:rPr>
                <w:sz w:val="20"/>
                <w:szCs w:val="20"/>
                <w:color w:val="auto"/>
              </w:rPr>
            </w:pPr>
            <w:r>
              <w:rPr>
                <w:rFonts w:ascii="Arial" w:cs="Arial" w:eastAsia="Arial" w:hAnsi="Arial"/>
                <w:sz w:val="14"/>
                <w:szCs w:val="14"/>
                <w:color w:val="auto"/>
              </w:rPr>
              <w:t>2022</w:t>
            </w:r>
          </w:p>
        </w:tc>
        <w:tc>
          <w:tcPr>
            <w:tcW w:w="6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color w:val="auto"/>
              </w:rPr>
              <w:t>3.3</w:t>
            </w:r>
          </w:p>
        </w:tc>
      </w:tr>
      <w:tr>
        <w:trPr>
          <w:trHeight w:val="23"/>
        </w:trPr>
        <w:tc>
          <w:tcPr>
            <w:tcW w:w="10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r>
      <w:tr>
        <w:trPr>
          <w:trHeight w:val="193"/>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Thereafter</w:t>
            </w: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color w:val="auto"/>
              </w:rPr>
              <w:t>57.3</w:t>
            </w: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6"/>
        </w:trPr>
        <w:tc>
          <w:tcPr>
            <w:tcW w:w="1020" w:type="dxa"/>
            <w:vAlign w:val="bottom"/>
            <w:tcBorders>
              <w:bottom w:val="single" w:sz="8" w:color="CCEEFF"/>
            </w:tcBorders>
            <w:shd w:val="clear" w:color="auto" w:fill="CCEEFF"/>
          </w:tcPr>
          <w:p>
            <w:pPr>
              <w:spacing w:after="0"/>
              <w:rPr>
                <w:sz w:val="16"/>
                <w:szCs w:val="16"/>
                <w:color w:val="auto"/>
              </w:rPr>
            </w:pPr>
          </w:p>
        </w:tc>
        <w:tc>
          <w:tcPr>
            <w:tcW w:w="6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Total lease payments</w:t>
            </w:r>
          </w:p>
        </w:tc>
        <w:tc>
          <w:tcPr>
            <w:tcW w:w="4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72.5</w:t>
            </w:r>
          </w:p>
        </w:tc>
      </w:tr>
      <w:tr>
        <w:trPr>
          <w:trHeight w:val="193"/>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Less: imputed interest</w:t>
            </w: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4"/>
                <w:szCs w:val="14"/>
                <w:color w:val="auto"/>
              </w:rPr>
              <w:t>(33.1)</w:t>
            </w:r>
          </w:p>
        </w:tc>
      </w:tr>
      <w:tr>
        <w:trPr>
          <w:trHeight w:val="23"/>
        </w:trPr>
        <w:tc>
          <w:tcPr>
            <w:tcW w:w="102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0"/>
        </w:trPr>
        <w:tc>
          <w:tcPr>
            <w:tcW w:w="102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Total present value of lease liabilities</w:t>
            </w: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39.4</w:t>
            </w:r>
          </w:p>
        </w:tc>
      </w:tr>
      <w:tr>
        <w:trPr>
          <w:trHeight w:val="20"/>
        </w:trPr>
        <w:tc>
          <w:tcPr>
            <w:tcW w:w="10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160" w:hanging="132"/>
        <w:spacing w:after="0"/>
        <w:tabs>
          <w:tab w:leader="none" w:pos="16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Excludes the three months ended March 31, 2019.</w:t>
      </w:r>
    </w:p>
    <w:p>
      <w:pPr>
        <w:spacing w:after="0" w:line="318"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Rental expense for operating leases classified under ASC 840 for the three months ended April 1, 2018 was approximately $3.8 million net of sublease income of approximately $0.8 million. As of December 30, 2018, future minimum lease payments under operating leases, which does not include $4.3 million in sublease income on the Company’s operating leases as classified under ASC 840, were as follows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ind w:left="20"/>
              <w:spacing w:after="0"/>
              <w:rPr>
                <w:sz w:val="20"/>
                <w:szCs w:val="20"/>
                <w:color w:val="auto"/>
              </w:rPr>
            </w:pPr>
            <w:r>
              <w:rPr>
                <w:rFonts w:ascii="Arial" w:cs="Arial" w:eastAsia="Arial" w:hAnsi="Arial"/>
                <w:sz w:val="14"/>
                <w:szCs w:val="14"/>
                <w:color w:val="auto"/>
              </w:rPr>
              <w:t>Year ending December 30, 2018</w:t>
            </w:r>
          </w:p>
        </w:tc>
        <w:tc>
          <w:tcPr>
            <w:tcW w:w="480" w:type="dxa"/>
            <w:vAlign w:val="bottom"/>
          </w:tcPr>
          <w:p>
            <w:pPr>
              <w:spacing w:after="0"/>
              <w:rPr>
                <w:sz w:val="14"/>
                <w:szCs w:val="1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Operating Leases</w:t>
            </w:r>
          </w:p>
        </w:tc>
      </w:tr>
      <w:tr>
        <w:trPr>
          <w:trHeight w:val="34"/>
        </w:trPr>
        <w:tc>
          <w:tcPr>
            <w:tcW w:w="9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r>
      <w:tr>
        <w:trPr>
          <w:trHeight w:val="193"/>
        </w:trPr>
        <w:tc>
          <w:tcPr>
            <w:tcW w:w="9420" w:type="dxa"/>
            <w:vAlign w:val="bottom"/>
          </w:tcPr>
          <w:p>
            <w:pPr>
              <w:ind w:left="20"/>
              <w:spacing w:after="0"/>
              <w:rPr>
                <w:sz w:val="20"/>
                <w:szCs w:val="20"/>
                <w:color w:val="auto"/>
              </w:rPr>
            </w:pPr>
            <w:r>
              <w:rPr>
                <w:rFonts w:ascii="Arial" w:cs="Arial" w:eastAsia="Arial" w:hAnsi="Arial"/>
                <w:sz w:val="14"/>
                <w:szCs w:val="14"/>
                <w:color w:val="auto"/>
              </w:rPr>
              <w:t>2020</w:t>
            </w:r>
          </w:p>
        </w:tc>
        <w:tc>
          <w:tcPr>
            <w:tcW w:w="48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12.0</w:t>
            </w:r>
          </w:p>
        </w:tc>
      </w:tr>
      <w:tr>
        <w:trPr>
          <w:trHeight w:val="23"/>
        </w:trPr>
        <w:tc>
          <w:tcPr>
            <w:tcW w:w="9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w:t>
            </w:r>
          </w:p>
        </w:tc>
      </w:tr>
      <w:tr>
        <w:trPr>
          <w:trHeight w:val="193"/>
        </w:trPr>
        <w:tc>
          <w:tcPr>
            <w:tcW w:w="9420" w:type="dxa"/>
            <w:vAlign w:val="bottom"/>
          </w:tcPr>
          <w:p>
            <w:pPr>
              <w:ind w:left="20"/>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r>
      <w:tr>
        <w:trPr>
          <w:trHeight w:val="23"/>
        </w:trPr>
        <w:tc>
          <w:tcPr>
            <w:tcW w:w="9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w:t>
            </w:r>
          </w:p>
        </w:tc>
      </w:tr>
      <w:tr>
        <w:trPr>
          <w:trHeight w:val="193"/>
        </w:trPr>
        <w:tc>
          <w:tcPr>
            <w:tcW w:w="94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48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63.1</w:t>
            </w:r>
          </w:p>
        </w:tc>
      </w:tr>
      <w:tr>
        <w:trPr>
          <w:trHeight w:val="23"/>
        </w:trPr>
        <w:tc>
          <w:tcPr>
            <w:tcW w:w="9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94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4"/>
                <w:szCs w:val="14"/>
                <w:color w:val="auto"/>
              </w:rPr>
              <w:t>Total minimum lease payments</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117.2</w:t>
            </w:r>
          </w:p>
        </w:tc>
      </w:tr>
      <w:tr>
        <w:trPr>
          <w:trHeight w:val="20"/>
        </w:trPr>
        <w:tc>
          <w:tcPr>
            <w:tcW w:w="9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Income Taxes</w:t>
      </w:r>
    </w:p>
    <w:p>
      <w:pPr>
        <w:spacing w:after="0" w:line="188" w:lineRule="exact"/>
        <w:rPr>
          <w:sz w:val="20"/>
          <w:szCs w:val="20"/>
          <w:color w:val="auto"/>
        </w:rPr>
      </w:pPr>
    </w:p>
    <w:p>
      <w:pPr>
        <w:ind w:right="320" w:firstLine="453"/>
        <w:spacing w:after="0" w:line="288" w:lineRule="auto"/>
        <w:rPr>
          <w:sz w:val="20"/>
          <w:szCs w:val="20"/>
          <w:color w:val="auto"/>
        </w:rPr>
      </w:pPr>
      <w:r>
        <w:rPr>
          <w:rFonts w:ascii="Arial" w:cs="Arial" w:eastAsia="Arial" w:hAnsi="Arial"/>
          <w:sz w:val="14"/>
          <w:szCs w:val="14"/>
          <w:color w:val="auto"/>
        </w:rPr>
        <w:t>A reconciliation of the income tax expense (benefit) from continuing operations computed by applying the statutory federal income tax rate of 21% to income from continuing operations before income taxes to the income tax provision for the three months ended March 31, 2019 and for the three months ended April 1, 2018 was as follows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060" w:type="dxa"/>
            <w:vAlign w:val="bottom"/>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March 31,</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April 1,</w:t>
            </w:r>
          </w:p>
        </w:tc>
      </w:tr>
      <w:tr>
        <w:trPr>
          <w:trHeight w:val="153"/>
        </w:trPr>
        <w:tc>
          <w:tcPr>
            <w:tcW w:w="90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2019</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2018</w:t>
            </w:r>
          </w:p>
        </w:tc>
      </w:tr>
      <w:tr>
        <w:trPr>
          <w:trHeight w:val="191"/>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at federal statutory rate</w:t>
            </w:r>
          </w:p>
        </w:tc>
        <w:tc>
          <w:tcPr>
            <w:tcW w:w="820" w:type="dxa"/>
            <w:vAlign w:val="bottom"/>
            <w:tcBorders>
              <w:bottom w:val="single" w:sz="8" w:color="CCEEFF"/>
            </w:tcBorders>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0.5</w:t>
            </w:r>
          </w:p>
        </w:tc>
      </w:tr>
      <w:tr>
        <w:trPr>
          <w:trHeight w:val="193"/>
        </w:trPr>
        <w:tc>
          <w:tcPr>
            <w:tcW w:w="9060" w:type="dxa"/>
            <w:vAlign w:val="bottom"/>
          </w:tcPr>
          <w:p>
            <w:pPr>
              <w:ind w:left="20"/>
              <w:spacing w:after="0"/>
              <w:rPr>
                <w:sz w:val="20"/>
                <w:szCs w:val="20"/>
                <w:color w:val="auto"/>
              </w:rPr>
            </w:pPr>
            <w:r>
              <w:rPr>
                <w:rFonts w:ascii="Arial" w:cs="Arial" w:eastAsia="Arial" w:hAnsi="Arial"/>
                <w:sz w:val="14"/>
                <w:szCs w:val="14"/>
                <w:color w:val="auto"/>
              </w:rPr>
              <w:t>State and foreign taxes, net of federal tax benefit and valuation allowance</w:t>
            </w:r>
          </w:p>
        </w:tc>
        <w:tc>
          <w:tcPr>
            <w:tcW w:w="82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0.2</w:t>
            </w:r>
          </w:p>
        </w:tc>
      </w:tr>
      <w:tr>
        <w:trPr>
          <w:trHeight w:val="23"/>
        </w:trPr>
        <w:tc>
          <w:tcPr>
            <w:tcW w:w="9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Release of valuation allowance due to FTT acquisition</w:t>
            </w: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(3.4)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93"/>
        </w:trPr>
        <w:tc>
          <w:tcPr>
            <w:tcW w:w="9060" w:type="dxa"/>
            <w:vAlign w:val="bottom"/>
          </w:tcPr>
          <w:p>
            <w:pPr>
              <w:ind w:left="20"/>
              <w:spacing w:after="0"/>
              <w:rPr>
                <w:sz w:val="20"/>
                <w:szCs w:val="20"/>
                <w:color w:val="auto"/>
              </w:rPr>
            </w:pPr>
            <w:r>
              <w:rPr>
                <w:rFonts w:ascii="Arial" w:cs="Arial" w:eastAsia="Arial" w:hAnsi="Arial"/>
                <w:sz w:val="14"/>
                <w:szCs w:val="14"/>
                <w:color w:val="auto"/>
              </w:rPr>
              <w:t>GILTI</w:t>
            </w:r>
          </w:p>
        </w:tc>
        <w:tc>
          <w:tcPr>
            <w:tcW w:w="820" w:type="dxa"/>
            <w:vAlign w:val="bottom"/>
          </w:tcPr>
          <w:p>
            <w:pPr>
              <w:spacing w:after="0"/>
              <w:rPr>
                <w:sz w:val="16"/>
                <w:szCs w:val="16"/>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0.1</w:t>
            </w:r>
          </w:p>
        </w:tc>
      </w:tr>
      <w:tr>
        <w:trPr>
          <w:trHeight w:val="23"/>
        </w:trPr>
        <w:tc>
          <w:tcPr>
            <w:tcW w:w="9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Nondeductible expenses and other</w:t>
            </w: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r>
      <w:tr>
        <w:trPr>
          <w:trHeight w:val="193"/>
        </w:trPr>
        <w:tc>
          <w:tcPr>
            <w:tcW w:w="9060" w:type="dxa"/>
            <w:vAlign w:val="bottom"/>
          </w:tcPr>
          <w:p>
            <w:pPr>
              <w:ind w:left="20"/>
              <w:spacing w:after="0"/>
              <w:rPr>
                <w:sz w:val="20"/>
                <w:szCs w:val="20"/>
                <w:color w:val="auto"/>
              </w:rPr>
            </w:pPr>
            <w:r>
              <w:rPr>
                <w:rFonts w:ascii="Arial" w:cs="Arial" w:eastAsia="Arial" w:hAnsi="Arial"/>
                <w:sz w:val="14"/>
                <w:szCs w:val="14"/>
                <w:color w:val="auto"/>
              </w:rPr>
              <w:t>Impact of deferred tax liabilities for indefinite-lived assets</w:t>
            </w:r>
          </w:p>
        </w:tc>
        <w:tc>
          <w:tcPr>
            <w:tcW w:w="82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0.4</w:t>
            </w:r>
          </w:p>
        </w:tc>
      </w:tr>
      <w:tr>
        <w:trPr>
          <w:trHeight w:val="23"/>
        </w:trPr>
        <w:tc>
          <w:tcPr>
            <w:tcW w:w="9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reserves for uncertain tax positions</w:t>
            </w: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r>
      <w:tr>
        <w:trPr>
          <w:trHeight w:val="193"/>
        </w:trPr>
        <w:tc>
          <w:tcPr>
            <w:tcW w:w="9060" w:type="dxa"/>
            <w:vAlign w:val="bottom"/>
          </w:tcPr>
          <w:p>
            <w:pPr>
              <w:ind w:left="20"/>
              <w:spacing w:after="0"/>
              <w:rPr>
                <w:sz w:val="20"/>
                <w:szCs w:val="20"/>
                <w:color w:val="auto"/>
              </w:rPr>
            </w:pPr>
            <w:r>
              <w:rPr>
                <w:rFonts w:ascii="Arial" w:cs="Arial" w:eastAsia="Arial" w:hAnsi="Arial"/>
                <w:sz w:val="14"/>
                <w:szCs w:val="14"/>
                <w:color w:val="auto"/>
              </w:rPr>
              <w:t>Decrease in federal valuation allowance</w:t>
            </w: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0"/>
              </w:rPr>
              <w:t>(0.6)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3"/>
        </w:trPr>
        <w:tc>
          <w:tcPr>
            <w:tcW w:w="9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9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income tax (benefit) provision</w:t>
            </w:r>
          </w:p>
        </w:tc>
        <w:tc>
          <w:tcPr>
            <w:tcW w:w="820" w:type="dxa"/>
            <w:vAlign w:val="bottom"/>
            <w:tcBorders>
              <w:bottom w:val="single" w:sz="8" w:color="CCEEFF"/>
            </w:tcBorders>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(1.5)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200" w:firstLine="517"/>
        <w:spacing w:after="0" w:line="272" w:lineRule="auto"/>
        <w:rPr>
          <w:sz w:val="20"/>
          <w:szCs w:val="20"/>
          <w:color w:val="auto"/>
        </w:rPr>
      </w:pPr>
      <w:r>
        <w:rPr>
          <w:rFonts w:ascii="Arial" w:cs="Arial" w:eastAsia="Arial" w:hAnsi="Arial"/>
          <w:sz w:val="14"/>
          <w:szCs w:val="14"/>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19" w:right="21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ind w:right="40" w:firstLine="517"/>
        <w:spacing w:after="0" w:line="281" w:lineRule="auto"/>
        <w:rPr>
          <w:sz w:val="20"/>
          <w:szCs w:val="20"/>
          <w:color w:val="auto"/>
        </w:rPr>
      </w:pPr>
      <w:r>
        <w:rPr>
          <w:rFonts w:ascii="Arial" w:cs="Arial" w:eastAsia="Arial" w:hAnsi="Arial"/>
          <w:sz w:val="13"/>
          <w:szCs w:val="13"/>
          <w:color w:val="auto"/>
        </w:rPr>
        <w:t>Federal and state income tax laws impose restrictions on the utilization of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47" w:lineRule="exact"/>
        <w:rPr>
          <w:sz w:val="20"/>
          <w:szCs w:val="20"/>
          <w:color w:val="auto"/>
        </w:rPr>
      </w:pPr>
    </w:p>
    <w:p>
      <w:pPr>
        <w:ind w:firstLine="517"/>
        <w:spacing w:after="0" w:line="264" w:lineRule="auto"/>
        <w:rPr>
          <w:sz w:val="20"/>
          <w:szCs w:val="20"/>
          <w:color w:val="auto"/>
        </w:rPr>
      </w:pPr>
      <w:r>
        <w:rPr>
          <w:rFonts w:ascii="Arial" w:cs="Arial" w:eastAsia="Arial" w:hAnsi="Arial"/>
          <w:sz w:val="14"/>
          <w:szCs w:val="14"/>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49" w:lineRule="exact"/>
        <w:rPr>
          <w:sz w:val="20"/>
          <w:szCs w:val="20"/>
          <w:color w:val="auto"/>
        </w:rPr>
      </w:pPr>
    </w:p>
    <w:p>
      <w:pPr>
        <w:jc w:val="both"/>
        <w:ind w:right="160" w:firstLine="517"/>
        <w:spacing w:after="0" w:line="272" w:lineRule="auto"/>
        <w:rPr>
          <w:sz w:val="20"/>
          <w:szCs w:val="20"/>
          <w:color w:val="auto"/>
        </w:rPr>
      </w:pPr>
      <w:r>
        <w:rPr>
          <w:rFonts w:ascii="Arial" w:cs="Arial" w:eastAsia="Arial" w:hAnsi="Arial"/>
          <w:sz w:val="14"/>
          <w:szCs w:val="14"/>
          <w:color w:val="auto"/>
        </w:rPr>
        <w:t>For the three months ended March 31, 2019,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2" w:lineRule="exact"/>
        <w:rPr>
          <w:sz w:val="20"/>
          <w:szCs w:val="20"/>
          <w:color w:val="auto"/>
        </w:rPr>
      </w:pPr>
    </w:p>
    <w:p>
      <w:pPr>
        <w:ind w:right="280" w:firstLine="517"/>
        <w:spacing w:after="0" w:line="288" w:lineRule="auto"/>
        <w:rPr>
          <w:sz w:val="20"/>
          <w:szCs w:val="20"/>
          <w:color w:val="auto"/>
        </w:rPr>
      </w:pPr>
      <w:r>
        <w:rPr>
          <w:rFonts w:ascii="Arial" w:cs="Arial" w:eastAsia="Arial" w:hAnsi="Arial"/>
          <w:sz w:val="14"/>
          <w:szCs w:val="14"/>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31" w:lineRule="exact"/>
        <w:rPr>
          <w:sz w:val="20"/>
          <w:szCs w:val="20"/>
          <w:color w:val="auto"/>
        </w:rPr>
      </w:pPr>
    </w:p>
    <w:p>
      <w:pPr>
        <w:ind w:firstLine="517"/>
        <w:spacing w:after="0" w:line="328" w:lineRule="auto"/>
        <w:rPr>
          <w:sz w:val="20"/>
          <w:szCs w:val="20"/>
          <w:color w:val="auto"/>
        </w:rPr>
      </w:pPr>
      <w:r>
        <w:rPr>
          <w:rFonts w:ascii="Arial" w:cs="Arial" w:eastAsia="Arial" w:hAnsi="Arial"/>
          <w:sz w:val="13"/>
          <w:szCs w:val="13"/>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During 2018 the Company was notified by the Internal Revenue Service that its federal income tax return for the calendar year ending December 27, 2015 had been selected for examination.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currently in the process of responding to the information requested.</w:t>
      </w:r>
    </w:p>
    <w:p>
      <w:pPr>
        <w:spacing w:after="0" w:line="174" w:lineRule="exact"/>
        <w:rPr>
          <w:sz w:val="20"/>
          <w:szCs w:val="20"/>
          <w:color w:val="auto"/>
        </w:rPr>
      </w:pPr>
    </w:p>
    <w:p>
      <w:pPr>
        <w:ind w:right="80" w:firstLine="517"/>
        <w:spacing w:after="0" w:line="272" w:lineRule="auto"/>
        <w:rPr>
          <w:sz w:val="20"/>
          <w:szCs w:val="20"/>
          <w:color w:val="auto"/>
        </w:rPr>
      </w:pPr>
      <w:r>
        <w:rPr>
          <w:rFonts w:ascii="Arial" w:cs="Arial" w:eastAsia="Arial" w:hAnsi="Arial"/>
          <w:sz w:val="14"/>
          <w:szCs w:val="14"/>
          <w:color w:val="auto"/>
        </w:rPr>
        <w:t>As of December 30, 2018, the Company had $17.7 million of unrecognized tax benefits that, if recognized, would impact the Company’s effective income tax rate, subject to possible offset by an increase in the deferred tax asset valuation allowance. During the three months ended March 31, 2019, unrecognized tax benefits increased by $1.7 million relating to various current year positions.</w:t>
      </w:r>
    </w:p>
    <w:p>
      <w:pPr>
        <w:spacing w:after="0" w:line="142" w:lineRule="exact"/>
        <w:rPr>
          <w:sz w:val="20"/>
          <w:szCs w:val="20"/>
          <w:color w:val="auto"/>
        </w:rPr>
      </w:pPr>
    </w:p>
    <w:p>
      <w:pPr>
        <w:ind w:right="120" w:firstLine="517"/>
        <w:spacing w:after="0" w:line="267" w:lineRule="auto"/>
        <w:rPr>
          <w:sz w:val="20"/>
          <w:szCs w:val="20"/>
          <w:color w:val="auto"/>
        </w:rPr>
      </w:pPr>
      <w:r>
        <w:rPr>
          <w:rFonts w:ascii="Arial" w:cs="Arial" w:eastAsia="Arial" w:hAnsi="Arial"/>
          <w:sz w:val="14"/>
          <w:szCs w:val="14"/>
          <w:color w:val="auto"/>
        </w:rPr>
        <w:t>The Company recognizes interest and penalties related to unrecognized tax benefits in its provision for income taxes. For the three months ended March 31, 2019 and April 1, 2018, the Company recorded an expense for interest and penalties of $0.1 million. For the three months ended March 31, 2019 and April 1, 2018, there was no material benefit recorded related to the removal of interest and penalties. The Company believes that it is reasonably possible that as much as $0.4 million of the liabilities for uncertain tax positions will expire within twelve months of March 31, 2019 due to the expiration of various applicable statutes of limitations.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40"/>
          </w:cols>
          <w:pgMar w:left="220" w:top="129"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Debt</w:t>
      </w:r>
    </w:p>
    <w:p>
      <w:pPr>
        <w:spacing w:after="0" w:line="184"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Issuance of 6.5% Senior Secured Notes due 2025</w:t>
      </w:r>
    </w:p>
    <w:p>
      <w:pPr>
        <w:spacing w:after="0" w:line="188" w:lineRule="exact"/>
        <w:rPr>
          <w:sz w:val="20"/>
          <w:szCs w:val="20"/>
          <w:color w:val="auto"/>
        </w:rPr>
      </w:pPr>
    </w:p>
    <w:p>
      <w:pPr>
        <w:ind w:right="220" w:firstLine="517"/>
        <w:spacing w:after="0" w:line="294" w:lineRule="auto"/>
        <w:rPr>
          <w:sz w:val="20"/>
          <w:szCs w:val="20"/>
          <w:color w:val="auto"/>
        </w:rPr>
      </w:pPr>
      <w:r>
        <w:rPr>
          <w:rFonts w:ascii="Arial" w:cs="Arial" w:eastAsia="Arial" w:hAnsi="Arial"/>
          <w:sz w:val="13"/>
          <w:szCs w:val="13"/>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new 6.5% Notes. The Company utilized the net proceeds from the sale of the 6.5% Notes, as well as cash from its recent equity offering to extinguish the outstanding 7% Notes (as defined below). The total reacquisition price of the 7% Notes was $385.2 million, including a $12.0 million call premium, and $0.3 million of accrued interest.</w:t>
      </w:r>
    </w:p>
    <w:p>
      <w:pPr>
        <w:spacing w:after="0" w:line="130"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3"/>
          <w:szCs w:val="13"/>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34"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0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14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34"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3"/>
          <w:szCs w:val="13"/>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March 31, 2019, the Company was in compliance with the covenants contained in the Indenture governing the 6.5% Notes.</w:t>
      </w:r>
    </w:p>
    <w:p>
      <w:pPr>
        <w:spacing w:after="0" w:line="134" w:lineRule="exact"/>
        <w:rPr>
          <w:sz w:val="20"/>
          <w:szCs w:val="20"/>
          <w:color w:val="auto"/>
        </w:rPr>
      </w:pPr>
    </w:p>
    <w:p>
      <w:pPr>
        <w:ind w:right="80" w:firstLine="517"/>
        <w:spacing w:after="0" w:line="267" w:lineRule="auto"/>
        <w:rPr>
          <w:sz w:val="20"/>
          <w:szCs w:val="20"/>
          <w:color w:val="auto"/>
        </w:rPr>
      </w:pPr>
      <w:r>
        <w:rPr>
          <w:rFonts w:ascii="Arial" w:cs="Arial" w:eastAsia="Arial" w:hAnsi="Arial"/>
          <w:sz w:val="14"/>
          <w:szCs w:val="14"/>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31, 2019, there was $300.0 million of 6.5% Notes outstanding.</w:t>
      </w:r>
    </w:p>
    <w:p>
      <w:pPr>
        <w:spacing w:after="0" w:line="180" w:lineRule="exact"/>
        <w:rPr>
          <w:sz w:val="20"/>
          <w:szCs w:val="20"/>
          <w:color w:val="auto"/>
        </w:rPr>
      </w:pPr>
    </w:p>
    <w:p>
      <w:pPr>
        <w:jc w:val="right"/>
        <w:ind w:left="520" w:right="9920" w:hanging="514"/>
        <w:spacing w:after="0" w:line="603" w:lineRule="auto"/>
        <w:tabs>
          <w:tab w:leader="none" w:pos="322"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Other Indebtedness </w:t>
      </w:r>
      <w:r>
        <w:rPr>
          <w:rFonts w:ascii="Arial" w:cs="Arial" w:eastAsia="Arial" w:hAnsi="Arial"/>
          <w:sz w:val="12"/>
          <w:szCs w:val="12"/>
          <w:i w:val="1"/>
          <w:iCs w:val="1"/>
          <w:color w:val="auto"/>
        </w:rPr>
        <w:t>Credit Agreement</w:t>
      </w:r>
    </w:p>
    <w:p>
      <w:pPr>
        <w:jc w:val="both"/>
        <w:ind w:firstLine="517"/>
        <w:spacing w:after="0" w:line="285" w:lineRule="auto"/>
        <w:rPr>
          <w:sz w:val="20"/>
          <w:szCs w:val="20"/>
          <w:color w:val="auto"/>
        </w:rPr>
      </w:pPr>
      <w:r>
        <w:rPr>
          <w:rFonts w:ascii="Arial" w:cs="Arial" w:eastAsia="Arial" w:hAnsi="Arial"/>
          <w:sz w:val="13"/>
          <w:szCs w:val="13"/>
          <w:color w:val="auto"/>
        </w:rPr>
        <w:t>On November 20, 2017, the Company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Company’s 6.5% Notes, on all of the Company’s other assets.</w:t>
      </w:r>
    </w:p>
    <w:p>
      <w:pPr>
        <w:spacing w:after="0" w:line="137" w:lineRule="exact"/>
        <w:rPr>
          <w:sz w:val="20"/>
          <w:szCs w:val="20"/>
          <w:color w:val="auto"/>
        </w:rPr>
      </w:pPr>
    </w:p>
    <w:p>
      <w:pPr>
        <w:ind w:right="20" w:firstLine="517"/>
        <w:spacing w:after="0" w:line="261" w:lineRule="auto"/>
        <w:rPr>
          <w:sz w:val="20"/>
          <w:szCs w:val="20"/>
          <w:color w:val="auto"/>
        </w:rPr>
      </w:pPr>
      <w:r>
        <w:rPr>
          <w:rFonts w:ascii="Arial" w:cs="Arial" w:eastAsia="Arial" w:hAnsi="Arial"/>
          <w:sz w:val="14"/>
          <w:szCs w:val="14"/>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151"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3"/>
          <w:szCs w:val="13"/>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March 31, 2019,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41" w:lineRule="exact"/>
        <w:rPr>
          <w:sz w:val="20"/>
          <w:szCs w:val="20"/>
          <w:color w:val="auto"/>
        </w:rPr>
      </w:pPr>
    </w:p>
    <w:p>
      <w:pPr>
        <w:ind w:right="200" w:firstLine="517"/>
        <w:spacing w:after="0" w:line="288" w:lineRule="auto"/>
        <w:rPr>
          <w:sz w:val="20"/>
          <w:szCs w:val="20"/>
          <w:color w:val="auto"/>
        </w:rPr>
      </w:pPr>
      <w:r>
        <w:rPr>
          <w:rFonts w:ascii="Arial" w:cs="Arial" w:eastAsia="Arial" w:hAnsi="Arial"/>
          <w:sz w:val="14"/>
          <w:szCs w:val="14"/>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June 11, 2018, the Company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the Company’s outstanding indebtedness, were satisfied.</w:t>
      </w:r>
    </w:p>
    <w:p>
      <w:pPr>
        <w:spacing w:after="0" w:line="14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As of March 31, 2019, there were no borrowings outstanding on the Credit Agreement and $5.7 million was outstanding on letters of credit, resulting in net borrowing base availability of $65.4 million. The Company was in compliance with the financial covenants of the Credit Agreement and its amendments as of March 31, 2019.</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Fair Value of Long-term Debt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Carrying amounts and the related estimated fair values of the Company’s long-term debt financial instruments not measured at fair value on a recurring basis at March 31, 2019 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December 30, 2018 are presented in the following table: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As of March 31, 2019</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94"/>
              </w:rPr>
              <w:t>As of December 30, 2018</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in millions</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235"/>
              <w:spacing w:after="0"/>
              <w:rPr>
                <w:sz w:val="20"/>
                <w:szCs w:val="20"/>
                <w:color w:val="auto"/>
              </w:rPr>
            </w:pPr>
            <w:r>
              <w:rPr>
                <w:rFonts w:ascii="Arial" w:cs="Arial" w:eastAsia="Arial" w:hAnsi="Arial"/>
                <w:sz w:val="11"/>
                <w:szCs w:val="11"/>
                <w:b w:val="1"/>
                <w:bCs w:val="1"/>
                <w:color w:val="auto"/>
              </w:rPr>
              <w:t>Principal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rPr>
              <w:t>Carrying</w:t>
            </w:r>
          </w:p>
        </w:tc>
        <w:tc>
          <w:tcPr>
            <w:tcW w:w="140" w:type="dxa"/>
            <w:vAlign w:val="bottom"/>
          </w:tcPr>
          <w:p>
            <w:pPr>
              <w:spacing w:after="0"/>
              <w:rPr>
                <w:sz w:val="10"/>
                <w:szCs w:val="10"/>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Fair Value</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Principal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rPr>
              <w:t>Carrying</w:t>
            </w:r>
          </w:p>
        </w:tc>
        <w:tc>
          <w:tcPr>
            <w:tcW w:w="140" w:type="dxa"/>
            <w:vAlign w:val="bottom"/>
          </w:tcPr>
          <w:p>
            <w:pPr>
              <w:spacing w:after="0"/>
              <w:rPr>
                <w:sz w:val="10"/>
                <w:szCs w:val="10"/>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long-term debt including current portion</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294.4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294.2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23"/>
        </w:trPr>
        <w:tc>
          <w:tcPr>
            <w:tcW w:w="5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of the Company’s long-term debt was based upon actual trading activity (Level 1, Observable inputs -quoted prices in active markets).</w:t>
      </w:r>
    </w:p>
    <w:p>
      <w:pPr>
        <w:spacing w:after="0" w:line="184" w:lineRule="exact"/>
        <w:rPr>
          <w:sz w:val="20"/>
          <w:szCs w:val="20"/>
          <w:color w:val="auto"/>
        </w:rPr>
      </w:pPr>
    </w:p>
    <w:p>
      <w:pPr>
        <w:ind w:right="20" w:firstLine="545"/>
        <w:spacing w:after="0" w:line="267" w:lineRule="auto"/>
        <w:rPr>
          <w:sz w:val="20"/>
          <w:szCs w:val="20"/>
          <w:color w:val="auto"/>
        </w:rPr>
      </w:pPr>
      <w:r>
        <w:rPr>
          <w:rFonts w:ascii="Arial" w:cs="Arial" w:eastAsia="Arial" w:hAnsi="Arial"/>
          <w:sz w:val="14"/>
          <w:szCs w:val="14"/>
          <w:color w:val="auto"/>
        </w:rPr>
        <w:t>As of March 31, 2019, the difference between the carrying amount of $294.4 million and the principal amount of $300.0 million presented in the table above is the unamortized debt issuance costs of $5.6 million, which are being accreted to interest expense over the term of the related debt. As of December 30, 2018, the difference between the carrying amount of $294.2 million and the principal amount of $300.0 million presented in the table above is the unamortized debt issuance costs of $5.8 million, which are being accreted to interest expense over the term of the related debt.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Segment Information</w:t>
      </w:r>
    </w:p>
    <w:p>
      <w:pPr>
        <w:spacing w:after="0" w:line="188" w:lineRule="exact"/>
        <w:rPr>
          <w:sz w:val="20"/>
          <w:szCs w:val="20"/>
          <w:color w:val="auto"/>
        </w:rPr>
      </w:pPr>
    </w:p>
    <w:p>
      <w:pPr>
        <w:ind w:right="160" w:firstLine="517"/>
        <w:spacing w:after="0" w:line="264" w:lineRule="auto"/>
        <w:rPr>
          <w:sz w:val="20"/>
          <w:szCs w:val="20"/>
          <w:color w:val="auto"/>
        </w:rPr>
      </w:pPr>
      <w:r>
        <w:rPr>
          <w:rFonts w:ascii="Arial" w:cs="Arial" w:eastAsia="Arial" w:hAnsi="Arial"/>
          <w:sz w:val="14"/>
          <w:szCs w:val="14"/>
          <w:color w:val="auto"/>
        </w:rPr>
        <w:t>The Company operates in two reportable segments. The KGS reportable segment is comprised of an aggregation of KGS operating segments, including the microwave electronic products, satellite communications, modular systems, defense and rocket support services, and turbine technologies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49" w:lineRule="exact"/>
        <w:rPr>
          <w:sz w:val="20"/>
          <w:szCs w:val="20"/>
          <w:color w:val="auto"/>
        </w:rPr>
      </w:pPr>
    </w:p>
    <w:p>
      <w:pPr>
        <w:ind w:right="180" w:firstLine="517"/>
        <w:spacing w:after="0" w:line="263" w:lineRule="auto"/>
        <w:rPr>
          <w:sz w:val="20"/>
          <w:szCs w:val="20"/>
          <w:color w:val="auto"/>
        </w:rPr>
      </w:pPr>
      <w:r>
        <w:rPr>
          <w:rFonts w:ascii="Arial" w:cs="Arial" w:eastAsia="Arial" w:hAnsi="Arial"/>
          <w:sz w:val="14"/>
          <w:szCs w:val="14"/>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40" w:firstLine="553"/>
        <w:spacing w:after="0" w:line="288" w:lineRule="auto"/>
        <w:rPr>
          <w:sz w:val="20"/>
          <w:szCs w:val="20"/>
          <w:color w:val="auto"/>
        </w:rPr>
      </w:pPr>
      <w:r>
        <w:rPr>
          <w:rFonts w:ascii="Arial" w:cs="Arial" w:eastAsia="Arial" w:hAnsi="Arial"/>
          <w:sz w:val="14"/>
          <w:szCs w:val="14"/>
          <w:color w:val="auto"/>
        </w:rPr>
        <w:t>Revenues, depreciation and amortization, and operating income generated by the Company’s reportable segments for the three month periods ended March 31, 2019 and April 1, 2018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1"/>
                <w:szCs w:val="11"/>
                <w:b w:val="1"/>
                <w:bCs w:val="1"/>
                <w:color w:val="auto"/>
              </w:rPr>
              <w:t>Three Months Ended</w:t>
            </w:r>
          </w:p>
        </w:tc>
      </w:tr>
      <w:tr>
        <w:trPr>
          <w:trHeight w:val="206"/>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31, 2019</w:t>
            </w:r>
          </w:p>
        </w:tc>
        <w:tc>
          <w:tcPr>
            <w:tcW w:w="240" w:type="dxa"/>
            <w:vAlign w:val="bottom"/>
          </w:tcPr>
          <w:p>
            <w:pPr>
              <w:spacing w:after="0"/>
              <w:rPr>
                <w:sz w:val="17"/>
                <w:szCs w:val="17"/>
                <w:color w:val="auto"/>
              </w:rPr>
            </w:pPr>
          </w:p>
        </w:tc>
        <w:tc>
          <w:tcPr>
            <w:tcW w:w="1120" w:type="dxa"/>
            <w:vAlign w:val="bottom"/>
          </w:tcPr>
          <w:p>
            <w:pPr>
              <w:jc w:val="right"/>
              <w:ind w:right="289"/>
              <w:spacing w:after="0"/>
              <w:rPr>
                <w:sz w:val="20"/>
                <w:szCs w:val="20"/>
                <w:color w:val="auto"/>
              </w:rPr>
            </w:pPr>
            <w:r>
              <w:rPr>
                <w:rFonts w:ascii="Arial" w:cs="Arial" w:eastAsia="Arial" w:hAnsi="Arial"/>
                <w:sz w:val="11"/>
                <w:szCs w:val="11"/>
                <w:b w:val="1"/>
                <w:bCs w:val="1"/>
                <w:color w:val="auto"/>
              </w:rPr>
              <w:t>April 1, 2018</w:t>
            </w:r>
          </w:p>
        </w:tc>
      </w:tr>
      <w:tr>
        <w:trPr>
          <w:trHeight w:val="191"/>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Service revenues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62.6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46.0</w:t>
            </w:r>
          </w:p>
        </w:tc>
      </w:tr>
      <w:tr>
        <w:trPr>
          <w:trHeight w:val="193"/>
        </w:trPr>
        <w:tc>
          <w:tcPr>
            <w:tcW w:w="8600" w:type="dxa"/>
            <w:vAlign w:val="bottom"/>
          </w:tcPr>
          <w:p>
            <w:pPr>
              <w:ind w:left="220"/>
              <w:spacing w:after="0"/>
              <w:rPr>
                <w:sz w:val="20"/>
                <w:szCs w:val="20"/>
                <w:color w:val="auto"/>
              </w:rPr>
            </w:pPr>
            <w:r>
              <w:rPr>
                <w:rFonts w:ascii="Arial" w:cs="Arial" w:eastAsia="Arial" w:hAnsi="Arial"/>
                <w:sz w:val="14"/>
                <w:szCs w:val="14"/>
                <w:color w:val="auto"/>
              </w:rPr>
              <w:t>Product sales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69.2</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Kratos Government Solutions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115.2</w:t>
            </w:r>
          </w:p>
        </w:tc>
      </w:tr>
      <w:tr>
        <w:trPr>
          <w:trHeight w:val="184"/>
        </w:trPr>
        <w:tc>
          <w:tcPr>
            <w:tcW w:w="8600" w:type="dxa"/>
            <w:vAlign w:val="bottom"/>
          </w:tcPr>
          <w:p>
            <w:pPr>
              <w:ind w:left="140"/>
              <w:spacing w:after="0"/>
              <w:rPr>
                <w:sz w:val="20"/>
                <w:szCs w:val="20"/>
                <w:color w:val="auto"/>
              </w:rPr>
            </w:pPr>
            <w:r>
              <w:rPr>
                <w:rFonts w:ascii="Arial" w:cs="Arial" w:eastAsia="Arial" w:hAnsi="Arial"/>
                <w:sz w:val="14"/>
                <w:szCs w:val="14"/>
                <w:color w:val="auto"/>
              </w:rPr>
              <w:t>Unmanned Systems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Service revenues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3"/>
        </w:trPr>
        <w:tc>
          <w:tcPr>
            <w:tcW w:w="8600" w:type="dxa"/>
            <w:vAlign w:val="bottom"/>
          </w:tcPr>
          <w:p>
            <w:pPr>
              <w:ind w:left="300"/>
              <w:spacing w:after="0"/>
              <w:rPr>
                <w:sz w:val="20"/>
                <w:szCs w:val="20"/>
                <w:color w:val="auto"/>
              </w:rPr>
            </w:pPr>
            <w:r>
              <w:rPr>
                <w:rFonts w:ascii="Arial" w:cs="Arial" w:eastAsia="Arial" w:hAnsi="Arial"/>
                <w:sz w:val="14"/>
                <w:szCs w:val="14"/>
                <w:color w:val="auto"/>
              </w:rPr>
              <w:t>Product sales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27.8</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8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Unmanned Systems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27.8</w:t>
            </w:r>
          </w:p>
        </w:tc>
      </w:tr>
      <w:tr>
        <w:trPr>
          <w:trHeight w:val="240"/>
        </w:trPr>
        <w:tc>
          <w:tcPr>
            <w:tcW w:w="860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160.4</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143.0</w:t>
            </w:r>
          </w:p>
        </w:tc>
      </w:tr>
      <w:tr>
        <w:trPr>
          <w:trHeight w:val="17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&amp; amortization:</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3.6</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Unmanned Systems</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r>
      <w:tr>
        <w:trPr>
          <w:trHeight w:val="240"/>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depreciation and amortization</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4.5</w:t>
            </w:r>
          </w:p>
        </w:tc>
      </w:tr>
      <w:tr>
        <w:trPr>
          <w:trHeight w:val="152"/>
        </w:trPr>
        <w:tc>
          <w:tcPr>
            <w:tcW w:w="86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income from continuing operations:</w:t>
            </w:r>
          </w:p>
        </w:tc>
        <w:tc>
          <w:tcPr>
            <w:tcW w:w="2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7.9</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Unmanned Systems</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r>
      <w:tr>
        <w:trPr>
          <w:trHeight w:val="184"/>
        </w:trPr>
        <w:tc>
          <w:tcPr>
            <w:tcW w:w="8600" w:type="dxa"/>
            <w:vAlign w:val="bottom"/>
          </w:tcPr>
          <w:p>
            <w:pPr>
              <w:ind w:left="140"/>
              <w:spacing w:after="0"/>
              <w:rPr>
                <w:sz w:val="20"/>
                <w:szCs w:val="20"/>
                <w:color w:val="auto"/>
              </w:rPr>
            </w:pPr>
            <w:r>
              <w:rPr>
                <w:rFonts w:ascii="Arial" w:cs="Arial" w:eastAsia="Arial" w:hAnsi="Arial"/>
                <w:sz w:val="14"/>
                <w:szCs w:val="14"/>
                <w:color w:val="auto"/>
              </w:rPr>
              <w:t>Total segment operating income</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8.7</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Unallocated corporate expense, net</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0"/>
        </w:trPr>
        <w:tc>
          <w:tcPr>
            <w:tcW w:w="8600" w:type="dxa"/>
            <w:vAlign w:val="bottom"/>
          </w:tcPr>
          <w:p>
            <w:pPr>
              <w:ind w:left="300"/>
              <w:spacing w:after="0"/>
              <w:rPr>
                <w:sz w:val="20"/>
                <w:szCs w:val="20"/>
                <w:color w:val="auto"/>
              </w:rPr>
            </w:pPr>
            <w:r>
              <w:rPr>
                <w:rFonts w:ascii="Arial" w:cs="Arial" w:eastAsia="Arial" w:hAnsi="Arial"/>
                <w:sz w:val="14"/>
                <w:szCs w:val="14"/>
                <w:color w:val="auto"/>
              </w:rPr>
              <w:t>Total operating income from continuing operations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7.0</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Included in the unallocated corporate expense, net, for the three months ended March 31, 2019 is transaction expenses of $1.2 million related to the acquisition of FTT.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12.</w:t>
      </w:r>
      <w:r>
        <w:rPr>
          <w:sz w:val="20"/>
          <w:szCs w:val="20"/>
          <w:color w:val="auto"/>
        </w:rPr>
        <w:tab/>
      </w:r>
      <w:r>
        <w:rPr>
          <w:rFonts w:ascii="Arial" w:cs="Arial" w:eastAsia="Arial" w:hAnsi="Arial"/>
          <w:sz w:val="12"/>
          <w:szCs w:val="12"/>
          <w:b w:val="1"/>
          <w:bCs w:val="1"/>
          <w:color w:val="auto"/>
        </w:rPr>
        <w:t>Redeemable Noncontrolling Interest</w:t>
      </w:r>
    </w:p>
    <w:p>
      <w:pPr>
        <w:spacing w:after="0" w:line="18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As discussed in “Acquisition” in Note 2, in connection with the Company’s acquisition of FTT, the Holders have certain rights (“Put Rights”), (i) beginning in January 2024, the Holders will have an annual Put Right to sell all of the Minority Interests to the Company at a purchase price based on an assumed enterprise value of 12 times the trailing 12 months EBITDA of FTT Inc., FTT Core and each of their respective subsidiaries (the “Acquired Companies”), subject to adjustment as set forth in the Exchange Agreement (provided, however, that following certain events, including a change of control, the Put Right will be accelerated and the Minority Interest Purchase Price will be increased to 14 times the trailing 12 months EBITDA of the Acquired Companies); and (ii) beginning in January 2025, the Company will have an annual right to purchase all of the Minority Interests from the Holders at the Minority Interest Purchase Price. As of March 31, 2019, the management estimate of the Redemption Amount (“Redemption Amount”) of these Put Rights that the Company could be required to pay is approximately $15.0 million. The actual Redemption Amount will likely be different.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Significant Customers</w:t>
      </w:r>
    </w:p>
    <w:p>
      <w:pPr>
        <w:spacing w:after="0" w:line="188" w:lineRule="exact"/>
        <w:rPr>
          <w:sz w:val="20"/>
          <w:szCs w:val="20"/>
          <w:color w:val="auto"/>
        </w:rPr>
      </w:pPr>
    </w:p>
    <w:p>
      <w:pPr>
        <w:ind w:right="300" w:firstLine="517"/>
        <w:spacing w:after="0" w:line="302" w:lineRule="auto"/>
        <w:rPr>
          <w:sz w:val="20"/>
          <w:szCs w:val="20"/>
          <w:color w:val="auto"/>
        </w:rPr>
      </w:pPr>
      <w:r>
        <w:rPr>
          <w:rFonts w:ascii="Arial" w:cs="Arial" w:eastAsia="Arial" w:hAnsi="Arial"/>
          <w:sz w:val="13"/>
          <w:szCs w:val="13"/>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$116.9 million and $100.9 million, or 73% and 71% of total Kratos revenue, for the three months ended March 31, 2019 and April 1, 2018,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Commitments and Contingencies</w:t>
      </w:r>
    </w:p>
    <w:p>
      <w:pPr>
        <w:spacing w:after="0" w:line="188" w:lineRule="exact"/>
        <w:rPr>
          <w:sz w:val="20"/>
          <w:szCs w:val="20"/>
          <w:color w:val="auto"/>
        </w:rPr>
      </w:pPr>
    </w:p>
    <w:p>
      <w:pPr>
        <w:ind w:right="340" w:firstLine="517"/>
        <w:spacing w:after="0" w:line="328" w:lineRule="auto"/>
        <w:rPr>
          <w:sz w:val="20"/>
          <w:szCs w:val="20"/>
          <w:color w:val="auto"/>
        </w:rPr>
      </w:pPr>
      <w:r>
        <w:rPr>
          <w:rFonts w:ascii="Arial" w:cs="Arial" w:eastAsia="Arial" w:hAnsi="Arial"/>
          <w:sz w:val="13"/>
          <w:szCs w:val="13"/>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9" w:right="21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degree of probability and range of possible loss for potential accrual in its condensed consolidated financial statements. An estimated loss contingency is accrued in the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5"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Legal and Regulatory Matters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U.S. Government Cost Claims</w:t>
      </w:r>
    </w:p>
    <w:p>
      <w:pPr>
        <w:spacing w:after="0" w:line="184" w:lineRule="exact"/>
        <w:rPr>
          <w:sz w:val="20"/>
          <w:szCs w:val="20"/>
          <w:color w:val="auto"/>
        </w:rPr>
      </w:pPr>
    </w:p>
    <w:p>
      <w:pPr>
        <w:ind w:right="40" w:firstLine="517"/>
        <w:spacing w:after="0" w:line="262" w:lineRule="auto"/>
        <w:rPr>
          <w:sz w:val="20"/>
          <w:szCs w:val="20"/>
          <w:color w:val="auto"/>
        </w:rPr>
      </w:pPr>
      <w:r>
        <w:rPr>
          <w:rFonts w:ascii="Arial" w:cs="Arial" w:eastAsia="Arial" w:hAnsi="Arial"/>
          <w:sz w:val="14"/>
          <w:szCs w:val="14"/>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Other Litigation Matters</w:t>
      </w:r>
    </w:p>
    <w:p>
      <w:pPr>
        <w:spacing w:after="0" w:line="184" w:lineRule="exact"/>
        <w:rPr>
          <w:sz w:val="20"/>
          <w:szCs w:val="20"/>
          <w:color w:val="auto"/>
        </w:rPr>
      </w:pPr>
    </w:p>
    <w:p>
      <w:pPr>
        <w:ind w:right="180" w:firstLine="517"/>
        <w:spacing w:after="0" w:line="267" w:lineRule="auto"/>
        <w:rPr>
          <w:sz w:val="20"/>
          <w:szCs w:val="20"/>
          <w:color w:val="auto"/>
        </w:rPr>
      </w:pPr>
      <w:r>
        <w:rPr>
          <w:rFonts w:ascii="Arial" w:cs="Arial" w:eastAsia="Arial" w:hAnsi="Arial"/>
          <w:sz w:val="14"/>
          <w:szCs w:val="14"/>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129"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8" w:lineRule="exact"/>
        <w:rPr>
          <w:sz w:val="20"/>
          <w:szCs w:val="20"/>
          <w:color w:val="auto"/>
        </w:rPr>
      </w:pPr>
    </w:p>
    <w:p>
      <w:pPr>
        <w:ind w:firstLine="517"/>
        <w:spacing w:after="0" w:line="280" w:lineRule="auto"/>
        <w:rPr>
          <w:sz w:val="20"/>
          <w:szCs w:val="20"/>
          <w:color w:val="auto"/>
        </w:rPr>
      </w:pPr>
      <w:r>
        <w:rPr>
          <w:rFonts w:ascii="Arial" w:cs="Arial" w:eastAsia="Arial" w:hAnsi="Arial"/>
          <w:sz w:val="13"/>
          <w:szCs w:val="13"/>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3"/>
          <w:szCs w:val="13"/>
          <w:color w:val="auto"/>
        </w:rPr>
        <w:t>“</w:t>
      </w:r>
      <w:r>
        <w:rPr>
          <w:rFonts w:ascii="Arial" w:cs="Arial" w:eastAsia="Arial" w:hAnsi="Arial"/>
          <w:sz w:val="13"/>
          <w:szCs w:val="13"/>
          <w:i w:val="1"/>
          <w:iCs w:val="1"/>
          <w:color w:val="auto"/>
        </w:rPr>
        <w:t>DoD</w:t>
      </w:r>
      <w:r>
        <w:rPr>
          <w:rFonts w:ascii="Arial" w:cs="Arial" w:eastAsia="Arial" w:hAnsi="Arial"/>
          <w:sz w:val="13"/>
          <w:szCs w:val="13"/>
          <w:color w:val="auto"/>
        </w:rPr>
        <w:t>”)</w:t>
      </w:r>
      <w:r>
        <w:rPr>
          <w:rFonts w:ascii="Arial" w:cs="Arial" w:eastAsia="Arial" w:hAnsi="Arial"/>
          <w:sz w:val="13"/>
          <w:szCs w:val="13"/>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“Item 1A-Risk Factors” of our Annual Report on Form 10-K for the fiscal year ended December 30, 2018 filed with the U.S. Securities and Exchange Commission (the “SEC”</w:t>
      </w:r>
      <w:r>
        <w:rPr>
          <w:rFonts w:ascii="Arial" w:cs="Arial" w:eastAsia="Arial" w:hAnsi="Arial"/>
          <w:sz w:val="13"/>
          <w:szCs w:val="13"/>
          <w:color w:val="auto"/>
        </w:rPr>
        <w:t>)</w:t>
      </w:r>
      <w:r>
        <w:rPr>
          <w:rFonts w:ascii="Arial" w:cs="Arial" w:eastAsia="Arial" w:hAnsi="Arial"/>
          <w:sz w:val="13"/>
          <w:szCs w:val="13"/>
          <w:i w:val="1"/>
          <w:iCs w:val="1"/>
          <w:color w:val="auto"/>
        </w:rPr>
        <w:t xml:space="preserve"> on February 28, 2019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All references to “us,” “we,” “our,” the “Company” and “Kratos” refer to Kratos Defense &amp; Security Solutions, Inc., a Delaware corporation,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ind w:firstLine="517"/>
        <w:spacing w:after="0" w:line="260" w:lineRule="auto"/>
        <w:rPr>
          <w:sz w:val="20"/>
          <w:szCs w:val="20"/>
          <w:color w:val="auto"/>
        </w:rPr>
      </w:pPr>
      <w:r>
        <w:rPr>
          <w:rFonts w:ascii="Arial" w:cs="Arial" w:eastAsia="Arial" w:hAnsi="Arial"/>
          <w:sz w:val="14"/>
          <w:szCs w:val="14"/>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A key element of our business plan is to make Company-funded investments related to key platforms, products and systems, so that we own the related intellectual property, providing us designed in, sole and single source positions with our offerings. We are an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space and satellite communications, microwave electronics, cyber security/warfare, missile defense, C5ISR and training systems. Our workforce is primarily engineering and technically oriented with a significant number of employees holding national security clearances. Much of our work is performed at customer locations, or in a secure facility. Our primary end customers are national and homeland security related agencies.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Update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February 9, 2018, Congress approved and the President signed the Bipartisan Budget Act of 2018, which provided that:</w:t>
      </w:r>
    </w:p>
    <w:p>
      <w:pPr>
        <w:spacing w:after="0" w:line="184" w:lineRule="exact"/>
        <w:rPr>
          <w:sz w:val="20"/>
          <w:szCs w:val="20"/>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spending limits created by the Budget Control Act of 2011 (“BCA”) would be increased by approximately $300 billion over the next two years;</w:t>
      </w:r>
    </w:p>
    <w:p>
      <w:pPr>
        <w:spacing w:after="0" w:line="2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defense spending would be increased by $80 billion in FY (as defined below) 2018 and by $85 billion in the current FY, to approximately $700 billion and $705 billion, respectively;</w:t>
      </w:r>
    </w:p>
    <w:p>
      <w:pPr>
        <w:spacing w:after="0" w:line="22" w:lineRule="exact"/>
        <w:rPr>
          <w:rFonts w:ascii="Arial" w:cs="Arial" w:eastAsia="Arial" w:hAnsi="Arial"/>
          <w:sz w:val="13"/>
          <w:szCs w:val="13"/>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domestic spending would be increased by $63 billion in FY 2018 and by $68 billion in the current FY;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Congress would suspend the debt limit through March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29" w:right="21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p>
      <w:pPr>
        <w:ind w:right="60" w:firstLine="517"/>
        <w:spacing w:after="0" w:line="262" w:lineRule="auto"/>
        <w:rPr>
          <w:sz w:val="20"/>
          <w:szCs w:val="20"/>
          <w:color w:val="auto"/>
        </w:rPr>
      </w:pPr>
      <w:r>
        <w:rPr>
          <w:rFonts w:ascii="Arial" w:cs="Arial" w:eastAsia="Arial" w:hAnsi="Arial"/>
          <w:sz w:val="14"/>
          <w:szCs w:val="14"/>
          <w:color w:val="auto"/>
        </w:rPr>
        <w:t>The U.S. Government’s fiscal year (“FY”) ends September 30. On September 28, 2018, full-year appropriations for FY 2019 were enacted representing over half of discretionary federal spending. For FY 2019, Congress appropriated approximately $716 billion for national security, including approximately $647 billion for base discretionary funding and approximately $69 billion in Overseas Contingency Operations funding. Continuing resolutions provided funding for certain agencies (including NASA and other civil agencies) through December 21, 2018. On December 22, 2018, U.S. Government agencies that had not yet received full-year appropriations and did not otherwise have funding entered into a temporary shutdown. On January 25, 2019, a third continuing resolution was enacted, which funded these agencies through February 15, 2019. On February 15, 2019, a spending bill was enacted to fund these agencies for the remainder of FY 2019. The federal budget and debt ceiling are expected to continue to be the subject of considerable debate, which could have a significant impact on defense spending broadly and the Company’s programs in particular.</w:t>
      </w:r>
    </w:p>
    <w:p>
      <w:pPr>
        <w:spacing w:after="0" w:line="149" w:lineRule="exact"/>
        <w:rPr>
          <w:sz w:val="20"/>
          <w:szCs w:val="20"/>
          <w:color w:val="auto"/>
        </w:rPr>
      </w:pPr>
    </w:p>
    <w:p>
      <w:pPr>
        <w:ind w:firstLine="517"/>
        <w:spacing w:after="0" w:line="284" w:lineRule="auto"/>
        <w:rPr>
          <w:sz w:val="20"/>
          <w:szCs w:val="20"/>
          <w:color w:val="auto"/>
        </w:rPr>
      </w:pPr>
      <w:r>
        <w:rPr>
          <w:rFonts w:ascii="Arial" w:cs="Arial" w:eastAsia="Arial" w:hAnsi="Arial"/>
          <w:sz w:val="13"/>
          <w:szCs w:val="13"/>
          <w:color w:val="auto"/>
        </w:rPr>
        <w:t>On March 12, 2019, the DOD submitted a FY 2020 budget request of $718 billion, which represents a $33 billion, or five percent increase over the FY 2019 DoD budget enacted by Congress. However, the budget environment, including budget caps mandated by the BCA for fiscal years 2020 and 2021,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for FY 2020. If annual appropriations bills are not timely enacted for FY 2020 or beyond,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37" w:lineRule="exact"/>
        <w:rPr>
          <w:sz w:val="20"/>
          <w:szCs w:val="20"/>
          <w:color w:val="auto"/>
        </w:rPr>
      </w:pPr>
    </w:p>
    <w:p>
      <w:pPr>
        <w:jc w:val="both"/>
        <w:ind w:right="140" w:firstLine="517"/>
        <w:spacing w:after="0" w:line="302" w:lineRule="auto"/>
        <w:rPr>
          <w:sz w:val="20"/>
          <w:szCs w:val="20"/>
          <w:color w:val="auto"/>
        </w:rPr>
      </w:pPr>
      <w:r>
        <w:rPr>
          <w:rFonts w:ascii="Arial" w:cs="Arial" w:eastAsia="Arial" w:hAnsi="Arial"/>
          <w:sz w:val="13"/>
          <w:szCs w:val="13"/>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25" w:lineRule="exact"/>
        <w:rPr>
          <w:sz w:val="20"/>
          <w:szCs w:val="20"/>
          <w:color w:val="auto"/>
        </w:rPr>
      </w:pPr>
    </w:p>
    <w:p>
      <w:pPr>
        <w:ind w:right="180" w:firstLine="517"/>
        <w:spacing w:after="0" w:line="376" w:lineRule="auto"/>
        <w:rPr>
          <w:sz w:val="20"/>
          <w:szCs w:val="20"/>
          <w:color w:val="auto"/>
        </w:rPr>
      </w:pPr>
      <w:r>
        <w:rPr>
          <w:rFonts w:ascii="Arial" w:cs="Arial" w:eastAsia="Arial" w:hAnsi="Arial"/>
          <w:sz w:val="12"/>
          <w:szCs w:val="12"/>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Reportable Segments</w:t>
      </w:r>
    </w:p>
    <w:p>
      <w:pPr>
        <w:spacing w:after="0" w:line="188" w:lineRule="exact"/>
        <w:rPr>
          <w:sz w:val="20"/>
          <w:szCs w:val="20"/>
          <w:color w:val="auto"/>
        </w:rPr>
      </w:pPr>
    </w:p>
    <w:p>
      <w:pPr>
        <w:ind w:firstLine="517"/>
        <w:spacing w:after="0" w:line="272" w:lineRule="auto"/>
        <w:rPr>
          <w:sz w:val="20"/>
          <w:szCs w:val="20"/>
          <w:color w:val="auto"/>
        </w:rPr>
      </w:pPr>
      <w:r>
        <w:rPr>
          <w:rFonts w:ascii="Arial" w:cs="Arial" w:eastAsia="Arial" w:hAnsi="Arial"/>
          <w:sz w:val="14"/>
          <w:szCs w:val="14"/>
          <w:color w:val="auto"/>
        </w:rPr>
        <w:t>The Company operates in two reportable segments. The Kratos Government Solutions (“KGS”) reportable segment is comprised of an aggregation of KGS operating segments, including our microwave electronic products, space and satellite communications, training systems, modular systems, defense and rocket support services, and turbine technologies operating segments. The Unmanned Systems (“US”) reportable segment consists of our unmanned aerial system and unmanned ground and seaborne system businesses.</w:t>
      </w:r>
    </w:p>
    <w:p>
      <w:pPr>
        <w:spacing w:after="0" w:line="142" w:lineRule="exact"/>
        <w:rPr>
          <w:sz w:val="20"/>
          <w:szCs w:val="20"/>
          <w:color w:val="auto"/>
        </w:rPr>
      </w:pPr>
    </w:p>
    <w:p>
      <w:pPr>
        <w:ind w:right="100" w:firstLine="517"/>
        <w:spacing w:after="0" w:line="267" w:lineRule="auto"/>
        <w:rPr>
          <w:sz w:val="20"/>
          <w:szCs w:val="20"/>
          <w:color w:val="auto"/>
        </w:rPr>
      </w:pPr>
      <w:r>
        <w:rPr>
          <w:rFonts w:ascii="Arial" w:cs="Arial" w:eastAsia="Arial" w:hAnsi="Arial"/>
          <w:sz w:val="14"/>
          <w:szCs w:val="14"/>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Notes to Condensed Consolidated Financial Statements. From a customer and solutions perspective, we view our business as an integrated whole, leveraging skills and assets wherever possible.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Financial Statement Concepts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Effective December 31, 2018, we adopted the requirements of ASU 2016-02, </w:t>
      </w:r>
      <w:r>
        <w:rPr>
          <w:rFonts w:ascii="Arial" w:cs="Arial" w:eastAsia="Arial" w:hAnsi="Arial"/>
          <w:sz w:val="14"/>
          <w:szCs w:val="14"/>
          <w:i w:val="1"/>
          <w:iCs w:val="1"/>
          <w:color w:val="auto"/>
        </w:rPr>
        <w:t>Leases</w:t>
      </w:r>
      <w:r>
        <w:rPr>
          <w:rFonts w:ascii="Arial" w:cs="Arial" w:eastAsia="Arial" w:hAnsi="Arial"/>
          <w:sz w:val="14"/>
          <w:szCs w:val="14"/>
          <w:color w:val="auto"/>
        </w:rPr>
        <w:t>, also referred to as</w:t>
      </w:r>
    </w:p>
    <w:p>
      <w:pPr>
        <w:spacing w:after="0" w:line="21"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“ASC 842”, utilizing the optional transition method, as discussed in Note 1 to the accompanying Condensed Consolidated Financial Statements. Other than the adoption of ASC 842, there have been no changes to our key financial statement concepts for the three months ended March 31, 2019. For a complete description of our business and a discussion of our critical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129"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accounting matters, please refer to Item 7, “Management’s Discussion and Analysis of Financial Condition and Results of Operations” in the Form 10-K.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Results for the Three Months Ended March 31, 2019 to the Three Months Ended April 1,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Revenues. </w:t>
      </w:r>
      <w:r>
        <w:rPr>
          <w:rFonts w:ascii="Arial" w:cs="Arial" w:eastAsia="Arial" w:hAnsi="Arial"/>
          <w:sz w:val="14"/>
          <w:szCs w:val="14"/>
          <w:color w:val="auto"/>
        </w:rPr>
        <w:t>Revenues by operating segment for the three months ended March 31, 2019 and April 1, 2018 are as follows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31, 2019</w:t>
            </w:r>
          </w:p>
        </w:tc>
        <w:tc>
          <w:tcPr>
            <w:tcW w:w="24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April 1, 2018</w:t>
            </w:r>
          </w:p>
        </w:tc>
        <w:tc>
          <w:tcPr>
            <w:tcW w:w="320" w:type="dxa"/>
            <w:vAlign w:val="bottom"/>
          </w:tcPr>
          <w:p>
            <w:pPr>
              <w:spacing w:after="0"/>
              <w:rPr>
                <w:sz w:val="13"/>
                <w:szCs w:val="13"/>
                <w:color w:val="auto"/>
              </w:rPr>
            </w:pPr>
          </w:p>
        </w:tc>
        <w:tc>
          <w:tcPr>
            <w:tcW w:w="1160" w:type="dxa"/>
            <w:vAlign w:val="bottom"/>
          </w:tcPr>
          <w:p>
            <w:pPr>
              <w:jc w:val="right"/>
              <w:ind w:right="450"/>
              <w:spacing w:after="0"/>
              <w:rPr>
                <w:sz w:val="20"/>
                <w:szCs w:val="20"/>
                <w:color w:val="auto"/>
              </w:rPr>
            </w:pPr>
            <w:r>
              <w:rPr>
                <w:rFonts w:ascii="Arial" w:cs="Arial" w:eastAsia="Arial" w:hAnsi="Arial"/>
                <w:sz w:val="11"/>
                <w:szCs w:val="11"/>
                <w:b w:val="1"/>
                <w:bCs w:val="1"/>
                <w:color w:val="auto"/>
              </w:rPr>
              <w:t>$ change</w:t>
            </w:r>
          </w:p>
        </w:tc>
        <w:tc>
          <w:tcPr>
            <w:tcW w:w="100" w:type="dxa"/>
            <w:vAlign w:val="bottom"/>
          </w:tcPr>
          <w:p>
            <w:pPr>
              <w:spacing w:after="0"/>
              <w:rPr>
                <w:sz w:val="13"/>
                <w:szCs w:val="13"/>
                <w:color w:val="auto"/>
              </w:rPr>
            </w:pPr>
          </w:p>
        </w:tc>
        <w:tc>
          <w:tcPr>
            <w:tcW w:w="1560" w:type="dxa"/>
            <w:vAlign w:val="bottom"/>
          </w:tcPr>
          <w:p>
            <w:pPr>
              <w:jc w:val="right"/>
              <w:ind w:right="483"/>
              <w:spacing w:after="0"/>
              <w:rPr>
                <w:sz w:val="20"/>
                <w:szCs w:val="20"/>
                <w:color w:val="auto"/>
              </w:rPr>
            </w:pPr>
            <w:r>
              <w:rPr>
                <w:rFonts w:ascii="Arial" w:cs="Arial" w:eastAsia="Arial" w:hAnsi="Arial"/>
                <w:sz w:val="11"/>
                <w:szCs w:val="11"/>
                <w:b w:val="1"/>
                <w:bCs w:val="1"/>
                <w:color w:val="auto"/>
              </w:rPr>
              <w:t>% change</w:t>
            </w:r>
          </w:p>
        </w:tc>
      </w:tr>
      <w:tr>
        <w:trPr>
          <w:trHeight w:val="191"/>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Service revenues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16.6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36.1 %</w:t>
            </w:r>
          </w:p>
        </w:tc>
      </w:tr>
      <w:tr>
        <w:trPr>
          <w:trHeight w:val="23"/>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Product sales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69.2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Total Kratos Government Solutions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8.9 %</w:t>
            </w:r>
          </w:p>
        </w:tc>
      </w:tr>
      <w:tr>
        <w:trPr>
          <w:trHeight w:val="23"/>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Unmanned Systems product sales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25.5 %</w:t>
            </w:r>
          </w:p>
        </w:tc>
      </w:tr>
      <w:tr>
        <w:trPr>
          <w:trHeight w:val="240"/>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160.4</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143.0</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r>
      <w:tr>
        <w:trPr>
          <w:trHeight w:val="215"/>
        </w:trPr>
        <w:tc>
          <w:tcPr>
            <w:tcW w:w="5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Total service revenues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16.6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36.1 %</w:t>
            </w:r>
          </w:p>
        </w:tc>
      </w:tr>
      <w:tr>
        <w:trPr>
          <w:trHeight w:val="23"/>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 sales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97.8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0.8 %</w:t>
            </w:r>
          </w:p>
        </w:tc>
      </w:tr>
      <w:tr>
        <w:trPr>
          <w:trHeight w:val="200"/>
        </w:trPr>
        <w:tc>
          <w:tcPr>
            <w:tcW w:w="516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17.4</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12.2 %</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2" w:lineRule="exact"/>
        <w:rPr>
          <w:sz w:val="20"/>
          <w:szCs w:val="20"/>
          <w:color w:val="auto"/>
        </w:rPr>
      </w:pPr>
    </w:p>
    <w:p>
      <w:pPr>
        <w:ind w:right="20" w:firstLine="517"/>
        <w:spacing w:after="0" w:line="267" w:lineRule="auto"/>
        <w:rPr>
          <w:sz w:val="20"/>
          <w:szCs w:val="20"/>
          <w:color w:val="auto"/>
        </w:rPr>
      </w:pPr>
      <w:r>
        <w:rPr>
          <w:rFonts w:ascii="Arial" w:cs="Arial" w:eastAsia="Arial" w:hAnsi="Arial"/>
          <w:sz w:val="14"/>
          <w:szCs w:val="14"/>
          <w:color w:val="auto"/>
        </w:rPr>
        <w:t>Revenues increased $17.4 million to $160.4 million for the three months ended March 31, 2019 from $143.0 million for the three months ended April 1, 2018. Revenues in our KGS segment increased $10.3 million due to increases related to the acquisition of FTT, which contributed approximately $4.2 million, and increases in our training systems, ballistic missile target, and modular systems businesses, offset partially by reductions in our legacy government services business of $1.7 million. Revenues in our US segment increased primarily due to increased production of the U.S. Air Force AFSAT 167 targets and our SSAT/177 aerial targets for the U.S. Navy.</w:t>
      </w:r>
    </w:p>
    <w:p>
      <w:pPr>
        <w:spacing w:after="0" w:line="146" w:lineRule="exact"/>
        <w:rPr>
          <w:sz w:val="20"/>
          <w:szCs w:val="20"/>
          <w:color w:val="auto"/>
        </w:rPr>
      </w:pPr>
    </w:p>
    <w:p>
      <w:pPr>
        <w:ind w:right="60" w:firstLine="517"/>
        <w:spacing w:after="0" w:line="264" w:lineRule="auto"/>
        <w:rPr>
          <w:sz w:val="20"/>
          <w:szCs w:val="20"/>
          <w:color w:val="auto"/>
        </w:rPr>
      </w:pPr>
      <w:r>
        <w:rPr>
          <w:rFonts w:ascii="Arial" w:cs="Arial" w:eastAsia="Arial" w:hAnsi="Arial"/>
          <w:sz w:val="14"/>
          <w:szCs w:val="14"/>
          <w:color w:val="auto"/>
        </w:rPr>
        <w:t>Product sales increased $0.8 million to $97.8 million for the three months ended March 31, 2019 from $97.0 million for the three months ended April 1, 2018 primarily due to increased production in our US business, offset by reductions in our microwave products business due to timing of production and deliveries. As a percentage of total revenue, product sales were 61.0% for the three months ended March 31, 2019 as compared to 67.8% for the three months ended April 1, 2018. Service revenues increased by $16.6 million to $62.6 million for the three months ended March 31, 2019 from $46.0 million for the three months ended April 1, 2018. The increase was primarily related to work performed in the Company’s recently acquired FTT business as well increased work in the training solutions and ballistic missile targets businesses.</w:t>
      </w:r>
    </w:p>
    <w:p>
      <w:pPr>
        <w:spacing w:after="0" w:line="149" w:lineRule="exact"/>
        <w:rPr>
          <w:sz w:val="20"/>
          <w:szCs w:val="20"/>
          <w:color w:val="auto"/>
        </w:rPr>
      </w:pPr>
    </w:p>
    <w:p>
      <w:pPr>
        <w:ind w:right="60" w:firstLine="517"/>
        <w:spacing w:after="0" w:line="288" w:lineRule="auto"/>
        <w:rPr>
          <w:sz w:val="20"/>
          <w:szCs w:val="20"/>
          <w:color w:val="auto"/>
        </w:rPr>
      </w:pPr>
      <w:r>
        <w:rPr>
          <w:rFonts w:ascii="Arial" w:cs="Arial" w:eastAsia="Arial" w:hAnsi="Arial"/>
          <w:sz w:val="14"/>
          <w:szCs w:val="14"/>
          <w:i w:val="1"/>
          <w:iCs w:val="1"/>
          <w:color w:val="auto"/>
        </w:rPr>
        <w:t xml:space="preserve">Cost of Revenues. </w:t>
      </w:r>
      <w:r>
        <w:rPr>
          <w:rFonts w:ascii="Arial" w:cs="Arial" w:eastAsia="Arial" w:hAnsi="Arial"/>
          <w:sz w:val="14"/>
          <w:szCs w:val="14"/>
          <w:color w:val="auto"/>
        </w:rPr>
        <w:t>Cost of revenues increased $13.3 million to $115.5 million for the three months ended March 31, 2019 from $102.2 million for the three months ended April 1, 2018.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cost of revenues was primarily a result of the increase in revenues discussed above.</w:t>
      </w:r>
    </w:p>
    <w:p>
      <w:pPr>
        <w:spacing w:after="0" w:line="131" w:lineRule="exact"/>
        <w:rPr>
          <w:sz w:val="20"/>
          <w:szCs w:val="20"/>
          <w:color w:val="auto"/>
        </w:rPr>
      </w:pPr>
    </w:p>
    <w:p>
      <w:pPr>
        <w:ind w:right="240" w:firstLine="517"/>
        <w:spacing w:after="0" w:line="263" w:lineRule="auto"/>
        <w:rPr>
          <w:sz w:val="20"/>
          <w:szCs w:val="20"/>
          <w:color w:val="auto"/>
        </w:rPr>
      </w:pPr>
      <w:r>
        <w:rPr>
          <w:rFonts w:ascii="Arial" w:cs="Arial" w:eastAsia="Arial" w:hAnsi="Arial"/>
          <w:sz w:val="14"/>
          <w:szCs w:val="14"/>
          <w:color w:val="auto"/>
        </w:rPr>
        <w:t>Gross margin decreased to 28.0% for the three months ended March 31, 2019 from 28.5% for the three months ended April 1, 2018. Margins on services increased to 32.9% for the three months ended March 31, 2019 from 28.5% for the three months ended April 1, 2018, due primarily to a more favorable mix of revenues, primarily in the Company’s space and satellite communications business. Margins on products decreased to 24.8% for the three months ended March 31, 2019 from 28.6% for the three months ended April 1, 2018, primarily due to the mix of products produced. Margins in the KGS segment increased to 30.3% for the three months ended March 31, 2019 from 29.8% for the three months ended April 1, 2018. Margins in the US segment decreased to 19.8% for the three months ended March 31, 2019 from 23.4% for the three months ended April 1, 2018, primarily due to a less favorable mix of products being produced during the three months ended March 31, 2019.</w:t>
      </w:r>
    </w:p>
    <w:p>
      <w:pPr>
        <w:spacing w:after="0" w:line="148" w:lineRule="exact"/>
        <w:rPr>
          <w:sz w:val="20"/>
          <w:szCs w:val="20"/>
          <w:color w:val="auto"/>
        </w:rPr>
      </w:pPr>
    </w:p>
    <w:p>
      <w:pPr>
        <w:ind w:right="240" w:firstLine="517"/>
        <w:spacing w:after="0" w:line="272" w:lineRule="auto"/>
        <w:rPr>
          <w:sz w:val="20"/>
          <w:szCs w:val="20"/>
          <w:color w:val="auto"/>
        </w:rPr>
      </w:pPr>
      <w:r>
        <w:rPr>
          <w:rFonts w:ascii="Arial" w:cs="Arial" w:eastAsia="Arial" w:hAnsi="Arial"/>
          <w:sz w:val="14"/>
          <w:szCs w:val="14"/>
          <w:i w:val="1"/>
          <w:iCs w:val="1"/>
          <w:color w:val="auto"/>
        </w:rPr>
        <w:t>Selling, General and Administrative (</w:t>
      </w:r>
      <w:r>
        <w:rPr>
          <w:rFonts w:ascii="Arial" w:cs="Arial" w:eastAsia="Arial" w:hAnsi="Arial"/>
          <w:sz w:val="14"/>
          <w:szCs w:val="14"/>
          <w:color w:val="auto"/>
        </w:rPr>
        <w:t>“</w:t>
      </w:r>
      <w:r>
        <w:rPr>
          <w:rFonts w:ascii="Arial" w:cs="Arial" w:eastAsia="Arial" w:hAnsi="Arial"/>
          <w:sz w:val="14"/>
          <w:szCs w:val="14"/>
          <w:i w:val="1"/>
          <w:iCs w:val="1"/>
          <w:color w:val="auto"/>
        </w:rPr>
        <w:t>SG&amp;A</w:t>
      </w:r>
      <w:r>
        <w:rPr>
          <w:rFonts w:ascii="Arial" w:cs="Arial" w:eastAsia="Arial" w:hAnsi="Arial"/>
          <w:sz w:val="14"/>
          <w:szCs w:val="14"/>
          <w:color w:val="auto"/>
        </w:rPr>
        <w:t>”</w:t>
      </w:r>
      <w:r>
        <w:rPr>
          <w:rFonts w:ascii="Arial" w:cs="Arial" w:eastAsia="Arial" w:hAnsi="Arial"/>
          <w:sz w:val="14"/>
          <w:szCs w:val="14"/>
          <w:i w:val="1"/>
          <w:iCs w:val="1"/>
          <w:color w:val="auto"/>
        </w:rPr>
        <w:t xml:space="preserve">) Expenses. </w:t>
      </w:r>
      <w:r>
        <w:rPr>
          <w:rFonts w:ascii="Arial" w:cs="Arial" w:eastAsia="Arial" w:hAnsi="Arial"/>
          <w:sz w:val="14"/>
          <w:szCs w:val="14"/>
          <w:color w:val="auto"/>
        </w:rPr>
        <w:t>SG&amp;A expense was $31.5 million for the three months ended March 31, 2019 and $29.8 million for the three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April 1, 2018. As a percentage of revenues, SG&amp;A decreased to 19.6% at March 31, 2019 from 20.8% at April 1, 2018, which is primarily due to the leverage on the fixed SG&amp;A infrastructure as revenues have increased, as well as the impact of cost reduction actions taken during 2018.</w:t>
      </w:r>
    </w:p>
    <w:p>
      <w:pPr>
        <w:spacing w:after="0" w:line="142" w:lineRule="exact"/>
        <w:rPr>
          <w:sz w:val="20"/>
          <w:szCs w:val="20"/>
          <w:color w:val="auto"/>
        </w:rPr>
      </w:pPr>
    </w:p>
    <w:p>
      <w:pPr>
        <w:ind w:right="20" w:firstLine="517"/>
        <w:spacing w:after="0" w:line="272" w:lineRule="auto"/>
        <w:rPr>
          <w:sz w:val="20"/>
          <w:szCs w:val="20"/>
          <w:color w:val="auto"/>
        </w:rPr>
      </w:pPr>
      <w:r>
        <w:rPr>
          <w:rFonts w:ascii="Arial" w:cs="Arial" w:eastAsia="Arial" w:hAnsi="Arial"/>
          <w:sz w:val="14"/>
          <w:szCs w:val="14"/>
          <w:i w:val="1"/>
          <w:iCs w:val="1"/>
          <w:color w:val="auto"/>
        </w:rPr>
        <w:t>Research and Development (</w:t>
      </w:r>
      <w:r>
        <w:rPr>
          <w:rFonts w:ascii="Arial" w:cs="Arial" w:eastAsia="Arial" w:hAnsi="Arial"/>
          <w:sz w:val="14"/>
          <w:szCs w:val="14"/>
          <w:color w:val="auto"/>
        </w:rPr>
        <w:t>“</w:t>
      </w:r>
      <w:r>
        <w:rPr>
          <w:rFonts w:ascii="Arial" w:cs="Arial" w:eastAsia="Arial" w:hAnsi="Arial"/>
          <w:sz w:val="14"/>
          <w:szCs w:val="14"/>
          <w:i w:val="1"/>
          <w:iCs w:val="1"/>
          <w:color w:val="auto"/>
        </w:rPr>
        <w:t>R&amp;D</w:t>
      </w:r>
      <w:r>
        <w:rPr>
          <w:rFonts w:ascii="Arial" w:cs="Arial" w:eastAsia="Arial" w:hAnsi="Arial"/>
          <w:sz w:val="14"/>
          <w:szCs w:val="14"/>
          <w:color w:val="auto"/>
        </w:rPr>
        <w:t>”</w:t>
      </w:r>
      <w:r>
        <w:rPr>
          <w:rFonts w:ascii="Arial" w:cs="Arial" w:eastAsia="Arial" w:hAnsi="Arial"/>
          <w:sz w:val="14"/>
          <w:szCs w:val="14"/>
          <w:i w:val="1"/>
          <w:iCs w:val="1"/>
          <w:color w:val="auto"/>
        </w:rPr>
        <w:t xml:space="preserve">) Expenses. </w:t>
      </w:r>
      <w:r>
        <w:rPr>
          <w:rFonts w:ascii="Arial" w:cs="Arial" w:eastAsia="Arial" w:hAnsi="Arial"/>
          <w:sz w:val="14"/>
          <w:szCs w:val="14"/>
          <w:color w:val="auto"/>
        </w:rPr>
        <w:t>R&amp;D expenses increased $0.3 million to $3.9 million for the three months ended March 31, 2019 from $3.6 million for the three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April 1, 2018, with the primary increases in the Company’s unmanned systems business. As a percentage of revenues, R&amp;D decreased to 2.4% for the three months ended March 31, 2019 from 2.5% of revenues in the three months ended April 1, 2018. R&amp;D expenditures are primarily related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29"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space and satellite communications business.</w:t>
      </w:r>
    </w:p>
    <w:p>
      <w:pPr>
        <w:spacing w:after="0" w:line="142" w:lineRule="exact"/>
        <w:rPr>
          <w:sz w:val="20"/>
          <w:szCs w:val="20"/>
          <w:color w:val="auto"/>
        </w:rPr>
      </w:pPr>
    </w:p>
    <w:p>
      <w:pPr>
        <w:ind w:right="40" w:firstLine="517"/>
        <w:spacing w:after="0" w:line="272" w:lineRule="auto"/>
        <w:rPr>
          <w:sz w:val="20"/>
          <w:szCs w:val="20"/>
          <w:color w:val="auto"/>
        </w:rPr>
      </w:pPr>
      <w:r>
        <w:rPr>
          <w:rFonts w:ascii="Arial" w:cs="Arial" w:eastAsia="Arial" w:hAnsi="Arial"/>
          <w:sz w:val="14"/>
          <w:szCs w:val="14"/>
          <w:i w:val="1"/>
          <w:iCs w:val="1"/>
          <w:color w:val="auto"/>
        </w:rPr>
        <w:t xml:space="preserve">Unused Office Space, Restructuring Expenses, and Other. </w:t>
      </w:r>
      <w:r>
        <w:rPr>
          <w:rFonts w:ascii="Arial" w:cs="Arial" w:eastAsia="Arial" w:hAnsi="Arial"/>
          <w:sz w:val="14"/>
          <w:szCs w:val="14"/>
          <w:color w:val="auto"/>
        </w:rPr>
        <w:t>The expense of $0.1 million for the three months ended March 31, 2019 was primarily due to employee termination costs related to</w:t>
      </w:r>
      <w:r>
        <w:rPr>
          <w:rFonts w:ascii="Arial" w:cs="Arial" w:eastAsia="Arial" w:hAnsi="Arial"/>
          <w:sz w:val="14"/>
          <w:szCs w:val="14"/>
          <w:i w:val="1"/>
          <w:iCs w:val="1"/>
          <w:color w:val="auto"/>
        </w:rPr>
        <w:t xml:space="preserve"> </w:t>
      </w:r>
      <w:r>
        <w:rPr>
          <w:rFonts w:ascii="Arial" w:cs="Arial" w:eastAsia="Arial" w:hAnsi="Arial"/>
          <w:sz w:val="14"/>
          <w:szCs w:val="14"/>
          <w:color w:val="auto"/>
        </w:rPr>
        <w:t>personnel reduction actions taken in the first quarter of 2019. The expense of $0.4 million for the three months ended April 1, 2018 was primarily due to employee termination costs related to personnel reduction actions taken in the first quarter of 2018.</w:t>
      </w:r>
    </w:p>
    <w:p>
      <w:pPr>
        <w:spacing w:after="0" w:line="142" w:lineRule="exact"/>
        <w:rPr>
          <w:sz w:val="20"/>
          <w:szCs w:val="20"/>
          <w:color w:val="auto"/>
        </w:rPr>
      </w:pPr>
    </w:p>
    <w:p>
      <w:pPr>
        <w:ind w:right="120" w:firstLine="517"/>
        <w:spacing w:after="0" w:line="302" w:lineRule="auto"/>
        <w:rPr>
          <w:sz w:val="20"/>
          <w:szCs w:val="20"/>
          <w:color w:val="auto"/>
        </w:rPr>
      </w:pPr>
      <w:r>
        <w:rPr>
          <w:rFonts w:ascii="Arial" w:cs="Arial" w:eastAsia="Arial" w:hAnsi="Arial"/>
          <w:sz w:val="13"/>
          <w:szCs w:val="13"/>
          <w:i w:val="1"/>
          <w:iCs w:val="1"/>
          <w:color w:val="auto"/>
        </w:rPr>
        <w:t xml:space="preserve">Other Expense, Net. </w:t>
      </w:r>
      <w:r>
        <w:rPr>
          <w:rFonts w:ascii="Arial" w:cs="Arial" w:eastAsia="Arial" w:hAnsi="Arial"/>
          <w:sz w:val="13"/>
          <w:szCs w:val="13"/>
          <w:color w:val="auto"/>
        </w:rPr>
        <w:t>Other expense, net increased to $6.0 million from $4.8 million for the three months ended March 31, 2019 and April 1, 2018, respectively. The increase in expense of</w:t>
      </w:r>
      <w:r>
        <w:rPr>
          <w:rFonts w:ascii="Arial" w:cs="Arial" w:eastAsia="Arial" w:hAnsi="Arial"/>
          <w:sz w:val="13"/>
          <w:szCs w:val="13"/>
          <w:i w:val="1"/>
          <w:iCs w:val="1"/>
          <w:color w:val="auto"/>
        </w:rPr>
        <w:t xml:space="preserve"> </w:t>
      </w:r>
      <w:r>
        <w:rPr>
          <w:rFonts w:ascii="Arial" w:cs="Arial" w:eastAsia="Arial" w:hAnsi="Arial"/>
          <w:sz w:val="13"/>
          <w:szCs w:val="13"/>
          <w:color w:val="auto"/>
        </w:rPr>
        <w:t>$1.2 million is primarily related to foreign transaction gains and losses, which changed from a transaction gain of $0.3 million in the three months ended April 1, 2018 to a transaction loss of $0.5 million in the three months ended March 31, 2019, as well as due to an increase of $0.5 million in the three months ended March 31, 2019 related to interest expense on finance type lease liabilities.</w:t>
      </w:r>
    </w:p>
    <w:p>
      <w:pPr>
        <w:spacing w:after="0" w:line="125" w:lineRule="exact"/>
        <w:rPr>
          <w:sz w:val="20"/>
          <w:szCs w:val="20"/>
          <w:color w:val="auto"/>
        </w:rPr>
      </w:pPr>
    </w:p>
    <w:p>
      <w:pPr>
        <w:ind w:firstLine="517"/>
        <w:spacing w:after="0" w:line="285" w:lineRule="auto"/>
        <w:rPr>
          <w:sz w:val="20"/>
          <w:szCs w:val="20"/>
          <w:color w:val="auto"/>
        </w:rPr>
      </w:pPr>
      <w:r>
        <w:rPr>
          <w:rFonts w:ascii="Arial" w:cs="Arial" w:eastAsia="Arial" w:hAnsi="Arial"/>
          <w:sz w:val="13"/>
          <w:szCs w:val="13"/>
          <w:i w:val="1"/>
          <w:iCs w:val="1"/>
          <w:color w:val="auto"/>
        </w:rPr>
        <w:t xml:space="preserve">Provision (Benefit) for Income Taxes from Continuing Operations. </w:t>
      </w:r>
      <w:r>
        <w:rPr>
          <w:rFonts w:ascii="Arial" w:cs="Arial" w:eastAsia="Arial" w:hAnsi="Arial"/>
          <w:sz w:val="13"/>
          <w:szCs w:val="13"/>
          <w:color w:val="auto"/>
        </w:rPr>
        <w:t>Income taxes from continuing operations changed from a provision of $0.9 million in the three months ended April 1, 2018</w:t>
      </w:r>
      <w:r>
        <w:rPr>
          <w:rFonts w:ascii="Arial" w:cs="Arial" w:eastAsia="Arial" w:hAnsi="Arial"/>
          <w:sz w:val="13"/>
          <w:szCs w:val="13"/>
          <w:i w:val="1"/>
          <w:iCs w:val="1"/>
          <w:color w:val="auto"/>
        </w:rPr>
        <w:t xml:space="preserve"> </w:t>
      </w:r>
      <w:r>
        <w:rPr>
          <w:rFonts w:ascii="Arial" w:cs="Arial" w:eastAsia="Arial" w:hAnsi="Arial"/>
          <w:sz w:val="13"/>
          <w:szCs w:val="13"/>
          <w:color w:val="auto"/>
        </w:rPr>
        <w:t>to a benefit of $1.5 million for the three months ended March 31, 2019. For the three months ended April 1, 2018, the expense was a function of the estimated effective tax rate for the year. The estimated effective tax rate is driven by estimated foreign taxes, estimated federal and state taxes, permanent book/tax differences, tax amortization of intangible assets that have an indefinite life under accounting principles generally accepted in the U.S. and the projected income or loss for the year. The benefit for the three months ended March 31, 2019 was primarily related to the acquisition of FTT. In accordance with ASC Topic 805, we established deferred tax liabilities of approximately $4.4 million for the increase in the financial statement basis of the acquired assets of FTT. As a result of our ability to recognize deferred tax assets for these deferred tax liabilities, we released valuation allowance against our deferred tax assets and recognized an income tax benefit of $3.4 million. This benefit was partially offset by current federal, foreign and state taxes of $0.3 million and uncertain tax position liabilities of $1.6 million.</w:t>
      </w:r>
    </w:p>
    <w:p>
      <w:pPr>
        <w:spacing w:after="0" w:line="137" w:lineRule="exact"/>
        <w:rPr>
          <w:sz w:val="20"/>
          <w:szCs w:val="20"/>
          <w:color w:val="auto"/>
        </w:rPr>
      </w:pPr>
    </w:p>
    <w:p>
      <w:pPr>
        <w:ind w:right="40" w:firstLine="517"/>
        <w:spacing w:after="0" w:line="267" w:lineRule="auto"/>
        <w:rPr>
          <w:sz w:val="20"/>
          <w:szCs w:val="20"/>
          <w:color w:val="auto"/>
        </w:rPr>
      </w:pPr>
      <w:r>
        <w:rPr>
          <w:rFonts w:ascii="Arial" w:cs="Arial" w:eastAsia="Arial" w:hAnsi="Arial"/>
          <w:sz w:val="14"/>
          <w:szCs w:val="14"/>
          <w:i w:val="1"/>
          <w:iCs w:val="1"/>
          <w:color w:val="auto"/>
        </w:rPr>
        <w:t xml:space="preserve">Loss from Discontinued Operations. </w:t>
      </w:r>
      <w:r>
        <w:rPr>
          <w:rFonts w:ascii="Arial" w:cs="Arial" w:eastAsia="Arial" w:hAnsi="Arial"/>
          <w:sz w:val="14"/>
          <w:szCs w:val="14"/>
          <w:color w:val="auto"/>
        </w:rPr>
        <w:t>The loss from discontinued operations was $0.6 million for the three months ended March 31, 2019, primarily reflecting the work performed in relation</w:t>
      </w:r>
      <w:r>
        <w:rPr>
          <w:rFonts w:ascii="Arial" w:cs="Arial" w:eastAsia="Arial" w:hAnsi="Arial"/>
          <w:sz w:val="14"/>
          <w:szCs w:val="14"/>
          <w:i w:val="1"/>
          <w:iCs w:val="1"/>
          <w:color w:val="auto"/>
        </w:rPr>
        <w:t xml:space="preserve"> </w:t>
      </w:r>
      <w:r>
        <w:rPr>
          <w:rFonts w:ascii="Arial" w:cs="Arial" w:eastAsia="Arial" w:hAnsi="Arial"/>
          <w:sz w:val="14"/>
          <w:szCs w:val="14"/>
          <w:color w:val="auto"/>
        </w:rPr>
        <w:t>to outstanding tasks on legacy projects retained by the Company following the sale of the PSS business. The loss from discontinued operations was $3.5 million for the three months ended April 1, 2018 which includes a $2.0 million increase in contract costs on certain security system deployment projects for a metropolitan transit authority and $0.8 million of transaction expenses related to the disposition.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88" w:lineRule="exact"/>
        <w:rPr>
          <w:sz w:val="20"/>
          <w:szCs w:val="20"/>
          <w:color w:val="auto"/>
        </w:rPr>
      </w:pPr>
    </w:p>
    <w:p>
      <w:pPr>
        <w:ind w:right="320" w:firstLine="180"/>
        <w:spacing w:after="0" w:line="288" w:lineRule="auto"/>
        <w:rPr>
          <w:sz w:val="20"/>
          <w:szCs w:val="20"/>
          <w:color w:val="auto"/>
        </w:rPr>
      </w:pPr>
      <w:r>
        <w:rPr>
          <w:rFonts w:ascii="Arial" w:cs="Arial" w:eastAsia="Arial" w:hAnsi="Arial"/>
          <w:sz w:val="14"/>
          <w:szCs w:val="14"/>
          <w:color w:val="auto"/>
        </w:rPr>
        <w:t>On March 31, 2019, we had approximately $620.2 million of total backlog, of which $539.5 million was funded. We expect to recognize approximately 57% of the remaining total backlog as revenue in 2019, an additional 23% by 2020 and the balance thereafter.</w:t>
      </w:r>
    </w:p>
    <w:p>
      <w:pPr>
        <w:spacing w:after="0" w:line="131" w:lineRule="exact"/>
        <w:rPr>
          <w:sz w:val="20"/>
          <w:szCs w:val="20"/>
          <w:color w:val="auto"/>
        </w:rPr>
      </w:pPr>
    </w:p>
    <w:p>
      <w:pPr>
        <w:ind w:right="40" w:firstLine="517"/>
        <w:spacing w:after="0" w:line="287" w:lineRule="auto"/>
        <w:rPr>
          <w:sz w:val="20"/>
          <w:szCs w:val="20"/>
          <w:color w:val="auto"/>
        </w:rPr>
      </w:pPr>
      <w:r>
        <w:rPr>
          <w:rFonts w:ascii="Arial" w:cs="Arial" w:eastAsia="Arial" w:hAnsi="Arial"/>
          <w:sz w:val="13"/>
          <w:szCs w:val="13"/>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134" w:lineRule="exact"/>
        <w:rPr>
          <w:sz w:val="20"/>
          <w:szCs w:val="20"/>
          <w:color w:val="auto"/>
        </w:rPr>
      </w:pPr>
    </w:p>
    <w:p>
      <w:pPr>
        <w:ind w:right="80" w:firstLine="517"/>
        <w:spacing w:after="0" w:line="289" w:lineRule="auto"/>
        <w:rPr>
          <w:sz w:val="20"/>
          <w:szCs w:val="20"/>
          <w:color w:val="auto"/>
        </w:rPr>
      </w:pPr>
      <w:r>
        <w:rPr>
          <w:rFonts w:ascii="Arial" w:cs="Arial" w:eastAsia="Arial" w:hAnsi="Arial"/>
          <w:sz w:val="13"/>
          <w:szCs w:val="13"/>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100" w:firstLine="517"/>
        <w:spacing w:after="0" w:line="267" w:lineRule="auto"/>
        <w:rPr>
          <w:sz w:val="20"/>
          <w:szCs w:val="20"/>
          <w:color w:val="auto"/>
        </w:rPr>
      </w:pPr>
      <w:r>
        <w:rPr>
          <w:rFonts w:ascii="Arial" w:cs="Arial" w:eastAsia="Arial" w:hAnsi="Arial"/>
          <w:sz w:val="14"/>
          <w:szCs w:val="14"/>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46" w:lineRule="exact"/>
        <w:rPr>
          <w:sz w:val="20"/>
          <w:szCs w:val="20"/>
          <w:color w:val="auto"/>
        </w:rPr>
      </w:pPr>
    </w:p>
    <w:p>
      <w:pPr>
        <w:ind w:right="140" w:firstLine="517"/>
        <w:spacing w:after="0" w:line="272" w:lineRule="auto"/>
        <w:rPr>
          <w:sz w:val="20"/>
          <w:szCs w:val="20"/>
          <w:color w:val="auto"/>
        </w:rPr>
      </w:pPr>
      <w:r>
        <w:rPr>
          <w:rFonts w:ascii="Arial" w:cs="Arial" w:eastAsia="Arial" w:hAnsi="Arial"/>
          <w:sz w:val="14"/>
          <w:szCs w:val="14"/>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142" w:lineRule="exact"/>
        <w:rPr>
          <w:sz w:val="20"/>
          <w:szCs w:val="20"/>
          <w:color w:val="auto"/>
        </w:rPr>
      </w:pPr>
    </w:p>
    <w:p>
      <w:pPr>
        <w:ind w:right="160" w:firstLine="517"/>
        <w:spacing w:after="0" w:line="267" w:lineRule="auto"/>
        <w:rPr>
          <w:sz w:val="20"/>
          <w:szCs w:val="20"/>
          <w:color w:val="auto"/>
        </w:rPr>
      </w:pPr>
      <w:r>
        <w:rPr>
          <w:rFonts w:ascii="Arial" w:cs="Arial" w:eastAsia="Arial" w:hAnsi="Arial"/>
          <w:sz w:val="14"/>
          <w:szCs w:val="14"/>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8" w:lineRule="exact"/>
        <w:rPr>
          <w:sz w:val="20"/>
          <w:szCs w:val="20"/>
          <w:color w:val="auto"/>
        </w:rPr>
      </w:pPr>
    </w:p>
    <w:p>
      <w:pPr>
        <w:ind w:right="60" w:firstLine="517"/>
        <w:spacing w:after="0" w:line="294" w:lineRule="auto"/>
        <w:rPr>
          <w:sz w:val="20"/>
          <w:szCs w:val="20"/>
          <w:color w:val="auto"/>
        </w:rPr>
      </w:pPr>
      <w:r>
        <w:rPr>
          <w:rFonts w:ascii="Arial" w:cs="Arial" w:eastAsia="Arial" w:hAnsi="Arial"/>
          <w:sz w:val="13"/>
          <w:szCs w:val="13"/>
          <w:color w:val="auto"/>
        </w:rPr>
        <w:t>As of March 31, 2019, we had cash and cash equivalents of $178.4 million compared with cash and cash equivalents of $182.7 million as of December 30, 2018, which includes $17.1 million and $12.0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30"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Our total debt, including principal due on our Notes, increased from $294.2 million at December 30, 2018 to $294.4 million at March 31, 2019, due to the amortization of the discount on our Notes and the amortization of deferred financing costs.</w:t>
      </w:r>
    </w:p>
    <w:p>
      <w:pPr>
        <w:spacing w:after="0" w:line="131" w:lineRule="exact"/>
        <w:rPr>
          <w:sz w:val="20"/>
          <w:szCs w:val="20"/>
          <w:color w:val="auto"/>
        </w:rPr>
      </w:pPr>
    </w:p>
    <w:p>
      <w:pPr>
        <w:ind w:right="40" w:firstLine="517"/>
        <w:spacing w:after="0" w:line="283" w:lineRule="auto"/>
        <w:rPr>
          <w:sz w:val="20"/>
          <w:szCs w:val="20"/>
          <w:color w:val="auto"/>
        </w:rPr>
      </w:pPr>
      <w:r>
        <w:rPr>
          <w:rFonts w:ascii="Arial" w:cs="Arial" w:eastAsia="Arial" w:hAnsi="Arial"/>
          <w:sz w:val="13"/>
          <w:szCs w:val="13"/>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increased from 131 days as of December 30, 2018 to 136 days at March 31, 2019, primarily as a result of certain contractual billing milestones which have not yet been achieved.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We are currently in dispute with an international customer in our US segment over approximately $11.2 million in unbilled receivables outstanding as of March 31, 2019. The dispute concerns the completion of flight requirements and contractual milestones.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40"/>
          </w:cols>
          <w:pgMar w:left="220" w:top="129"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240" w:firstLine="517"/>
        <w:spacing w:after="0" w:line="288" w:lineRule="auto"/>
        <w:rPr>
          <w:sz w:val="20"/>
          <w:szCs w:val="20"/>
          <w:color w:val="auto"/>
        </w:rPr>
      </w:pPr>
      <w:r>
        <w:rPr>
          <w:rFonts w:ascii="Arial" w:cs="Arial" w:eastAsia="Arial" w:hAnsi="Arial"/>
          <w:sz w:val="14"/>
          <w:szCs w:val="14"/>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1"/>
                <w:szCs w:val="11"/>
                <w:b w:val="1"/>
                <w:bCs w:val="1"/>
                <w:color w:val="auto"/>
              </w:rPr>
              <w:t>Three Months Ended</w:t>
            </w:r>
          </w:p>
        </w:tc>
      </w:tr>
      <w:tr>
        <w:trPr>
          <w:trHeight w:val="206"/>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31, 2019</w:t>
            </w:r>
          </w:p>
        </w:tc>
        <w:tc>
          <w:tcPr>
            <w:tcW w:w="240" w:type="dxa"/>
            <w:vAlign w:val="bottom"/>
          </w:tcPr>
          <w:p>
            <w:pPr>
              <w:spacing w:after="0"/>
              <w:rPr>
                <w:sz w:val="17"/>
                <w:szCs w:val="17"/>
                <w:color w:val="auto"/>
              </w:rPr>
            </w:pPr>
          </w:p>
        </w:tc>
        <w:tc>
          <w:tcPr>
            <w:tcW w:w="1120" w:type="dxa"/>
            <w:vAlign w:val="bottom"/>
          </w:tcPr>
          <w:p>
            <w:pPr>
              <w:jc w:val="right"/>
              <w:ind w:right="291"/>
              <w:spacing w:after="0"/>
              <w:rPr>
                <w:sz w:val="20"/>
                <w:szCs w:val="20"/>
                <w:color w:val="auto"/>
              </w:rPr>
            </w:pPr>
            <w:r>
              <w:rPr>
                <w:rFonts w:ascii="Arial" w:cs="Arial" w:eastAsia="Arial" w:hAnsi="Arial"/>
                <w:sz w:val="11"/>
                <w:szCs w:val="11"/>
                <w:b w:val="1"/>
                <w:bCs w:val="1"/>
                <w:color w:val="auto"/>
              </w:rPr>
              <w:t>April 1, 2018</w:t>
            </w:r>
          </w:p>
        </w:tc>
      </w:tr>
      <w:tr>
        <w:trPr>
          <w:trHeight w:val="191"/>
        </w:trPr>
        <w:tc>
          <w:tcPr>
            <w:tcW w:w="86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provided by operating activities from continuing operations</w:t>
            </w: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6.5</w:t>
            </w:r>
          </w:p>
        </w:tc>
      </w:tr>
      <w:tr>
        <w:trPr>
          <w:trHeight w:val="193"/>
        </w:trPr>
        <w:tc>
          <w:tcPr>
            <w:tcW w:w="8600" w:type="dxa"/>
            <w:vAlign w:val="bottom"/>
          </w:tcPr>
          <w:p>
            <w:pPr>
              <w:ind w:left="280"/>
              <w:spacing w:after="0"/>
              <w:rPr>
                <w:sz w:val="20"/>
                <w:szCs w:val="20"/>
                <w:color w:val="auto"/>
              </w:rPr>
            </w:pPr>
            <w:r>
              <w:rPr>
                <w:rFonts w:ascii="Arial" w:cs="Arial" w:eastAsia="Arial" w:hAnsi="Arial"/>
                <w:sz w:val="14"/>
                <w:szCs w:val="14"/>
                <w:color w:val="auto"/>
              </w:rPr>
              <w:t>Net cash used in investing activities from continuing operations</w:t>
            </w:r>
          </w:p>
        </w:tc>
        <w:tc>
          <w:tcPr>
            <w:tcW w:w="220" w:type="dxa"/>
            <w:vAlign w:val="bottom"/>
          </w:tcPr>
          <w:p>
            <w:pPr>
              <w:spacing w:after="0"/>
              <w:rPr>
                <w:sz w:val="16"/>
                <w:szCs w:val="16"/>
                <w:color w:val="auto"/>
              </w:rPr>
            </w:pPr>
          </w:p>
        </w:tc>
        <w:tc>
          <w:tcPr>
            <w:tcW w:w="1180" w:type="dxa"/>
            <w:vAlign w:val="bottom"/>
          </w:tcPr>
          <w:p>
            <w:pPr>
              <w:jc w:val="right"/>
              <w:ind w:right="13"/>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3"/>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0.4</w:t>
            </w:r>
          </w:p>
        </w:tc>
      </w:tr>
      <w:tr>
        <w:trPr>
          <w:trHeight w:val="193"/>
        </w:trPr>
        <w:tc>
          <w:tcPr>
            <w:tcW w:w="8600" w:type="dxa"/>
            <w:vAlign w:val="bottom"/>
          </w:tcPr>
          <w:p>
            <w:pPr>
              <w:ind w:left="280"/>
              <w:spacing w:after="0"/>
              <w:rPr>
                <w:sz w:val="20"/>
                <w:szCs w:val="20"/>
                <w:color w:val="auto"/>
              </w:rPr>
            </w:pPr>
            <w:r>
              <w:rPr>
                <w:rFonts w:ascii="Arial" w:cs="Arial" w:eastAsia="Arial" w:hAnsi="Arial"/>
                <w:sz w:val="14"/>
                <w:szCs w:val="14"/>
                <w:color w:val="auto"/>
              </w:rPr>
              <w:t>Net operating cash flows of discontinued operations</w:t>
            </w:r>
          </w:p>
        </w:tc>
        <w:tc>
          <w:tcPr>
            <w:tcW w:w="220" w:type="dxa"/>
            <w:vAlign w:val="bottom"/>
          </w:tcPr>
          <w:p>
            <w:pPr>
              <w:spacing w:after="0"/>
              <w:rPr>
                <w:sz w:val="16"/>
                <w:szCs w:val="16"/>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281" w:lineRule="exact"/>
        <w:rPr>
          <w:sz w:val="20"/>
          <w:szCs w:val="20"/>
          <w:color w:val="auto"/>
        </w:rPr>
      </w:pPr>
    </w:p>
    <w:p>
      <w:pPr>
        <w:jc w:val="both"/>
        <w:ind w:right="60" w:firstLine="517"/>
        <w:spacing w:after="0" w:line="272" w:lineRule="auto"/>
        <w:rPr>
          <w:sz w:val="20"/>
          <w:szCs w:val="20"/>
          <w:color w:val="auto"/>
        </w:rPr>
      </w:pPr>
      <w:r>
        <w:rPr>
          <w:rFonts w:ascii="Arial" w:cs="Arial" w:eastAsia="Arial" w:hAnsi="Arial"/>
          <w:sz w:val="14"/>
          <w:szCs w:val="14"/>
          <w:color w:val="auto"/>
        </w:rPr>
        <w:t>Net cash provided by operating activities from continuing operations for the three months ended March 31, 2019 was positively impacted by increased operating income as compared to the three months ended April 1, 2018, partially offset by changes in working capital accounts. The net use in working capital accounts for the three months ended March 31, 2019 includes approximately $0.6 million of internal development investments we are making related to the Low Cost Attritable Unmanned Aerial System Demonstration (“LCASD”).</w:t>
      </w:r>
    </w:p>
    <w:p>
      <w:pPr>
        <w:spacing w:after="0" w:line="142" w:lineRule="exact"/>
        <w:rPr>
          <w:sz w:val="20"/>
          <w:szCs w:val="20"/>
          <w:color w:val="auto"/>
        </w:rPr>
      </w:pPr>
    </w:p>
    <w:p>
      <w:pPr>
        <w:ind w:right="60" w:firstLine="517"/>
        <w:spacing w:after="0" w:line="261" w:lineRule="auto"/>
        <w:rPr>
          <w:sz w:val="20"/>
          <w:szCs w:val="20"/>
          <w:color w:val="auto"/>
        </w:rPr>
      </w:pPr>
      <w:r>
        <w:rPr>
          <w:rFonts w:ascii="Arial" w:cs="Arial" w:eastAsia="Arial" w:hAnsi="Arial"/>
          <w:sz w:val="14"/>
          <w:szCs w:val="14"/>
          <w:color w:val="auto"/>
        </w:rPr>
        <w:t>Net cash used in investing activities from continuing operations for the three months ended March 31, 2019 is comprised of the acquisition of FTT and capital expenditures, which consist primarily of investments in machinery, computer hardware and software and improvement of our physical properties in order to maintain suitable conditions in which to conduct our business. Net cash used in investing activities for the three months ended April 1, 2018 is comprised of capital expenditures, which consist primarily of investment in machinery, computer hardware and software and improvement of our physical properties in order to maintain suitable conditions in which to conduct our business. During the three months ended March 31, 2019, capital expenditures of approximately $1.7 million were incurred in our US business, primarily related to our unmanned combat target initiative. We expect our capital expenditures for FY 2019 to continue to be significant for investments we are making in our US business totaling approximately $15 to $18 million, including approximately $4 to $6 million for capital aerial targets and related support equipment and tooling that we are building and approximately $6 to $8 million related to investments we are making to build-out our new Oklahoma manufacturing facility and a new secured facility for our US business.</w:t>
      </w:r>
    </w:p>
    <w:p>
      <w:pPr>
        <w:spacing w:after="0" w:line="151" w:lineRule="exact"/>
        <w:rPr>
          <w:sz w:val="20"/>
          <w:szCs w:val="20"/>
          <w:color w:val="auto"/>
        </w:rPr>
      </w:pPr>
    </w:p>
    <w:p>
      <w:pPr>
        <w:ind w:right="60" w:firstLine="517"/>
        <w:spacing w:after="0" w:line="288" w:lineRule="auto"/>
        <w:rPr>
          <w:sz w:val="20"/>
          <w:szCs w:val="20"/>
          <w:color w:val="auto"/>
        </w:rPr>
      </w:pPr>
      <w:r>
        <w:rPr>
          <w:rFonts w:ascii="Arial" w:cs="Arial" w:eastAsia="Arial" w:hAnsi="Arial"/>
          <w:sz w:val="14"/>
          <w:szCs w:val="14"/>
          <w:color w:val="auto"/>
        </w:rPr>
        <w:t>Net cash provided by financing activities from continuing operations was $0.8 million for the three months ended March 31, 2019. Net cash provided by financing activities from continuing operations was $0.4 million for the three months ended April 1, 2018.</w:t>
      </w:r>
    </w:p>
    <w:p>
      <w:pPr>
        <w:spacing w:after="0" w:line="131" w:lineRule="exact"/>
        <w:rPr>
          <w:sz w:val="20"/>
          <w:szCs w:val="20"/>
          <w:color w:val="auto"/>
        </w:rPr>
      </w:pPr>
    </w:p>
    <w:p>
      <w:pPr>
        <w:ind w:right="160" w:firstLine="517"/>
        <w:spacing w:after="0" w:line="267" w:lineRule="auto"/>
        <w:rPr>
          <w:sz w:val="20"/>
          <w:szCs w:val="20"/>
          <w:color w:val="auto"/>
        </w:rPr>
      </w:pPr>
      <w:r>
        <w:rPr>
          <w:rFonts w:ascii="Arial" w:cs="Arial" w:eastAsia="Arial" w:hAnsi="Arial"/>
          <w:sz w:val="14"/>
          <w:szCs w:val="14"/>
          <w:color w:val="auto"/>
        </w:rPr>
        <w:t>The operating cash flows from discontinued operations for the three month period ended March 31, 2019 is substantially related to the discontinued operations of our PSS business unit. During the three month period ended March 31, 2019, approximately $1.0 million was collected on amounts due related to the legacy projects retained by the Company. The operating cash flows from discontinued operations for the three month period ended April 1, 2018 is substantially related to the discontinued operations of our PSS business unit, including transaction expenses incurred related to the divestiture of this business.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6.5% Senior Secured Notes due 2025</w:t>
      </w:r>
    </w:p>
    <w:p>
      <w:pPr>
        <w:spacing w:after="0" w:line="188" w:lineRule="exact"/>
        <w:rPr>
          <w:sz w:val="20"/>
          <w:szCs w:val="20"/>
          <w:color w:val="auto"/>
        </w:rPr>
      </w:pPr>
    </w:p>
    <w:p>
      <w:pPr>
        <w:ind w:right="220" w:firstLine="517"/>
        <w:spacing w:after="0" w:line="267" w:lineRule="auto"/>
        <w:rPr>
          <w:sz w:val="20"/>
          <w:szCs w:val="20"/>
          <w:color w:val="auto"/>
        </w:rPr>
      </w:pPr>
      <w:r>
        <w:rPr>
          <w:rFonts w:ascii="Arial" w:cs="Arial" w:eastAsia="Arial" w:hAnsi="Arial"/>
          <w:sz w:val="14"/>
          <w:szCs w:val="14"/>
          <w:color w:val="auto"/>
        </w:rPr>
        <w:t>In November 2017, we issued and sold $300 million aggregate principal amount of 6.5% Senior Secured Notes due 2025 (the “6.5% Notes”) in a private placement conducted pursuant to Rule 144A and Regulation S under the Securities Act of 1933, as amended (the “Act”). We incurred debt issuance costs of $6.6 million associated with the new 6.5% Notes. We utilized the net proceeds from the sale of the 6.5% Notes, as well as cash from its recent equity offering to extinguish the outstanding 7% Notes. The total reacquisition price of the 7% Notes was $385.2 million, including a $12.0 million call premium, and $0.3 million of accrued interest.</w:t>
      </w:r>
    </w:p>
    <w:p>
      <w:pPr>
        <w:spacing w:after="0" w:line="146"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09"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0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30"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148"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March 31, 2019, we were in compliance with the covenants contained in the Indenture governing the 6.5% Notes.</w:t>
      </w:r>
    </w:p>
    <w:p>
      <w:pPr>
        <w:spacing w:after="0" w:line="149" w:lineRule="exact"/>
        <w:rPr>
          <w:sz w:val="20"/>
          <w:szCs w:val="20"/>
          <w:color w:val="auto"/>
        </w:rPr>
      </w:pPr>
    </w:p>
    <w:p>
      <w:pPr>
        <w:ind w:right="80" w:firstLine="517"/>
        <w:spacing w:after="0" w:line="267" w:lineRule="auto"/>
        <w:rPr>
          <w:sz w:val="20"/>
          <w:szCs w:val="20"/>
          <w:color w:val="auto"/>
        </w:rPr>
      </w:pPr>
      <w:r>
        <w:rPr>
          <w:rFonts w:ascii="Arial" w:cs="Arial" w:eastAsia="Arial" w:hAnsi="Arial"/>
          <w:sz w:val="14"/>
          <w:szCs w:val="14"/>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46" w:lineRule="exact"/>
        <w:rPr>
          <w:sz w:val="20"/>
          <w:szCs w:val="20"/>
          <w:color w:val="auto"/>
        </w:rPr>
      </w:pPr>
    </w:p>
    <w:p>
      <w:pPr>
        <w:ind w:right="120" w:firstLine="517"/>
        <w:spacing w:after="0" w:line="288" w:lineRule="auto"/>
        <w:rPr>
          <w:sz w:val="20"/>
          <w:szCs w:val="20"/>
          <w:color w:val="auto"/>
        </w:rPr>
      </w:pPr>
      <w:r>
        <w:rPr>
          <w:rFonts w:ascii="Arial" w:cs="Arial" w:eastAsia="Arial" w:hAnsi="Arial"/>
          <w:sz w:val="14"/>
          <w:szCs w:val="14"/>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31, 2019, there was $300.0 million of 6.5% Notes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Indebtedness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Credit Agreement</w:t>
      </w:r>
    </w:p>
    <w:p>
      <w:pPr>
        <w:spacing w:after="0" w:line="184"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3"/>
          <w:szCs w:val="13"/>
          <w:color w:val="auto"/>
        </w:rPr>
        <w:t>On November 20, 2017, we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w:t>
      </w:r>
    </w:p>
    <w:p>
      <w:pPr>
        <w:spacing w:after="0" w:line="3" w:lineRule="exact"/>
        <w:rPr>
          <w:sz w:val="20"/>
          <w:szCs w:val="20"/>
          <w:color w:val="auto"/>
        </w:rPr>
      </w:pPr>
    </w:p>
    <w:p>
      <w:pPr>
        <w:ind w:firstLine="6"/>
        <w:spacing w:after="0" w:line="274" w:lineRule="auto"/>
        <w:tabs>
          <w:tab w:leader="none" w:pos="181"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first priority lien on our accounts receivable, inventory, deposit accounts, securities accounts, cash, securities and general intangibles (other than intellectual property)and (ii) a second priority lien, junior to the lien securing our 6.5% Notes, on all of our other assets.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9" w:right="2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p>
      <w:pPr>
        <w:ind w:firstLine="517"/>
        <w:spacing w:after="0" w:line="261" w:lineRule="auto"/>
        <w:rPr>
          <w:sz w:val="20"/>
          <w:szCs w:val="20"/>
          <w:color w:val="auto"/>
        </w:rPr>
      </w:pPr>
      <w:r>
        <w:rPr>
          <w:rFonts w:ascii="Arial" w:cs="Arial" w:eastAsia="Arial" w:hAnsi="Arial"/>
          <w:sz w:val="14"/>
          <w:szCs w:val="14"/>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151" w:lineRule="exact"/>
        <w:rPr>
          <w:sz w:val="20"/>
          <w:szCs w:val="20"/>
          <w:color w:val="auto"/>
        </w:rPr>
      </w:pPr>
    </w:p>
    <w:p>
      <w:pPr>
        <w:ind w:right="60" w:firstLine="517"/>
        <w:spacing w:after="0" w:line="281" w:lineRule="auto"/>
        <w:rPr>
          <w:sz w:val="20"/>
          <w:szCs w:val="20"/>
          <w:color w:val="auto"/>
        </w:rPr>
      </w:pPr>
      <w:r>
        <w:rPr>
          <w:rFonts w:ascii="Arial" w:cs="Arial" w:eastAsia="Arial" w:hAnsi="Arial"/>
          <w:sz w:val="13"/>
          <w:szCs w:val="13"/>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March 31, 2019,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41" w:lineRule="exact"/>
        <w:rPr>
          <w:sz w:val="20"/>
          <w:szCs w:val="20"/>
          <w:color w:val="auto"/>
        </w:rPr>
      </w:pPr>
    </w:p>
    <w:p>
      <w:pPr>
        <w:ind w:right="200" w:firstLine="517"/>
        <w:spacing w:after="0" w:line="288" w:lineRule="auto"/>
        <w:rPr>
          <w:sz w:val="20"/>
          <w:szCs w:val="20"/>
          <w:color w:val="auto"/>
        </w:rPr>
      </w:pPr>
      <w:r>
        <w:rPr>
          <w:rFonts w:ascii="Arial" w:cs="Arial" w:eastAsia="Arial" w:hAnsi="Arial"/>
          <w:sz w:val="14"/>
          <w:szCs w:val="14"/>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131" w:lineRule="exact"/>
        <w:rPr>
          <w:sz w:val="20"/>
          <w:szCs w:val="20"/>
          <w:color w:val="auto"/>
        </w:rPr>
      </w:pPr>
    </w:p>
    <w:p>
      <w:pPr>
        <w:ind w:firstLine="517"/>
        <w:spacing w:after="0" w:line="272" w:lineRule="auto"/>
        <w:rPr>
          <w:sz w:val="20"/>
          <w:szCs w:val="20"/>
          <w:color w:val="auto"/>
        </w:rPr>
      </w:pPr>
      <w:r>
        <w:rPr>
          <w:rFonts w:ascii="Arial" w:cs="Arial" w:eastAsia="Arial" w:hAnsi="Arial"/>
          <w:sz w:val="14"/>
          <w:szCs w:val="14"/>
          <w:color w:val="auto"/>
        </w:rPr>
        <w:t>On June 11, 2018, the Company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the Company’s outstanding indebtedness, were satisfied.</w:t>
      </w:r>
    </w:p>
    <w:p>
      <w:pPr>
        <w:spacing w:after="0" w:line="142" w:lineRule="exact"/>
        <w:rPr>
          <w:sz w:val="20"/>
          <w:szCs w:val="20"/>
          <w:color w:val="auto"/>
        </w:rPr>
      </w:pPr>
    </w:p>
    <w:p>
      <w:pPr>
        <w:ind w:right="240" w:firstLine="517"/>
        <w:spacing w:after="0" w:line="288" w:lineRule="auto"/>
        <w:rPr>
          <w:sz w:val="20"/>
          <w:szCs w:val="20"/>
          <w:color w:val="auto"/>
        </w:rPr>
      </w:pPr>
      <w:r>
        <w:rPr>
          <w:rFonts w:ascii="Arial" w:cs="Arial" w:eastAsia="Arial" w:hAnsi="Arial"/>
          <w:sz w:val="14"/>
          <w:szCs w:val="14"/>
          <w:color w:val="auto"/>
        </w:rPr>
        <w:t>As of March 31, 2019, there were no borrowings outstanding on the Credit Agreement and $5.7 million was outstanding on letters of credit, resulting in net borrowing base availability of $65.4 million. We were in compliance with the financial covenants of the Credit Agreement and its amendments as of March 31, 2019.</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Liquidity Matters</w:t>
      </w:r>
    </w:p>
    <w:p>
      <w:pPr>
        <w:spacing w:after="0" w:line="188" w:lineRule="exact"/>
        <w:rPr>
          <w:sz w:val="20"/>
          <w:szCs w:val="20"/>
          <w:color w:val="auto"/>
        </w:rPr>
      </w:pPr>
    </w:p>
    <w:p>
      <w:pPr>
        <w:ind w:right="480" w:firstLine="517"/>
        <w:spacing w:after="0" w:line="288" w:lineRule="auto"/>
        <w:rPr>
          <w:sz w:val="20"/>
          <w:szCs w:val="20"/>
          <w:color w:val="auto"/>
        </w:rPr>
      </w:pPr>
      <w:r>
        <w:rPr>
          <w:rFonts w:ascii="Arial" w:cs="Arial" w:eastAsia="Arial" w:hAnsi="Arial"/>
          <w:sz w:val="14"/>
          <w:szCs w:val="14"/>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31" w:lineRule="exact"/>
        <w:rPr>
          <w:sz w:val="20"/>
          <w:szCs w:val="20"/>
          <w:color w:val="auto"/>
        </w:rPr>
      </w:pPr>
    </w:p>
    <w:p>
      <w:pPr>
        <w:ind w:right="60" w:firstLine="517"/>
        <w:spacing w:after="0" w:line="267" w:lineRule="auto"/>
        <w:rPr>
          <w:sz w:val="20"/>
          <w:szCs w:val="20"/>
          <w:color w:val="auto"/>
        </w:rPr>
      </w:pPr>
      <w:r>
        <w:rPr>
          <w:rFonts w:ascii="Arial" w:cs="Arial" w:eastAsia="Arial" w:hAnsi="Arial"/>
          <w:sz w:val="14"/>
          <w:szCs w:val="14"/>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Principles and Estimates</w:t>
      </w:r>
    </w:p>
    <w:p>
      <w:pPr>
        <w:spacing w:after="0" w:line="188" w:lineRule="exact"/>
        <w:rPr>
          <w:sz w:val="20"/>
          <w:szCs w:val="20"/>
          <w:color w:val="auto"/>
        </w:rPr>
      </w:pPr>
    </w:p>
    <w:p>
      <w:pPr>
        <w:jc w:val="both"/>
        <w:ind w:right="60" w:firstLine="517"/>
        <w:spacing w:after="0" w:line="267" w:lineRule="auto"/>
        <w:rPr>
          <w:sz w:val="20"/>
          <w:szCs w:val="20"/>
          <w:color w:val="auto"/>
        </w:rPr>
      </w:pPr>
      <w:r>
        <w:rPr>
          <w:rFonts w:ascii="Arial" w:cs="Arial" w:eastAsia="Arial" w:hAnsi="Arial"/>
          <w:sz w:val="14"/>
          <w:szCs w:val="14"/>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46" w:lineRule="exact"/>
        <w:rPr>
          <w:sz w:val="20"/>
          <w:szCs w:val="20"/>
          <w:color w:val="auto"/>
        </w:rPr>
      </w:pPr>
    </w:p>
    <w:p>
      <w:pPr>
        <w:jc w:val="both"/>
        <w:ind w:right="460" w:firstLine="517"/>
        <w:spacing w:after="0" w:line="272" w:lineRule="auto"/>
        <w:rPr>
          <w:sz w:val="20"/>
          <w:szCs w:val="20"/>
          <w:color w:val="auto"/>
        </w:rPr>
      </w:pPr>
      <w:r>
        <w:rPr>
          <w:rFonts w:ascii="Arial" w:cs="Arial" w:eastAsia="Arial" w:hAnsi="Arial"/>
          <w:sz w:val="14"/>
          <w:szCs w:val="14"/>
          <w:color w:val="auto"/>
        </w:rPr>
        <w:t>Effective December 31, 2018, we adopted the requirements of ASC 842 utilizing the optional transition method as discussed in Note 1 to the accompanying Condensed Consolidated Financial Statements. Other than the adoption of ASC 842, there have been no significant changes to our “Critical Accounting Policies or Estimates” as compared to the significant accounting policies described in the Form 10-K.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8" w:lineRule="exact"/>
        <w:rPr>
          <w:sz w:val="20"/>
          <w:szCs w:val="20"/>
          <w:color w:val="auto"/>
        </w:rPr>
      </w:pPr>
    </w:p>
    <w:p>
      <w:pPr>
        <w:ind w:right="400" w:firstLine="517"/>
        <w:spacing w:after="0" w:line="288" w:lineRule="auto"/>
        <w:rPr>
          <w:sz w:val="20"/>
          <w:szCs w:val="20"/>
          <w:color w:val="auto"/>
        </w:rPr>
      </w:pPr>
      <w:r>
        <w:rPr>
          <w:rFonts w:ascii="Arial" w:cs="Arial" w:eastAsia="Arial" w:hAnsi="Arial"/>
          <w:sz w:val="14"/>
          <w:szCs w:val="14"/>
          <w:color w:val="auto"/>
        </w:rPr>
        <w:t>Since December 30, 2018,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Conclusions Regarding the Effectiveness of Disclosure Controls and Procedures</w:t>
      </w:r>
    </w:p>
    <w:p>
      <w:pPr>
        <w:spacing w:after="0" w:line="184" w:lineRule="exact"/>
        <w:rPr>
          <w:sz w:val="20"/>
          <w:szCs w:val="20"/>
          <w:color w:val="auto"/>
        </w:rPr>
      </w:pPr>
    </w:p>
    <w:p>
      <w:pPr>
        <w:ind w:right="120" w:firstLine="517"/>
        <w:spacing w:after="0" w:line="263" w:lineRule="auto"/>
        <w:rPr>
          <w:sz w:val="20"/>
          <w:szCs w:val="20"/>
          <w:color w:val="auto"/>
        </w:rPr>
      </w:pPr>
      <w:r>
        <w:rPr>
          <w:rFonts w:ascii="Arial" w:cs="Arial" w:eastAsia="Arial" w:hAnsi="Arial"/>
          <w:sz w:val="14"/>
          <w:szCs w:val="14"/>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As required by Rule 13a-15(b) promulgated under the Exchange Act, we carried out an evaluation, under the supervision and with the participation of our management, including our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Principal Executive Officer and Principal Financial Officer, of the effectiveness of the design and operation of our disclosure controls and procedures as of the end of the period covered by this report.</w:t>
      </w:r>
    </w:p>
    <w:p>
      <w:pPr>
        <w:spacing w:after="0" w:line="186" w:lineRule="exact"/>
        <w:rPr>
          <w:sz w:val="20"/>
          <w:szCs w:val="20"/>
          <w:color w:val="auto"/>
        </w:rPr>
      </w:pPr>
    </w:p>
    <w:p>
      <w:pPr>
        <w:ind w:right="20" w:firstLine="517"/>
        <w:spacing w:after="0" w:line="288" w:lineRule="auto"/>
        <w:rPr>
          <w:sz w:val="20"/>
          <w:szCs w:val="20"/>
          <w:color w:val="auto"/>
        </w:rPr>
      </w:pPr>
      <w:r>
        <w:rPr>
          <w:rFonts w:ascii="Arial" w:cs="Arial" w:eastAsia="Arial" w:hAnsi="Arial"/>
          <w:sz w:val="14"/>
          <w:szCs w:val="14"/>
          <w:color w:val="auto"/>
        </w:rPr>
        <w:t>Based on the foregoing, our Principal Executive Officer and Principal Financial Officer concluded that our disclosure controls and procedures were effective at the reasonable assurance level as of March 31, 2019.</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184" w:lineRule="exact"/>
        <w:rPr>
          <w:sz w:val="20"/>
          <w:szCs w:val="20"/>
          <w:color w:val="auto"/>
        </w:rPr>
      </w:pPr>
    </w:p>
    <w:p>
      <w:pPr>
        <w:ind w:right="60" w:firstLine="517"/>
        <w:spacing w:after="0" w:line="288" w:lineRule="auto"/>
        <w:rPr>
          <w:sz w:val="20"/>
          <w:szCs w:val="20"/>
          <w:color w:val="auto"/>
        </w:rPr>
      </w:pPr>
      <w:r>
        <w:rPr>
          <w:rFonts w:ascii="Arial" w:cs="Arial" w:eastAsia="Arial" w:hAnsi="Arial"/>
          <w:sz w:val="14"/>
          <w:szCs w:val="14"/>
          <w:color w:val="auto"/>
        </w:rPr>
        <w:t>We operate under the COSO (Committee of Sponsoring Organizations) 2013 Framework. There was no change in our internal control over financial reporting during the three months ended March 31, 2019 that has materially affected, or is reasonably likely to materially affect, our internal control over financial reporting.</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14 of the Notes to the Condensed Consolidated Financial Statements contained within this Quarterly Report for a discussion of our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8"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8" w:lineRule="exact"/>
        <w:rPr>
          <w:sz w:val="20"/>
          <w:szCs w:val="20"/>
          <w:color w:val="auto"/>
        </w:rPr>
      </w:pPr>
    </w:p>
    <w:p>
      <w:pPr>
        <w:ind w:right="100" w:firstLine="517"/>
        <w:spacing w:after="0" w:line="288" w:lineRule="auto"/>
        <w:rPr>
          <w:sz w:val="20"/>
          <w:szCs w:val="20"/>
          <w:color w:val="auto"/>
        </w:rPr>
      </w:pPr>
      <w:r>
        <w:rPr>
          <w:rFonts w:ascii="Arial" w:cs="Arial" w:eastAsia="Arial" w:hAnsi="Arial"/>
          <w:sz w:val="14"/>
          <w:szCs w:val="14"/>
          <w:color w:val="auto"/>
        </w:rPr>
        <w:t>Except as previously disclosed in the Company’s Current Report on Form 8-K filed with the SEC on February 28, 2019, there were no unregistered sales of the Company’s equity securities during the three-month period ended March 31, 2019.</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20" w:top="129"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gridSpan w:val="19"/>
            <w:vMerge w:val="restart"/>
          </w:tcPr>
          <w:p>
            <w:pPr>
              <w:ind w:left="20"/>
              <w:spacing w:after="0"/>
              <w:rPr>
                <w:sz w:val="20"/>
                <w:szCs w:val="20"/>
                <w:color w:val="auto"/>
              </w:rPr>
            </w:pPr>
            <w:r>
              <w:rPr>
                <w:rFonts w:ascii="Arial" w:cs="Arial" w:eastAsia="Arial" w:hAnsi="Arial"/>
                <w:sz w:val="11"/>
                <w:szCs w:val="11"/>
                <w:b w:val="1"/>
                <w:bCs w:val="1"/>
                <w:color w:val="auto"/>
              </w:rPr>
              <w:t>Exhibit Description</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1"/>
              </w:rPr>
              <w:t>2.1#†</w:t>
            </w:r>
          </w:p>
        </w:tc>
        <w:tc>
          <w:tcPr>
            <w:tcW w:w="20" w:type="dxa"/>
            <w:vAlign w:val="bottom"/>
          </w:tcPr>
          <w:p>
            <w:pPr>
              <w:spacing w:after="0"/>
              <w:rPr>
                <w:sz w:val="13"/>
                <w:szCs w:val="13"/>
                <w:color w:val="auto"/>
              </w:rPr>
            </w:pPr>
          </w:p>
        </w:tc>
        <w:tc>
          <w:tcPr>
            <w:tcW w:w="4140" w:type="dxa"/>
            <w:vAlign w:val="bottom"/>
            <w:tcBorders>
              <w:bottom w:val="single" w:sz="8" w:color="0000FF"/>
            </w:tcBorders>
            <w:gridSpan w:val="22"/>
          </w:tcPr>
          <w:p>
            <w:pPr>
              <w:spacing w:after="0" w:line="157" w:lineRule="exact"/>
              <w:rPr>
                <w:rFonts w:ascii="Arial" w:cs="Arial" w:eastAsia="Arial" w:hAnsi="Arial"/>
                <w:sz w:val="14"/>
                <w:szCs w:val="14"/>
                <w:color w:val="0000FF"/>
                <w:w w:val="91"/>
              </w:rPr>
            </w:pPr>
            <w:hyperlink r:id="rId37">
              <w:r>
                <w:rPr>
                  <w:rFonts w:ascii="Arial" w:cs="Arial" w:eastAsia="Arial" w:hAnsi="Arial"/>
                  <w:sz w:val="14"/>
                  <w:szCs w:val="14"/>
                  <w:color w:val="0000FF"/>
                  <w:w w:val="91"/>
                </w:rPr>
                <w:t>Stock Purchase Agreement, dated May 31,2015, among Kratos Defense</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r:id="rId37">
              <w:r>
                <w:rPr>
                  <w:rFonts w:ascii="Arial" w:cs="Arial" w:eastAsia="Arial" w:hAnsi="Arial"/>
                  <w:sz w:val="14"/>
                  <w:szCs w:val="14"/>
                  <w:color w:val="0000FF"/>
                </w:rPr>
                <w:t>&amp; Security Solutions, Inc., Herley Industries, Inc., Ultra Electronics</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7"/>
          </w:tcPr>
          <w:p>
            <w:pPr>
              <w:spacing w:after="0" w:line="153" w:lineRule="exact"/>
              <w:rPr>
                <w:rFonts w:ascii="Arial" w:cs="Arial" w:eastAsia="Arial" w:hAnsi="Arial"/>
                <w:sz w:val="14"/>
                <w:szCs w:val="14"/>
                <w:color w:val="0000FF"/>
                <w:w w:val="94"/>
              </w:rPr>
            </w:pPr>
            <w:hyperlink r:id="rId37">
              <w:r>
                <w:rPr>
                  <w:rFonts w:ascii="Arial" w:cs="Arial" w:eastAsia="Arial" w:hAnsi="Arial"/>
                  <w:sz w:val="14"/>
                  <w:szCs w:val="14"/>
                  <w:color w:val="0000FF"/>
                  <w:w w:val="94"/>
                </w:rPr>
                <w:t>Defense Inc. and Ultra Electronics Holdings plc.</w:t>
              </w:r>
            </w:hyperlink>
          </w:p>
        </w:tc>
        <w:tc>
          <w:tcPr>
            <w:tcW w:w="1100" w:type="dxa"/>
            <w:vAlign w:val="bottom"/>
            <w:tcBorders>
              <w:top w:val="single" w:sz="8" w:color="0000FF"/>
            </w:tcBorders>
            <w:gridSpan w:val="7"/>
          </w:tcPr>
          <w:p>
            <w:pPr>
              <w:spacing w:after="0"/>
              <w:rPr>
                <w:sz w:val="13"/>
                <w:szCs w:val="13"/>
                <w:color w:val="auto"/>
              </w:rPr>
            </w:pPr>
          </w:p>
        </w:tc>
        <w:tc>
          <w:tcPr>
            <w:tcW w:w="3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5"/>
          </w:tcPr>
          <w:p>
            <w:pPr>
              <w:spacing w:after="0"/>
              <w:rPr>
                <w:rFonts w:ascii="Arial" w:cs="Arial" w:eastAsia="Arial" w:hAnsi="Arial"/>
                <w:sz w:val="14"/>
                <w:szCs w:val="14"/>
                <w:color w:val="0000FF"/>
                <w:w w:val="91"/>
              </w:rPr>
            </w:pPr>
            <w:hyperlink r:id="rId38">
              <w:r>
                <w:rPr>
                  <w:rFonts w:ascii="Arial" w:cs="Arial" w:eastAsia="Arial" w:hAnsi="Arial"/>
                  <w:sz w:val="14"/>
                  <w:szCs w:val="14"/>
                  <w:color w:val="0000FF"/>
                  <w:w w:val="91"/>
                </w:rPr>
                <w:t>Stock Purchase Agreement, dated February 28, 2018, among Kratos</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r:id="rId38">
              <w:r>
                <w:rPr>
                  <w:rFonts w:ascii="Arial" w:cs="Arial" w:eastAsia="Arial" w:hAnsi="Arial"/>
                  <w:sz w:val="14"/>
                  <w:szCs w:val="14"/>
                  <w:color w:val="0000FF"/>
                </w:rPr>
                <w:t>Defense &amp; Security Solutions, Inc., Kratos Public Safety &amp; Security</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5"/>
          </w:tcPr>
          <w:p>
            <w:pPr>
              <w:spacing w:after="0" w:line="153" w:lineRule="exact"/>
              <w:rPr>
                <w:rFonts w:ascii="Arial" w:cs="Arial" w:eastAsia="Arial" w:hAnsi="Arial"/>
                <w:sz w:val="14"/>
                <w:szCs w:val="14"/>
                <w:color w:val="0000FF"/>
              </w:rPr>
            </w:pPr>
            <w:hyperlink r:id="rId38">
              <w:r>
                <w:rPr>
                  <w:rFonts w:ascii="Arial" w:cs="Arial" w:eastAsia="Arial" w:hAnsi="Arial"/>
                  <w:sz w:val="14"/>
                  <w:szCs w:val="14"/>
                  <w:color w:val="0000FF"/>
                </w:rPr>
                <w:t>Solutions, Inc. and Securitas Electronic Security, Inc.</w:t>
              </w:r>
            </w:hyperlink>
          </w:p>
        </w:tc>
        <w:tc>
          <w:tcPr>
            <w:tcW w:w="3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7"/>
              </w:rPr>
              <w:t>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7"/>
          </w:tcPr>
          <w:p>
            <w:pPr>
              <w:spacing w:after="0"/>
              <w:rPr>
                <w:rFonts w:ascii="Arial" w:cs="Arial" w:eastAsia="Arial" w:hAnsi="Arial"/>
                <w:sz w:val="14"/>
                <w:szCs w:val="14"/>
                <w:color w:val="0000FF"/>
                <w:w w:val="91"/>
              </w:rPr>
            </w:pPr>
            <w:hyperlink w:anchor="page38">
              <w:r>
                <w:rPr>
                  <w:rFonts w:ascii="Arial" w:cs="Arial" w:eastAsia="Arial" w:hAnsi="Arial"/>
                  <w:sz w:val="14"/>
                  <w:szCs w:val="14"/>
                  <w:color w:val="0000FF"/>
                  <w:w w:val="91"/>
                </w:rPr>
                <w:t>Purchase Agreement, dated February 27, 2019, by and among Kratos</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w w:val="96"/>
              </w:rPr>
            </w:pPr>
            <w:hyperlink w:anchor="page38">
              <w:r>
                <w:rPr>
                  <w:rFonts w:ascii="Arial" w:cs="Arial" w:eastAsia="Arial" w:hAnsi="Arial"/>
                  <w:sz w:val="14"/>
                  <w:szCs w:val="14"/>
                  <w:color w:val="0000FF"/>
                  <w:w w:val="96"/>
                </w:rPr>
                <w:t>Defense &amp; Security Solutions, Inc., Shirley Brostmeyer, (“SB”), Joseph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bottom w:val="single" w:sz="8" w:color="0000FF"/>
            </w:tcBorders>
            <w:gridSpan w:val="22"/>
          </w:tcPr>
          <w:p>
            <w:pPr>
              <w:spacing w:after="0" w:line="153" w:lineRule="exact"/>
              <w:rPr>
                <w:rFonts w:ascii="Arial" w:cs="Arial" w:eastAsia="Arial" w:hAnsi="Arial"/>
                <w:sz w:val="14"/>
                <w:szCs w:val="14"/>
                <w:color w:val="0000FF"/>
                <w:w w:val="92"/>
              </w:rPr>
            </w:pPr>
            <w:hyperlink w:anchor="page38">
              <w:r>
                <w:rPr>
                  <w:rFonts w:ascii="Arial" w:cs="Arial" w:eastAsia="Arial" w:hAnsi="Arial"/>
                  <w:sz w:val="14"/>
                  <w:szCs w:val="14"/>
                  <w:color w:val="0000FF"/>
                  <w:w w:val="92"/>
                </w:rPr>
                <w:t>Brostmeyer (“JB”), certain trusts established by SB, JB and members of</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w:anchor="page38">
              <w:r>
                <w:rPr>
                  <w:rFonts w:ascii="Arial" w:cs="Arial" w:eastAsia="Arial" w:hAnsi="Arial"/>
                  <w:sz w:val="14"/>
                  <w:szCs w:val="14"/>
                  <w:color w:val="0000FF"/>
                </w:rPr>
                <w:t>their immediate family, and JB, as the Sellers Representative.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3"/>
          </w:tcPr>
          <w:p>
            <w:pPr>
              <w:spacing w:after="0"/>
              <w:rPr>
                <w:rFonts w:ascii="Arial" w:cs="Arial" w:eastAsia="Arial" w:hAnsi="Arial"/>
                <w:sz w:val="14"/>
                <w:szCs w:val="14"/>
                <w:color w:val="0000FF"/>
                <w:w w:val="93"/>
              </w:rPr>
            </w:pPr>
            <w:hyperlink r:id="rId39">
              <w:r>
                <w:rPr>
                  <w:rFonts w:ascii="Arial" w:cs="Arial" w:eastAsia="Arial" w:hAnsi="Arial"/>
                  <w:sz w:val="14"/>
                  <w:szCs w:val="14"/>
                  <w:color w:val="0000FF"/>
                  <w:w w:val="93"/>
                </w:rPr>
                <w:t>Amended and Restated Certificate of Incorporation of Kratos Defense &amp;</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r:id="rId39">
              <w:r>
                <w:rPr>
                  <w:rFonts w:ascii="Arial" w:cs="Arial" w:eastAsia="Arial" w:hAnsi="Arial"/>
                  <w:sz w:val="14"/>
                  <w:szCs w:val="14"/>
                  <w:color w:val="0000FF"/>
                </w:rPr>
                <w:t>Security Solutions, Inc., as amended.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24"/>
          </w:tcPr>
          <w:p>
            <w:pPr>
              <w:spacing w:after="0"/>
              <w:rPr>
                <w:rFonts w:ascii="Arial" w:cs="Arial" w:eastAsia="Arial" w:hAnsi="Arial"/>
                <w:sz w:val="14"/>
                <w:szCs w:val="14"/>
                <w:color w:val="0000FF"/>
                <w:w w:val="97"/>
              </w:rPr>
            </w:pPr>
            <w:hyperlink r:id="rId40">
              <w:r>
                <w:rPr>
                  <w:rFonts w:ascii="Arial" w:cs="Arial" w:eastAsia="Arial" w:hAnsi="Arial"/>
                  <w:sz w:val="14"/>
                  <w:szCs w:val="14"/>
                  <w:color w:val="0000FF"/>
                  <w:w w:val="97"/>
                </w:rPr>
                <w:t>Second Amended and Restated Bylaws of Kratos Defense &amp; Security</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3" w:lineRule="exact"/>
              <w:rPr>
                <w:rFonts w:ascii="Arial" w:cs="Arial" w:eastAsia="Arial" w:hAnsi="Arial"/>
                <w:sz w:val="14"/>
                <w:szCs w:val="14"/>
                <w:color w:val="0000FF"/>
                <w:w w:val="90"/>
              </w:rPr>
            </w:pPr>
            <w:hyperlink r:id="rId40">
              <w:r>
                <w:rPr>
                  <w:rFonts w:ascii="Arial" w:cs="Arial" w:eastAsia="Arial" w:hAnsi="Arial"/>
                  <w:sz w:val="14"/>
                  <w:szCs w:val="14"/>
                  <w:color w:val="0000FF"/>
                  <w:w w:val="90"/>
                </w:rPr>
                <w:t>Solutions, Inc.,as amended.</w:t>
              </w:r>
            </w:hyperlink>
          </w:p>
        </w:tc>
        <w:tc>
          <w:tcPr>
            <w:tcW w:w="2420" w:type="dxa"/>
            <w:vAlign w:val="bottom"/>
            <w:tcBorders>
              <w:top w:val="single" w:sz="8" w:color="0000FF"/>
            </w:tcBorders>
            <w:gridSpan w:val="13"/>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24"/>
          </w:tcPr>
          <w:p>
            <w:pPr>
              <w:spacing w:after="0"/>
              <w:rPr>
                <w:rFonts w:ascii="Arial" w:cs="Arial" w:eastAsia="Arial" w:hAnsi="Arial"/>
                <w:sz w:val="14"/>
                <w:szCs w:val="14"/>
                <w:color w:val="0000FF"/>
              </w:rPr>
            </w:pPr>
            <w:hyperlink r:id="rId41">
              <w:r>
                <w:rPr>
                  <w:rFonts w:ascii="Arial" w:cs="Arial" w:eastAsia="Arial" w:hAnsi="Arial"/>
                  <w:sz w:val="14"/>
                  <w:szCs w:val="14"/>
                  <w:color w:val="0000FF"/>
                </w:rPr>
                <w:t>Specimen Stock Certificate.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1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24"/>
          </w:tcPr>
          <w:p>
            <w:pPr>
              <w:spacing w:after="0"/>
              <w:rPr>
                <w:rFonts w:ascii="Arial" w:cs="Arial" w:eastAsia="Arial" w:hAnsi="Arial"/>
                <w:sz w:val="14"/>
                <w:szCs w:val="14"/>
                <w:color w:val="0000FF"/>
                <w:w w:val="98"/>
              </w:rPr>
            </w:pPr>
            <w:hyperlink r:id="rId42">
              <w:r>
                <w:rPr>
                  <w:rFonts w:ascii="Arial" w:cs="Arial" w:eastAsia="Arial" w:hAnsi="Arial"/>
                  <w:sz w:val="14"/>
                  <w:szCs w:val="14"/>
                  <w:color w:val="0000FF"/>
                  <w:w w:val="98"/>
                </w:rPr>
                <w:t>Indenture, dated as of November 20, 2017, among Kratos Defense &amp;</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3"/>
          </w:tcPr>
          <w:p>
            <w:pPr>
              <w:spacing w:after="0" w:line="153" w:lineRule="exact"/>
              <w:rPr>
                <w:rFonts w:ascii="Arial" w:cs="Arial" w:eastAsia="Arial" w:hAnsi="Arial"/>
                <w:sz w:val="14"/>
                <w:szCs w:val="14"/>
                <w:color w:val="0000FF"/>
                <w:w w:val="91"/>
              </w:rPr>
            </w:pPr>
            <w:hyperlink r:id="rId42">
              <w:r>
                <w:rPr>
                  <w:rFonts w:ascii="Arial" w:cs="Arial" w:eastAsia="Arial" w:hAnsi="Arial"/>
                  <w:sz w:val="14"/>
                  <w:szCs w:val="14"/>
                  <w:color w:val="0000FF"/>
                  <w:w w:val="91"/>
                </w:rPr>
                <w:t>Security Solutions, Inc., as Issuer, the Guarantors party thereto, and</w:t>
              </w:r>
            </w:hyperlink>
          </w:p>
        </w:tc>
        <w:tc>
          <w:tcPr>
            <w:tcW w:w="80" w:type="dxa"/>
            <w:vAlign w:val="bottom"/>
            <w:tcBorders>
              <w:top w:val="single" w:sz="8" w:color="0000FF"/>
            </w:tcBorders>
            <w:gridSpan w:val="3"/>
          </w:tcPr>
          <w:p>
            <w:pPr>
              <w:spacing w:after="0"/>
              <w:rPr>
                <w:sz w:val="13"/>
                <w:szCs w:val="13"/>
                <w:color w:val="auto"/>
              </w:rPr>
            </w:pPr>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r:id="rId42">
              <w:r>
                <w:rPr>
                  <w:rFonts w:ascii="Arial" w:cs="Arial" w:eastAsia="Arial" w:hAnsi="Arial"/>
                  <w:sz w:val="14"/>
                  <w:szCs w:val="14"/>
                  <w:color w:val="0000FF"/>
                </w:rPr>
                <w:t>Wilmington Trust, National Association, as Trustee and Collateral</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0"/>
          </w:tcPr>
          <w:p>
            <w:pPr>
              <w:spacing w:after="0" w:line="153" w:lineRule="exact"/>
              <w:rPr>
                <w:rFonts w:ascii="Arial" w:cs="Arial" w:eastAsia="Arial" w:hAnsi="Arial"/>
                <w:sz w:val="14"/>
                <w:szCs w:val="14"/>
                <w:color w:val="0000FF"/>
              </w:rPr>
            </w:pPr>
            <w:hyperlink r:id="rId42">
              <w:r>
                <w:rPr>
                  <w:rFonts w:ascii="Arial" w:cs="Arial" w:eastAsia="Arial" w:hAnsi="Arial"/>
                  <w:sz w:val="14"/>
                  <w:szCs w:val="14"/>
                  <w:color w:val="0000FF"/>
                </w:rPr>
                <w:t>Agent.</w:t>
              </w:r>
            </w:hyperlink>
          </w:p>
        </w:tc>
        <w:tc>
          <w:tcPr>
            <w:tcW w:w="4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7"/>
          </w:tcPr>
          <w:p>
            <w:pPr>
              <w:spacing w:after="0"/>
              <w:rPr>
                <w:rFonts w:ascii="Arial" w:cs="Arial" w:eastAsia="Arial" w:hAnsi="Arial"/>
                <w:sz w:val="14"/>
                <w:szCs w:val="14"/>
                <w:color w:val="0000FF"/>
                <w:w w:val="91"/>
              </w:rPr>
            </w:pPr>
            <w:hyperlink r:id="rId43">
              <w:r>
                <w:rPr>
                  <w:rFonts w:ascii="Arial" w:cs="Arial" w:eastAsia="Arial" w:hAnsi="Arial"/>
                  <w:sz w:val="14"/>
                  <w:szCs w:val="14"/>
                  <w:color w:val="0000FF"/>
                  <w:w w:val="91"/>
                </w:rPr>
                <w:t>First Supplemental Indenture, dated as of December 21, 2017, among</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w w:val="96"/>
              </w:rPr>
            </w:pPr>
            <w:hyperlink r:id="rId43">
              <w:r>
                <w:rPr>
                  <w:rFonts w:ascii="Arial" w:cs="Arial" w:eastAsia="Arial" w:hAnsi="Arial"/>
                  <w:sz w:val="14"/>
                  <w:szCs w:val="14"/>
                  <w:color w:val="0000FF"/>
                  <w:w w:val="96"/>
                </w:rPr>
                <w:t>Kratos Defense &amp; Security Solutions, Inc., as Issuer, the Guarantor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2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bottom w:val="single" w:sz="8" w:color="0000FF"/>
            </w:tcBorders>
            <w:gridSpan w:val="20"/>
          </w:tcPr>
          <w:p>
            <w:pPr>
              <w:spacing w:after="0" w:line="153" w:lineRule="exact"/>
              <w:rPr>
                <w:rFonts w:ascii="Arial" w:cs="Arial" w:eastAsia="Arial" w:hAnsi="Arial"/>
                <w:sz w:val="14"/>
                <w:szCs w:val="14"/>
                <w:color w:val="0000FF"/>
                <w:w w:val="93"/>
              </w:rPr>
            </w:pPr>
            <w:hyperlink r:id="rId43">
              <w:r>
                <w:rPr>
                  <w:rFonts w:ascii="Arial" w:cs="Arial" w:eastAsia="Arial" w:hAnsi="Arial"/>
                  <w:sz w:val="14"/>
                  <w:szCs w:val="14"/>
                  <w:color w:val="0000FF"/>
                  <w:w w:val="93"/>
                </w:rPr>
                <w:t>party thereto, and Wilmington Trust, National Association, as Trustee.</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20"/>
          </w:tcPr>
          <w:p>
            <w:pPr>
              <w:spacing w:after="0"/>
              <w:rPr>
                <w:rFonts w:ascii="Arial" w:cs="Arial" w:eastAsia="Arial" w:hAnsi="Arial"/>
                <w:sz w:val="14"/>
                <w:szCs w:val="14"/>
                <w:color w:val="0000FF"/>
                <w:w w:val="90"/>
              </w:rPr>
            </w:pPr>
            <w:hyperlink r:id="rId44">
              <w:r>
                <w:rPr>
                  <w:rFonts w:ascii="Arial" w:cs="Arial" w:eastAsia="Arial" w:hAnsi="Arial"/>
                  <w:sz w:val="14"/>
                  <w:szCs w:val="14"/>
                  <w:color w:val="0000FF"/>
                  <w:w w:val="90"/>
                </w:rPr>
                <w:t>Amended and Restated Lease Agreement, dated as of January 1, 2019,</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bottom w:val="single" w:sz="8" w:color="0000FF"/>
            </w:tcBorders>
            <w:gridSpan w:val="11"/>
          </w:tcPr>
          <w:p>
            <w:pPr>
              <w:spacing w:after="0" w:line="153" w:lineRule="exact"/>
              <w:rPr>
                <w:rFonts w:ascii="Arial" w:cs="Arial" w:eastAsia="Arial" w:hAnsi="Arial"/>
                <w:sz w:val="14"/>
                <w:szCs w:val="14"/>
                <w:color w:val="0000FF"/>
                <w:w w:val="93"/>
              </w:rPr>
            </w:pPr>
            <w:hyperlink r:id="rId44">
              <w:r>
                <w:rPr>
                  <w:rFonts w:ascii="Arial" w:cs="Arial" w:eastAsia="Arial" w:hAnsi="Arial"/>
                  <w:sz w:val="14"/>
                  <w:szCs w:val="14"/>
                  <w:color w:val="0000FF"/>
                  <w:w w:val="93"/>
                </w:rPr>
                <w:t>by and between STORE Capital Acquisitions, LLC and Kratos RT</w:t>
              </w:r>
            </w:hyperlink>
          </w:p>
        </w:tc>
        <w:tc>
          <w:tcPr>
            <w:tcW w:w="4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r:id="rId44">
              <w:r>
                <w:rPr>
                  <w:rFonts w:ascii="Arial" w:cs="Arial" w:eastAsia="Arial" w:hAnsi="Arial"/>
                  <w:sz w:val="14"/>
                  <w:szCs w:val="14"/>
                  <w:color w:val="0000FF"/>
                </w:rPr>
                <w:t>Logic,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9"/>
          </w:tcPr>
          <w:p>
            <w:pPr>
              <w:spacing w:after="0"/>
              <w:rPr>
                <w:rFonts w:ascii="Arial" w:cs="Arial" w:eastAsia="Arial" w:hAnsi="Arial"/>
                <w:sz w:val="14"/>
                <w:szCs w:val="14"/>
                <w:color w:val="0000FF"/>
                <w:w w:val="92"/>
              </w:rPr>
            </w:pPr>
            <w:hyperlink w:anchor="page143">
              <w:r>
                <w:rPr>
                  <w:rFonts w:ascii="Arial" w:cs="Arial" w:eastAsia="Arial" w:hAnsi="Arial"/>
                  <w:sz w:val="14"/>
                  <w:szCs w:val="14"/>
                  <w:color w:val="0000FF"/>
                  <w:w w:val="92"/>
                </w:rPr>
                <w:t>Exchange Agreement, dated February 27, 2019, by and among Kratos</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21"/>
          </w:tcPr>
          <w:p>
            <w:pPr>
              <w:spacing w:after="0" w:line="153" w:lineRule="exact"/>
              <w:rPr>
                <w:rFonts w:ascii="Arial" w:cs="Arial" w:eastAsia="Arial" w:hAnsi="Arial"/>
                <w:sz w:val="14"/>
                <w:szCs w:val="14"/>
                <w:color w:val="0000FF"/>
                <w:w w:val="96"/>
              </w:rPr>
            </w:pPr>
            <w:hyperlink w:anchor="page143">
              <w:r>
                <w:rPr>
                  <w:rFonts w:ascii="Arial" w:cs="Arial" w:eastAsia="Arial" w:hAnsi="Arial"/>
                  <w:sz w:val="14"/>
                  <w:szCs w:val="14"/>
                  <w:color w:val="0000FF"/>
                  <w:w w:val="96"/>
                </w:rPr>
                <w:t>Defense &amp; Security Solutions, Inc., FTT CORE, LLC, Florida Turbine</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bottom w:val="single" w:sz="8" w:color="0000FF"/>
            </w:tcBorders>
            <w:gridSpan w:val="12"/>
          </w:tcPr>
          <w:p>
            <w:pPr>
              <w:spacing w:after="0" w:line="153" w:lineRule="exact"/>
              <w:rPr>
                <w:rFonts w:ascii="Arial" w:cs="Arial" w:eastAsia="Arial" w:hAnsi="Arial"/>
                <w:sz w:val="14"/>
                <w:szCs w:val="14"/>
                <w:color w:val="0000FF"/>
                <w:w w:val="93"/>
              </w:rPr>
            </w:pPr>
            <w:hyperlink w:anchor="page143">
              <w:r>
                <w:rPr>
                  <w:rFonts w:ascii="Arial" w:cs="Arial" w:eastAsia="Arial" w:hAnsi="Arial"/>
                  <w:sz w:val="14"/>
                  <w:szCs w:val="14"/>
                  <w:color w:val="0000FF"/>
                  <w:w w:val="93"/>
                </w:rPr>
                <w:t>Technologies, Inc., Shirley Brostmeyer (“SB”), Joseph Brostmeyer</w:t>
              </w:r>
            </w:hyperlink>
          </w:p>
        </w:tc>
        <w:tc>
          <w:tcPr>
            <w:tcW w:w="3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bottom w:val="single" w:sz="8" w:color="0000FF"/>
            </w:tcBorders>
            <w:gridSpan w:val="17"/>
          </w:tcPr>
          <w:p>
            <w:pPr>
              <w:spacing w:after="0" w:line="153" w:lineRule="exact"/>
              <w:rPr>
                <w:rFonts w:ascii="Arial" w:cs="Arial" w:eastAsia="Arial" w:hAnsi="Arial"/>
                <w:sz w:val="14"/>
                <w:szCs w:val="14"/>
                <w:color w:val="0000FF"/>
                <w:w w:val="92"/>
              </w:rPr>
            </w:pPr>
            <w:hyperlink w:anchor="page143">
              <w:r>
                <w:rPr>
                  <w:rFonts w:ascii="Arial" w:cs="Arial" w:eastAsia="Arial" w:hAnsi="Arial"/>
                  <w:sz w:val="14"/>
                  <w:szCs w:val="14"/>
                  <w:color w:val="0000FF"/>
                  <w:w w:val="92"/>
                </w:rPr>
                <w:t>(“JB”), and certain trusts established by SB, JB and members of their</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w:anchor="page143">
              <w:r>
                <w:rPr>
                  <w:rFonts w:ascii="Arial" w:cs="Arial" w:eastAsia="Arial" w:hAnsi="Arial"/>
                  <w:sz w:val="14"/>
                  <w:szCs w:val="14"/>
                  <w:color w:val="0000FF"/>
                </w:rPr>
                <w:t>immediate family.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20"/>
          </w:tcPr>
          <w:p>
            <w:pPr>
              <w:spacing w:after="0"/>
              <w:rPr>
                <w:rFonts w:ascii="Arial" w:cs="Arial" w:eastAsia="Arial" w:hAnsi="Arial"/>
                <w:sz w:val="14"/>
                <w:szCs w:val="14"/>
                <w:color w:val="0000FF"/>
                <w:w w:val="94"/>
              </w:rPr>
            </w:pPr>
            <w:hyperlink w:anchor="page166">
              <w:r>
                <w:rPr>
                  <w:rFonts w:ascii="Arial" w:cs="Arial" w:eastAsia="Arial" w:hAnsi="Arial"/>
                  <w:sz w:val="14"/>
                  <w:szCs w:val="14"/>
                  <w:color w:val="0000FF"/>
                  <w:w w:val="94"/>
                </w:rPr>
                <w:t>Certification of Chief Executive Officer pursuant to Section 302 of the</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w:anchor="page166">
              <w:r>
                <w:rPr>
                  <w:rFonts w:ascii="Arial" w:cs="Arial" w:eastAsia="Arial" w:hAnsi="Arial"/>
                  <w:sz w:val="14"/>
                  <w:szCs w:val="14"/>
                  <w:color w:val="0000FF"/>
                </w:rPr>
                <w:t>Sarbanes 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2420" w:type="dxa"/>
            <w:vAlign w:val="bottom"/>
            <w:tcBorders>
              <w:left w:val="single" w:sz="8" w:color="0000FF"/>
            </w:tcBorders>
            <w:gridSpan w:val="1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8"/>
          </w:tcPr>
          <w:p>
            <w:pPr>
              <w:spacing w:after="0"/>
              <w:rPr>
                <w:rFonts w:ascii="Arial" w:cs="Arial" w:eastAsia="Arial" w:hAnsi="Arial"/>
                <w:sz w:val="14"/>
                <w:szCs w:val="14"/>
                <w:color w:val="0000FF"/>
                <w:w w:val="94"/>
              </w:rPr>
            </w:pPr>
            <w:hyperlink w:anchor="page167">
              <w:r>
                <w:rPr>
                  <w:rFonts w:ascii="Arial" w:cs="Arial" w:eastAsia="Arial" w:hAnsi="Arial"/>
                  <w:sz w:val="14"/>
                  <w:szCs w:val="14"/>
                  <w:color w:val="0000FF"/>
                  <w:w w:val="94"/>
                </w:rPr>
                <w:t>Certification of Chief Financial Officer pursuant to Section 302 of the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4"/>
          </w:tcPr>
          <w:p>
            <w:pPr>
              <w:spacing w:after="0" w:line="153" w:lineRule="exact"/>
              <w:rPr>
                <w:rFonts w:ascii="Arial" w:cs="Arial" w:eastAsia="Arial" w:hAnsi="Arial"/>
                <w:sz w:val="14"/>
                <w:szCs w:val="14"/>
                <w:color w:val="0000FF"/>
              </w:rPr>
            </w:pPr>
            <w:hyperlink w:anchor="page167">
              <w:r>
                <w:rPr>
                  <w:rFonts w:ascii="Arial" w:cs="Arial" w:eastAsia="Arial" w:hAnsi="Arial"/>
                  <w:sz w:val="14"/>
                  <w:szCs w:val="14"/>
                  <w:color w:val="0000FF"/>
                </w:rPr>
                <w:t>Sarbanes 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20"/>
        <w:spacing w:after="0"/>
        <w:rPr>
          <w:sz w:val="20"/>
          <w:szCs w:val="20"/>
          <w:color w:val="auto"/>
        </w:rPr>
      </w:pPr>
      <w:r>
        <w:rPr>
          <w:rFonts w:ascii="Arial" w:cs="Arial" w:eastAsia="Arial" w:hAnsi="Arial"/>
          <w:sz w:val="11"/>
          <w:szCs w:val="11"/>
          <w:b w:val="1"/>
          <w:bCs w:val="1"/>
          <w:color w:val="auto"/>
        </w:rPr>
        <w:t>Incorporated by</w:t>
      </w:r>
    </w:p>
    <w:p>
      <w:pPr>
        <w:spacing w:after="0" w:line="4" w:lineRule="exact"/>
        <w:rPr>
          <w:sz w:val="20"/>
          <w:szCs w:val="20"/>
          <w:color w:val="auto"/>
        </w:rPr>
      </w:pPr>
    </w:p>
    <w:p>
      <w:pPr>
        <w:jc w:val="center"/>
        <w:ind w:right="2020"/>
        <w:spacing w:after="0"/>
        <w:rPr>
          <w:sz w:val="20"/>
          <w:szCs w:val="20"/>
          <w:color w:val="auto"/>
        </w:rPr>
      </w:pPr>
      <w:r>
        <w:rPr>
          <w:rFonts w:ascii="Arial" w:cs="Arial" w:eastAsia="Arial" w:hAnsi="Arial"/>
          <w:sz w:val="11"/>
          <w:szCs w:val="11"/>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12065</wp:posOffset>
            </wp:positionV>
            <wp:extent cx="275780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757805" cy="698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Filing Date/</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5"/>
              </w:rPr>
              <w:t>Filed-</w:t>
            </w:r>
          </w:p>
        </w:tc>
        <w:tc>
          <w:tcPr>
            <w:tcW w:w="0" w:type="dxa"/>
            <w:vAlign w:val="bottom"/>
          </w:tcPr>
          <w:p>
            <w:pPr>
              <w:spacing w:after="0"/>
              <w:rPr>
                <w:sz w:val="1"/>
                <w:szCs w:val="1"/>
                <w:color w:val="auto"/>
              </w:rPr>
            </w:pPr>
          </w:p>
        </w:tc>
      </w:tr>
      <w:tr>
        <w:trPr>
          <w:trHeight w:val="119"/>
        </w:trPr>
        <w:tc>
          <w:tcPr>
            <w:tcW w:w="960" w:type="dxa"/>
            <w:vAlign w:val="bottom"/>
            <w:vMerge w:val="restart"/>
          </w:tcPr>
          <w:p>
            <w:pPr>
              <w:jc w:val="center"/>
              <w:ind w:right="590"/>
              <w:spacing w:after="0"/>
              <w:rPr>
                <w:sz w:val="20"/>
                <w:szCs w:val="20"/>
                <w:color w:val="auto"/>
              </w:rPr>
            </w:pPr>
            <w:r>
              <w:rPr>
                <w:rFonts w:ascii="Arial" w:cs="Arial" w:eastAsia="Arial" w:hAnsi="Arial"/>
                <w:sz w:val="11"/>
                <w:szCs w:val="11"/>
                <w:b w:val="1"/>
                <w:bCs w:val="1"/>
                <w:color w:val="auto"/>
                <w:w w:val="94"/>
              </w:rPr>
              <w:t>Form</w:t>
            </w:r>
          </w:p>
        </w:tc>
        <w:tc>
          <w:tcPr>
            <w:tcW w:w="14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6"/>
              </w:rPr>
              <w:t>Period End</w:t>
            </w:r>
          </w:p>
        </w:tc>
        <w:tc>
          <w:tcPr>
            <w:tcW w:w="148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Exhibit</w:t>
            </w:r>
          </w:p>
        </w:tc>
        <w:tc>
          <w:tcPr>
            <w:tcW w:w="1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Furnished</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Date</w:t>
            </w:r>
          </w:p>
        </w:tc>
        <w:tc>
          <w:tcPr>
            <w:tcW w:w="1480" w:type="dxa"/>
            <w:vAlign w:val="bottom"/>
            <w:gridSpan w:val="2"/>
            <w:vMerge w:val="continue"/>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179"/>
        </w:trPr>
        <w:tc>
          <w:tcPr>
            <w:tcW w:w="960" w:type="dxa"/>
            <w:vAlign w:val="bottom"/>
          </w:tcPr>
          <w:p>
            <w:pPr>
              <w:jc w:val="center"/>
              <w:ind w:right="590"/>
              <w:spacing w:after="0"/>
              <w:rPr>
                <w:sz w:val="20"/>
                <w:szCs w:val="20"/>
                <w:color w:val="auto"/>
              </w:rPr>
            </w:pPr>
            <w:r>
              <w:rPr>
                <w:rFonts w:ascii="Arial" w:cs="Arial" w:eastAsia="Arial" w:hAnsi="Arial"/>
                <w:sz w:val="14"/>
                <w:szCs w:val="14"/>
                <w:color w:val="auto"/>
                <w:w w:val="96"/>
              </w:rPr>
              <w:t>10-Q</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08/06/2015</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2.4</w:t>
            </w: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960" w:type="dxa"/>
            <w:vAlign w:val="bottom"/>
          </w:tcPr>
          <w:p>
            <w:pPr>
              <w:jc w:val="center"/>
              <w:ind w:right="590"/>
              <w:spacing w:after="0"/>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05/10/2018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3"/>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02/27/2017</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02/27/2017</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02/27/2017</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11/21/2017</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1"/>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02/28/2018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02/28/2019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10.34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-2865755</wp:posOffset>
            </wp:positionV>
            <wp:extent cx="87566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875665" cy="698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4"/>
          <w:szCs w:val="14"/>
          <w:color w:val="auto"/>
        </w:rPr>
        <w:t>(001-34460)</w:t>
      </w:r>
    </w:p>
    <w:p>
      <w:pPr>
        <w:spacing w:after="0" w:line="2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ectPr>
          <w:pgSz w:w="11900" w:h="16838" w:orient="portrait"/>
          <w:cols w:equalWidth="0" w:num="2">
            <w:col w:w="5800" w:space="380"/>
            <w:col w:w="5280"/>
          </w:cols>
          <w:pgMar w:left="220" w:top="129"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Incorporated by</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3"/>
              </w:rPr>
              <w:t>Reference</w:t>
            </w:r>
          </w:p>
        </w:tc>
        <w:tc>
          <w:tcPr>
            <w:tcW w:w="1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7"/>
              </w:rPr>
              <w:t>Filing Date/</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5"/>
              </w:rPr>
              <w:t>Filed-</w:t>
            </w:r>
          </w:p>
        </w:tc>
        <w:tc>
          <w:tcPr>
            <w:tcW w:w="0" w:type="dxa"/>
            <w:vAlign w:val="bottom"/>
          </w:tcPr>
          <w:p>
            <w:pPr>
              <w:spacing w:after="0"/>
              <w:rPr>
                <w:sz w:val="1"/>
                <w:szCs w:val="1"/>
                <w:color w:val="auto"/>
              </w:rPr>
            </w:pPr>
          </w:p>
        </w:tc>
      </w:tr>
      <w:tr>
        <w:trPr>
          <w:trHeight w:val="119"/>
        </w:trPr>
        <w:tc>
          <w:tcPr>
            <w:tcW w:w="1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gridSpan w:val="4"/>
            <w:vMerge w:val="restart"/>
          </w:tcPr>
          <w:p>
            <w:pPr>
              <w:ind w:left="1620"/>
              <w:spacing w:after="0"/>
              <w:rPr>
                <w:sz w:val="20"/>
                <w:szCs w:val="20"/>
                <w:color w:val="auto"/>
              </w:rPr>
            </w:pPr>
            <w:r>
              <w:rPr>
                <w:rFonts w:ascii="Arial" w:cs="Arial" w:eastAsia="Arial" w:hAnsi="Arial"/>
                <w:sz w:val="11"/>
                <w:szCs w:val="11"/>
                <w:b w:val="1"/>
                <w:bCs w:val="1"/>
                <w:color w:val="auto"/>
              </w:rPr>
              <w:t>Exhibit Description</w:t>
            </w:r>
          </w:p>
        </w:tc>
        <w:tc>
          <w:tcPr>
            <w:tcW w:w="120" w:type="dxa"/>
            <w:vAlign w:val="bottom"/>
            <w:vMerge w:val="restart"/>
          </w:tcPr>
          <w:p>
            <w:pPr>
              <w:spacing w:after="0"/>
              <w:rPr>
                <w:sz w:val="10"/>
                <w:szCs w:val="10"/>
                <w:color w:val="auto"/>
              </w:rPr>
            </w:pPr>
          </w:p>
        </w:tc>
        <w:tc>
          <w:tcPr>
            <w:tcW w:w="1380" w:type="dxa"/>
            <w:vAlign w:val="bottom"/>
            <w:vMerge w:val="restart"/>
          </w:tcPr>
          <w:p>
            <w:pPr>
              <w:ind w:left="560"/>
              <w:spacing w:after="0"/>
              <w:rPr>
                <w:sz w:val="20"/>
                <w:szCs w:val="20"/>
                <w:color w:val="auto"/>
              </w:rPr>
            </w:pPr>
            <w:r>
              <w:rPr>
                <w:rFonts w:ascii="Arial" w:cs="Arial" w:eastAsia="Arial" w:hAnsi="Arial"/>
                <w:sz w:val="11"/>
                <w:szCs w:val="11"/>
                <w:b w:val="1"/>
                <w:bCs w:val="1"/>
                <w:color w:val="auto"/>
              </w:rPr>
              <w:t>Form</w:t>
            </w:r>
          </w:p>
        </w:tc>
        <w:tc>
          <w:tcPr>
            <w:tcW w:w="120" w:type="dxa"/>
            <w:vAlign w:val="bottom"/>
            <w:vMerge w:val="restart"/>
          </w:tcPr>
          <w:p>
            <w:pPr>
              <w:spacing w:after="0"/>
              <w:rPr>
                <w:sz w:val="10"/>
                <w:szCs w:val="10"/>
                <w:color w:val="auto"/>
              </w:rPr>
            </w:pPr>
          </w:p>
        </w:tc>
        <w:tc>
          <w:tcPr>
            <w:tcW w:w="14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6"/>
              </w:rPr>
              <w:t>Period End</w:t>
            </w:r>
          </w:p>
        </w:tc>
        <w:tc>
          <w:tcPr>
            <w:tcW w:w="136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Exhibit</w:t>
            </w:r>
          </w:p>
        </w:tc>
        <w:tc>
          <w:tcPr>
            <w:tcW w:w="120" w:type="dxa"/>
            <w:vAlign w:val="bottom"/>
            <w:vMerge w:val="restart"/>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Furnished</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157"/>
        </w:trPr>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7"/>
              </w:rPr>
              <w:t>32.1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bottom w:val="single" w:sz="8" w:color="0000FF"/>
            </w:tcBorders>
            <w:gridSpan w:val="3"/>
          </w:tcPr>
          <w:p>
            <w:pPr>
              <w:spacing w:after="0" w:line="157" w:lineRule="exact"/>
              <w:rPr>
                <w:rFonts w:ascii="Arial" w:cs="Arial" w:eastAsia="Arial" w:hAnsi="Arial"/>
                <w:sz w:val="14"/>
                <w:szCs w:val="14"/>
                <w:color w:val="0000FF"/>
                <w:w w:val="92"/>
              </w:rPr>
            </w:pPr>
            <w:hyperlink w:anchor="page168">
              <w:r>
                <w:rPr>
                  <w:rFonts w:ascii="Arial" w:cs="Arial" w:eastAsia="Arial" w:hAnsi="Arial"/>
                  <w:sz w:val="14"/>
                  <w:szCs w:val="14"/>
                  <w:color w:val="0000FF"/>
                  <w:w w:val="92"/>
                </w:rPr>
                <w:t>Certification pursuant to 18 U.S.C. Section 1350, as adopted pursuant to</w:t>
              </w:r>
            </w:hyperlink>
          </w:p>
        </w:tc>
        <w:tc>
          <w:tcPr>
            <w:tcW w:w="180" w:type="dxa"/>
            <w:vAlign w:val="bottom"/>
            <w:gridSpan w:val="2"/>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bottom w:val="single" w:sz="8" w:color="0000FF"/>
            </w:tcBorders>
            <w:gridSpan w:val="2"/>
          </w:tcPr>
          <w:p>
            <w:pPr>
              <w:spacing w:after="0" w:line="153" w:lineRule="exact"/>
              <w:rPr>
                <w:rFonts w:ascii="Arial" w:cs="Arial" w:eastAsia="Arial" w:hAnsi="Arial"/>
                <w:sz w:val="14"/>
                <w:szCs w:val="14"/>
                <w:color w:val="0000FF"/>
                <w:w w:val="94"/>
              </w:rPr>
            </w:pPr>
            <w:hyperlink w:anchor="page168">
              <w:r>
                <w:rPr>
                  <w:rFonts w:ascii="Arial" w:cs="Arial" w:eastAsia="Arial" w:hAnsi="Arial"/>
                  <w:sz w:val="14"/>
                  <w:szCs w:val="14"/>
                  <w:color w:val="0000FF"/>
                  <w:w w:val="94"/>
                </w:rPr>
                <w:t>Section 906 of the Sarbanes-Oxley Act of 2002 for Eric M. DeMarco.</w:t>
              </w:r>
            </w:hyperlink>
          </w:p>
        </w:tc>
        <w:tc>
          <w:tcPr>
            <w:tcW w:w="320" w:type="dxa"/>
            <w:vAlign w:val="bottom"/>
            <w:gridSpan w:val="3"/>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3"/>
          </w:tcPr>
          <w:p>
            <w:pPr>
              <w:spacing w:after="0"/>
              <w:rPr>
                <w:rFonts w:ascii="Arial" w:cs="Arial" w:eastAsia="Arial" w:hAnsi="Arial"/>
                <w:sz w:val="14"/>
                <w:szCs w:val="14"/>
                <w:color w:val="0000FF"/>
                <w:w w:val="92"/>
              </w:rPr>
            </w:pPr>
            <w:hyperlink w:anchor="page169">
              <w:r>
                <w:rPr>
                  <w:rFonts w:ascii="Arial" w:cs="Arial" w:eastAsia="Arial" w:hAnsi="Arial"/>
                  <w:sz w:val="14"/>
                  <w:szCs w:val="14"/>
                  <w:color w:val="0000FF"/>
                  <w:w w:val="92"/>
                </w:rPr>
                <w:t>Certification pursuant to 18 U.S.C. Section 1350, as adopted pursuant to</w:t>
              </w:r>
            </w:hyperlink>
          </w:p>
        </w:tc>
        <w:tc>
          <w:tcPr>
            <w:tcW w:w="1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bottom w:val="single" w:sz="8" w:color="0000FF"/>
            </w:tcBorders>
          </w:tcPr>
          <w:p>
            <w:pPr>
              <w:spacing w:after="0" w:line="153" w:lineRule="exact"/>
              <w:rPr>
                <w:rFonts w:ascii="Arial" w:cs="Arial" w:eastAsia="Arial" w:hAnsi="Arial"/>
                <w:sz w:val="14"/>
                <w:szCs w:val="14"/>
                <w:color w:val="0000FF"/>
                <w:w w:val="93"/>
              </w:rPr>
            </w:pPr>
            <w:hyperlink w:anchor="page169">
              <w:r>
                <w:rPr>
                  <w:rFonts w:ascii="Arial" w:cs="Arial" w:eastAsia="Arial" w:hAnsi="Arial"/>
                  <w:sz w:val="14"/>
                  <w:szCs w:val="14"/>
                  <w:color w:val="0000FF"/>
                  <w:w w:val="93"/>
                </w:rPr>
                <w:t>Section 906 of the Sarbanes-Oxley Act of 2002 for Deanna Lund.</w:t>
              </w:r>
            </w:hyperlink>
          </w:p>
        </w:tc>
        <w:tc>
          <w:tcPr>
            <w:tcW w:w="560" w:type="dxa"/>
            <w:vAlign w:val="bottom"/>
            <w:gridSpan w:val="4"/>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5"/>
          </w:tcPr>
          <w:p>
            <w:pPr>
              <w:spacing w:after="0"/>
              <w:rPr>
                <w:sz w:val="20"/>
                <w:szCs w:val="20"/>
                <w:color w:val="auto"/>
              </w:rPr>
            </w:pPr>
            <w:r>
              <w:rPr>
                <w:rFonts w:ascii="Arial" w:cs="Arial" w:eastAsia="Arial" w:hAnsi="Arial"/>
                <w:sz w:val="14"/>
                <w:szCs w:val="14"/>
                <w:color w:val="auto"/>
                <w:w w:val="97"/>
              </w:rPr>
              <w:t>Financial statements from the Quarterly Report on Form 10-Q of Kratos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gridSpan w:val="5"/>
          </w:tcPr>
          <w:p>
            <w:pPr>
              <w:spacing w:after="0"/>
              <w:rPr>
                <w:sz w:val="20"/>
                <w:szCs w:val="20"/>
                <w:color w:val="auto"/>
              </w:rPr>
            </w:pPr>
            <w:r>
              <w:rPr>
                <w:rFonts w:ascii="Arial" w:cs="Arial" w:eastAsia="Arial" w:hAnsi="Arial"/>
                <w:sz w:val="14"/>
                <w:szCs w:val="14"/>
                <w:color w:val="auto"/>
                <w:w w:val="96"/>
              </w:rPr>
              <w:t>Defense &amp; Security Solutions, Inc. for the quarter ended March 31, 2019</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gridSpan w:val="5"/>
          </w:tcPr>
          <w:p>
            <w:pPr>
              <w:spacing w:after="0"/>
              <w:rPr>
                <w:sz w:val="20"/>
                <w:szCs w:val="20"/>
                <w:color w:val="auto"/>
              </w:rPr>
            </w:pPr>
            <w:r>
              <w:rPr>
                <w:rFonts w:ascii="Arial" w:cs="Arial" w:eastAsia="Arial" w:hAnsi="Arial"/>
                <w:sz w:val="14"/>
                <w:szCs w:val="14"/>
                <w:color w:val="auto"/>
              </w:rPr>
              <w:t>formatted in XBRL: (i) the Condensed Consolidated Balance Sheets,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300" w:right="6160" w:hanging="1"/>
        <w:spacing w:after="0" w:line="262" w:lineRule="auto"/>
        <w:tabs>
          <w:tab w:leader="none" w:pos="1511" w:val="left"/>
        </w:tabs>
        <w:numPr>
          <w:ilvl w:val="1"/>
          <w:numId w:val="15"/>
        </w:numPr>
        <w:rPr>
          <w:rFonts w:ascii="Arial" w:cs="Arial" w:eastAsia="Arial" w:hAnsi="Arial"/>
          <w:sz w:val="14"/>
          <w:szCs w:val="14"/>
          <w:color w:val="auto"/>
        </w:rPr>
      </w:pPr>
      <w:r>
        <w:rPr>
          <w:rFonts w:ascii="Arial" w:cs="Arial" w:eastAsia="Arial" w:hAnsi="Arial"/>
          <w:sz w:val="14"/>
          <w:szCs w:val="14"/>
          <w:color w:val="auto"/>
        </w:rPr>
        <w:t>the Condensed Consolidated Statements of Operations and Comprehensive Loss, (iii) the Condensed Consolidated Statements of Cash Flows, (iv) the Notes to the Condensed Consolidated Financial Statements.</w:t>
      </w:r>
    </w:p>
    <w:p>
      <w:pPr>
        <w:spacing w:after="0" w:line="200" w:lineRule="exact"/>
        <w:rPr>
          <w:rFonts w:ascii="Arial" w:cs="Arial" w:eastAsia="Arial" w:hAnsi="Arial"/>
          <w:sz w:val="14"/>
          <w:szCs w:val="14"/>
          <w:color w:val="auto"/>
        </w:rPr>
      </w:pPr>
    </w:p>
    <w:p>
      <w:pPr>
        <w:spacing w:after="0" w:line="272" w:lineRule="exact"/>
        <w:rPr>
          <w:rFonts w:ascii="Arial" w:cs="Arial" w:eastAsia="Arial" w:hAnsi="Arial"/>
          <w:sz w:val="14"/>
          <w:szCs w:val="14"/>
          <w:color w:val="auto"/>
        </w:rPr>
      </w:pPr>
    </w:p>
    <w:p>
      <w:pPr>
        <w:ind w:right="500" w:firstLine="6"/>
        <w:spacing w:after="0" w:line="288" w:lineRule="auto"/>
        <w:tabs>
          <w:tab w:leader="none" w:pos="215"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-299720</wp:posOffset>
            </wp:positionV>
            <wp:extent cx="25114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2511425" cy="6985"/>
                    </a:xfrm>
                    <a:prstGeom prst="rect">
                      <a:avLst/>
                    </a:prstGeom>
                    <a:noFill/>
                  </pic:spPr>
                </pic:pic>
              </a:graphicData>
            </a:graphic>
          </wp:anchor>
        </w:drawing>
      </w:r>
    </w:p>
    <w:p>
      <w:pPr>
        <w:spacing w:after="0" w:line="111" w:lineRule="exact"/>
        <w:rPr>
          <w:sz w:val="20"/>
          <w:szCs w:val="20"/>
          <w:color w:val="auto"/>
        </w:rPr>
      </w:pPr>
    </w:p>
    <w:p>
      <w:pPr>
        <w:ind w:right="5420" w:firstLine="6"/>
        <w:spacing w:after="0" w:line="272" w:lineRule="auto"/>
        <w:tabs>
          <w:tab w:leader="none" w:pos="213"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142" w:lineRule="exact"/>
        <w:rPr>
          <w:sz w:val="20"/>
          <w:szCs w:val="20"/>
          <w:color w:val="auto"/>
        </w:rPr>
      </w:pPr>
    </w:p>
    <w:p>
      <w:pPr>
        <w:ind w:left="5660" w:right="1420" w:hanging="5654"/>
        <w:spacing w:after="0" w:line="577"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confidential information contained in this Exhibit has been omitted because it is both (i) not material and (ii) would be competitively harmful if publicly disclosed. 36</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20" w:type="dxa"/>
            <w:vAlign w:val="bottom"/>
          </w:tcPr>
          <w:p>
            <w:pPr>
              <w:spacing w:after="0"/>
              <w:rPr>
                <w:sz w:val="15"/>
                <w:szCs w:val="15"/>
                <w:color w:val="auto"/>
              </w:rPr>
            </w:pPr>
          </w:p>
        </w:tc>
        <w:tc>
          <w:tcPr>
            <w:tcW w:w="11020" w:type="dxa"/>
            <w:vAlign w:val="bottom"/>
            <w:gridSpan w:val="2"/>
          </w:tcPr>
          <w:p>
            <w:pPr>
              <w:ind w:left="80"/>
              <w:spacing w:after="0"/>
              <w:rPr>
                <w:sz w:val="20"/>
                <w:szCs w:val="20"/>
                <w:color w:val="auto"/>
              </w:rPr>
            </w:pPr>
            <w:r>
              <w:rPr>
                <w:rFonts w:ascii="Arial" w:cs="Arial" w:eastAsia="Arial" w:hAnsi="Arial"/>
                <w:sz w:val="14"/>
                <w:szCs w:val="14"/>
                <w:color w:val="auto"/>
                <w:w w:val="95"/>
              </w:rPr>
              <w:t>Pursuant to the requirements of the Securities Exchange Act of 1934, the registrant has duly caused this report to be signed on its behalf by the undersigned, thereunto duly authorized.</w:t>
            </w:r>
          </w:p>
        </w:tc>
      </w:tr>
      <w:tr>
        <w:trPr>
          <w:trHeight w:val="474"/>
        </w:trPr>
        <w:tc>
          <w:tcPr>
            <w:tcW w:w="420" w:type="dxa"/>
            <w:vAlign w:val="bottom"/>
          </w:tcPr>
          <w:p>
            <w:pPr>
              <w:spacing w:after="0"/>
              <w:rPr>
                <w:sz w:val="24"/>
                <w:szCs w:val="24"/>
                <w:color w:val="auto"/>
              </w:rPr>
            </w:pPr>
          </w:p>
        </w:tc>
        <w:tc>
          <w:tcPr>
            <w:tcW w:w="11020" w:type="dxa"/>
            <w:vAlign w:val="bottom"/>
            <w:gridSpan w:val="2"/>
          </w:tcPr>
          <w:p>
            <w:pPr>
              <w:ind w:left="5220"/>
              <w:spacing w:after="0"/>
              <w:rPr>
                <w:sz w:val="20"/>
                <w:szCs w:val="20"/>
                <w:color w:val="auto"/>
              </w:rPr>
            </w:pPr>
            <w:r>
              <w:rPr>
                <w:rFonts w:ascii="Arial" w:cs="Arial" w:eastAsia="Arial" w:hAnsi="Arial"/>
                <w:sz w:val="14"/>
                <w:szCs w:val="14"/>
                <w:color w:val="auto"/>
              </w:rPr>
              <w:t>KRATOS DEFENSE &amp; SECURITY SOLUTIONS, INC.</w:t>
            </w:r>
          </w:p>
        </w:tc>
      </w:tr>
      <w:tr>
        <w:trPr>
          <w:trHeight w:val="647"/>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By:</w:t>
            </w:r>
          </w:p>
        </w:tc>
        <w:tc>
          <w:tcPr>
            <w:tcW w:w="5380" w:type="dxa"/>
            <w:vAlign w:val="bottom"/>
          </w:tcPr>
          <w:p>
            <w:pPr>
              <w:jc w:val="center"/>
              <w:spacing w:after="0"/>
              <w:rPr>
                <w:sz w:val="20"/>
                <w:szCs w:val="20"/>
                <w:color w:val="auto"/>
              </w:rPr>
            </w:pPr>
            <w:r>
              <w:rPr>
                <w:rFonts w:ascii="Arial" w:cs="Arial" w:eastAsia="Arial" w:hAnsi="Arial"/>
                <w:sz w:val="14"/>
                <w:szCs w:val="14"/>
                <w:color w:val="auto"/>
                <w:w w:val="99"/>
              </w:rPr>
              <w:t>/s/ ERIC M. DEMARCO</w:t>
            </w:r>
          </w:p>
        </w:tc>
      </w:tr>
      <w:tr>
        <w:trPr>
          <w:trHeight w:val="23"/>
        </w:trPr>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84"/>
        </w:trPr>
        <w:tc>
          <w:tcPr>
            <w:tcW w:w="4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7"/>
              </w:rPr>
              <w:t>Eric M. DeMarco</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2"/>
              </w:rPr>
              <w:t>Chief Executive Officer, President</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7"/>
              </w:rPr>
              <w:t>(Principal Executive Officer)</w:t>
            </w:r>
          </w:p>
        </w:tc>
      </w:tr>
      <w:tr>
        <w:trPr>
          <w:trHeight w:val="647"/>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By:</w:t>
            </w:r>
          </w:p>
        </w:tc>
        <w:tc>
          <w:tcPr>
            <w:tcW w:w="5380" w:type="dxa"/>
            <w:vAlign w:val="bottom"/>
          </w:tcPr>
          <w:p>
            <w:pPr>
              <w:jc w:val="center"/>
              <w:spacing w:after="0"/>
              <w:rPr>
                <w:sz w:val="20"/>
                <w:szCs w:val="20"/>
                <w:color w:val="auto"/>
              </w:rPr>
            </w:pPr>
            <w:r>
              <w:rPr>
                <w:rFonts w:ascii="Arial" w:cs="Arial" w:eastAsia="Arial" w:hAnsi="Arial"/>
                <w:sz w:val="14"/>
                <w:szCs w:val="14"/>
                <w:color w:val="auto"/>
              </w:rPr>
              <w:t>/s/ DEANNA H. LUND, CPA</w:t>
            </w:r>
          </w:p>
        </w:tc>
      </w:tr>
      <w:tr>
        <w:trPr>
          <w:trHeight w:val="23"/>
        </w:trPr>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84"/>
        </w:trPr>
        <w:tc>
          <w:tcPr>
            <w:tcW w:w="4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2"/>
              </w:rPr>
              <w:t>Deanna H. Lund</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4"/>
              </w:rPr>
              <w:t>Executive Vice President, Chief Financial Officer</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9"/>
              </w:rPr>
              <w:t>(Principal Financial Officer)</w:t>
            </w:r>
          </w:p>
        </w:tc>
      </w:tr>
      <w:tr>
        <w:trPr>
          <w:trHeight w:val="668"/>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By:</w:t>
            </w:r>
          </w:p>
        </w:tc>
        <w:tc>
          <w:tcPr>
            <w:tcW w:w="5380" w:type="dxa"/>
            <w:vAlign w:val="bottom"/>
          </w:tcPr>
          <w:p>
            <w:pPr>
              <w:jc w:val="center"/>
              <w:spacing w:after="0"/>
              <w:rPr>
                <w:sz w:val="20"/>
                <w:szCs w:val="20"/>
                <w:color w:val="auto"/>
              </w:rPr>
            </w:pPr>
            <w:r>
              <w:rPr>
                <w:rFonts w:ascii="Arial" w:cs="Arial" w:eastAsia="Arial" w:hAnsi="Arial"/>
                <w:sz w:val="14"/>
                <w:szCs w:val="14"/>
                <w:color w:val="auto"/>
                <w:w w:val="97"/>
              </w:rPr>
              <w:t>/s/ MARIA CERVANTES DE BURGREEN, CPA</w:t>
            </w:r>
          </w:p>
        </w:tc>
      </w:tr>
      <w:tr>
        <w:trPr>
          <w:trHeight w:val="23"/>
        </w:trPr>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84"/>
        </w:trPr>
        <w:tc>
          <w:tcPr>
            <w:tcW w:w="4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2"/>
              </w:rPr>
              <w:t>Maria Cervantes de Burgreen</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4"/>
              </w:rPr>
              <w:t>Vice President and Corporate Controller</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8"/>
              </w:rPr>
              <w:t>(Principal Accounting Officer)</w:t>
            </w:r>
          </w:p>
        </w:tc>
      </w:tr>
      <w:tr>
        <w:trPr>
          <w:trHeight w:val="216"/>
        </w:trPr>
        <w:tc>
          <w:tcPr>
            <w:tcW w:w="420" w:type="dxa"/>
            <w:vAlign w:val="bottom"/>
          </w:tcPr>
          <w:p>
            <w:pPr>
              <w:spacing w:after="0"/>
              <w:rPr>
                <w:sz w:val="20"/>
                <w:szCs w:val="20"/>
                <w:color w:val="auto"/>
              </w:rPr>
            </w:pPr>
            <w:r>
              <w:rPr>
                <w:rFonts w:ascii="Arial" w:cs="Arial" w:eastAsia="Arial" w:hAnsi="Arial"/>
                <w:sz w:val="14"/>
                <w:szCs w:val="14"/>
                <w:color w:val="auto"/>
              </w:rPr>
              <w:t>Date:</w:t>
            </w:r>
          </w:p>
        </w:tc>
        <w:tc>
          <w:tcPr>
            <w:tcW w:w="5640" w:type="dxa"/>
            <w:vAlign w:val="bottom"/>
          </w:tcPr>
          <w:p>
            <w:pPr>
              <w:ind w:left="280"/>
              <w:spacing w:after="0"/>
              <w:rPr>
                <w:sz w:val="20"/>
                <w:szCs w:val="20"/>
                <w:color w:val="auto"/>
              </w:rPr>
            </w:pPr>
            <w:r>
              <w:rPr>
                <w:rFonts w:ascii="Arial" w:cs="Arial" w:eastAsia="Arial" w:hAnsi="Arial"/>
                <w:sz w:val="14"/>
                <w:szCs w:val="14"/>
                <w:color w:val="auto"/>
              </w:rPr>
              <w:t>May 8, 2019</w:t>
            </w:r>
          </w:p>
        </w:tc>
        <w:tc>
          <w:tcPr>
            <w:tcW w:w="5380" w:type="dxa"/>
            <w:vAlign w:val="bottom"/>
          </w:tcPr>
          <w:p>
            <w:pPr>
              <w:spacing w:after="0"/>
              <w:rPr>
                <w:sz w:val="18"/>
                <w:szCs w:val="18"/>
                <w:color w:val="auto"/>
              </w:rPr>
            </w:pPr>
          </w:p>
        </w:tc>
      </w:tr>
      <w:tr>
        <w:trPr>
          <w:trHeight w:val="388"/>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37</w:t>
            </w:r>
          </w:p>
        </w:tc>
        <w:tc>
          <w:tcPr>
            <w:tcW w:w="538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9899015</wp:posOffset>
            </wp:positionV>
            <wp:extent cx="7217410"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9885045</wp:posOffset>
            </wp:positionV>
            <wp:extent cx="7217410"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430530</wp:posOffset>
            </wp:positionV>
            <wp:extent cx="7217410" cy="9474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I, Eric M. DeMarco, certify that:</w:t>
      </w:r>
    </w:p>
    <w:p>
      <w:pPr>
        <w:spacing w:after="0" w:line="152" w:lineRule="exact"/>
        <w:rPr>
          <w:sz w:val="20"/>
          <w:szCs w:val="20"/>
          <w:color w:val="auto"/>
        </w:rPr>
      </w:pPr>
    </w:p>
    <w:p>
      <w:pPr>
        <w:ind w:left="520" w:hanging="514"/>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Kratos Defense &amp; Security Solutions, Inc.;</w:t>
      </w:r>
    </w:p>
    <w:p>
      <w:pPr>
        <w:spacing w:after="0" w:line="11" w:lineRule="exact"/>
        <w:rPr>
          <w:rFonts w:ascii="Arial" w:cs="Arial" w:eastAsia="Arial" w:hAnsi="Arial"/>
          <w:sz w:val="13"/>
          <w:szCs w:val="13"/>
          <w:color w:val="auto"/>
        </w:rPr>
      </w:pPr>
    </w:p>
    <w:p>
      <w:pPr>
        <w:ind w:left="520" w:right="40" w:hanging="514"/>
        <w:spacing w:after="0" w:line="242" w:lineRule="auto"/>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140" w:hanging="514"/>
        <w:spacing w:after="0" w:line="242" w:lineRule="auto"/>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340" w:hanging="514"/>
        <w:spacing w:after="0" w:line="248" w:lineRule="auto"/>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3"/>
          <w:szCs w:val="13"/>
          <w:color w:val="auto"/>
        </w:rPr>
      </w:pPr>
    </w:p>
    <w:p>
      <w:pPr>
        <w:ind w:left="1040" w:right="80" w:hanging="517"/>
        <w:spacing w:after="0" w:line="271" w:lineRule="auto"/>
        <w:tabs>
          <w:tab w:leader="none" w:pos="10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40" w:right="300" w:hanging="517"/>
        <w:spacing w:after="0" w:line="262" w:lineRule="auto"/>
        <w:tabs>
          <w:tab w:leader="none" w:pos="10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40" w:right="80" w:hanging="517"/>
        <w:spacing w:after="0" w:line="242" w:lineRule="auto"/>
        <w:tabs>
          <w:tab w:leader="none" w:pos="10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40" w:right="120" w:hanging="517"/>
        <w:spacing w:after="0" w:line="248" w:lineRule="auto"/>
        <w:tabs>
          <w:tab w:leader="none" w:pos="107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3"/>
          <w:szCs w:val="13"/>
          <w:color w:val="auto"/>
        </w:rPr>
      </w:pPr>
    </w:p>
    <w:p>
      <w:pPr>
        <w:ind w:left="520" w:right="540" w:hanging="514"/>
        <w:spacing w:after="0" w:line="264" w:lineRule="auto"/>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3"/>
          <w:szCs w:val="13"/>
          <w:color w:val="auto"/>
        </w:rPr>
      </w:pPr>
    </w:p>
    <w:p>
      <w:pPr>
        <w:ind w:left="1040" w:right="20" w:hanging="517"/>
        <w:spacing w:after="0" w:line="250" w:lineRule="auto"/>
        <w:tabs>
          <w:tab w:leader="none" w:pos="10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40" w:hanging="517"/>
        <w:spacing w:after="0"/>
        <w:tabs>
          <w:tab w:leader="none" w:pos="10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 May 8,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KRATOS DEFENSE &amp; SECURITY SOLUTIONS, INC.</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25400</wp:posOffset>
            </wp:positionV>
            <wp:extent cx="351028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Eric M. DeMarco</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Chief Executive Officer, President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460"/>
          </w:cols>
          <w:pgMar w:left="220" w:top="495" w:right="2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3"/>
          <w:szCs w:val="13"/>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I, Deanna H. Lund, certify that:</w:t>
      </w:r>
    </w:p>
    <w:p>
      <w:pPr>
        <w:spacing w:after="0" w:line="163" w:lineRule="exact"/>
        <w:rPr>
          <w:sz w:val="20"/>
          <w:szCs w:val="20"/>
          <w:color w:val="auto"/>
        </w:rPr>
      </w:pPr>
    </w:p>
    <w:p>
      <w:pPr>
        <w:ind w:left="520" w:hanging="514"/>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3"/>
          <w:szCs w:val="13"/>
          <w:color w:val="auto"/>
        </w:rPr>
        <w:t>I have reviewed this quarterly report on Form 10-Q of Kratos Defense &amp; Security Solutions, Inc.;</w:t>
      </w:r>
    </w:p>
    <w:p>
      <w:pPr>
        <w:spacing w:after="0" w:line="11" w:lineRule="exact"/>
        <w:rPr>
          <w:rFonts w:ascii="Arial" w:cs="Arial" w:eastAsia="Arial" w:hAnsi="Arial"/>
          <w:sz w:val="14"/>
          <w:szCs w:val="14"/>
          <w:color w:val="auto"/>
        </w:rPr>
      </w:pPr>
    </w:p>
    <w:p>
      <w:pPr>
        <w:ind w:left="520" w:right="40" w:hanging="514"/>
        <w:spacing w:after="0" w:line="259"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4"/>
          <w:szCs w:val="14"/>
          <w:color w:val="auto"/>
        </w:rPr>
      </w:pPr>
    </w:p>
    <w:p>
      <w:pPr>
        <w:ind w:left="520" w:right="140" w:hanging="514"/>
        <w:spacing w:after="0" w:line="259"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4"/>
          <w:szCs w:val="14"/>
          <w:color w:val="auto"/>
        </w:rPr>
      </w:pPr>
    </w:p>
    <w:p>
      <w:pPr>
        <w:ind w:left="520" w:right="340" w:hanging="514"/>
        <w:spacing w:after="0" w:line="280"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1040" w:right="80" w:hanging="517"/>
        <w:spacing w:after="0" w:line="280" w:lineRule="auto"/>
        <w:tabs>
          <w:tab w:leader="none" w:pos="1040" w:val="left"/>
        </w:tabs>
        <w:numPr>
          <w:ilvl w:val="1"/>
          <w:numId w:val="19"/>
        </w:numPr>
        <w:rPr>
          <w:rFonts w:ascii="Arial" w:cs="Arial" w:eastAsia="Arial" w:hAnsi="Arial"/>
          <w:sz w:val="13"/>
          <w:szCs w:val="13"/>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3"/>
          <w:szCs w:val="13"/>
          <w:color w:val="auto"/>
        </w:rPr>
      </w:pPr>
    </w:p>
    <w:p>
      <w:pPr>
        <w:ind w:left="1040" w:right="300" w:hanging="517"/>
        <w:spacing w:after="0" w:line="280" w:lineRule="auto"/>
        <w:tabs>
          <w:tab w:leader="none" w:pos="1040" w:val="left"/>
        </w:tabs>
        <w:numPr>
          <w:ilvl w:val="1"/>
          <w:numId w:val="19"/>
        </w:numPr>
        <w:rPr>
          <w:rFonts w:ascii="Arial" w:cs="Arial" w:eastAsia="Arial" w:hAnsi="Arial"/>
          <w:sz w:val="13"/>
          <w:szCs w:val="13"/>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3"/>
          <w:szCs w:val="13"/>
          <w:color w:val="auto"/>
        </w:rPr>
      </w:pPr>
    </w:p>
    <w:p>
      <w:pPr>
        <w:ind w:left="1040" w:right="80" w:hanging="517"/>
        <w:spacing w:after="0" w:line="259" w:lineRule="auto"/>
        <w:tabs>
          <w:tab w:leader="none" w:pos="1040" w:val="left"/>
        </w:tabs>
        <w:numPr>
          <w:ilvl w:val="1"/>
          <w:numId w:val="19"/>
        </w:numPr>
        <w:rPr>
          <w:rFonts w:ascii="Arial" w:cs="Arial" w:eastAsia="Arial" w:hAnsi="Arial"/>
          <w:sz w:val="14"/>
          <w:szCs w:val="14"/>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4"/>
          <w:szCs w:val="14"/>
          <w:color w:val="auto"/>
        </w:rPr>
      </w:pPr>
    </w:p>
    <w:p>
      <w:pPr>
        <w:ind w:left="1040" w:right="120" w:hanging="517"/>
        <w:spacing w:after="0" w:line="280" w:lineRule="auto"/>
        <w:tabs>
          <w:tab w:leader="none" w:pos="1072" w:val="left"/>
        </w:tabs>
        <w:numPr>
          <w:ilvl w:val="1"/>
          <w:numId w:val="19"/>
        </w:numPr>
        <w:rPr>
          <w:rFonts w:ascii="Arial" w:cs="Arial" w:eastAsia="Arial" w:hAnsi="Arial"/>
          <w:sz w:val="14"/>
          <w:szCs w:val="14"/>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4"/>
          <w:szCs w:val="14"/>
          <w:color w:val="auto"/>
        </w:rPr>
      </w:pPr>
    </w:p>
    <w:p>
      <w:pPr>
        <w:ind w:left="520" w:right="540" w:hanging="514"/>
        <w:spacing w:after="0" w:line="280"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1040" w:right="20" w:hanging="517"/>
        <w:spacing w:after="0" w:line="259" w:lineRule="auto"/>
        <w:tabs>
          <w:tab w:leader="none" w:pos="1040" w:val="left"/>
        </w:tabs>
        <w:numPr>
          <w:ilvl w:val="1"/>
          <w:numId w:val="19"/>
        </w:numPr>
        <w:rPr>
          <w:rFonts w:ascii="Arial" w:cs="Arial" w:eastAsia="Arial" w:hAnsi="Arial"/>
          <w:sz w:val="14"/>
          <w:szCs w:val="14"/>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4"/>
          <w:szCs w:val="14"/>
          <w:color w:val="auto"/>
        </w:rPr>
      </w:pPr>
    </w:p>
    <w:p>
      <w:pPr>
        <w:ind w:left="1040" w:hanging="517"/>
        <w:spacing w:after="0"/>
        <w:tabs>
          <w:tab w:leader="none" w:pos="1040" w:val="left"/>
        </w:tabs>
        <w:numPr>
          <w:ilvl w:val="1"/>
          <w:numId w:val="19"/>
        </w:numPr>
        <w:rPr>
          <w:rFonts w:ascii="Arial" w:cs="Arial" w:eastAsia="Arial" w:hAnsi="Arial"/>
          <w:sz w:val="14"/>
          <w:szCs w:val="14"/>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 May 8,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KRATOS DEFENSE &amp; SECURITY SOLUTIONS, INC.</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25400</wp:posOffset>
            </wp:positionV>
            <wp:extent cx="351028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Deanna H. Lund</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Executive Vice President, Chief Financial Officer</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(Principal Financial Officer and Acting Principal Accounting Officer)</w:t>
      </w:r>
    </w:p>
    <w:p>
      <w:pPr>
        <w:sectPr>
          <w:pgSz w:w="11900" w:h="16838" w:orient="portrait"/>
          <w:cols w:equalWidth="0" w:num="1">
            <w:col w:w="11460"/>
          </w:cols>
          <w:pgMar w:left="220" w:top="495" w:right="2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3"/>
          <w:szCs w:val="13"/>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42" w:lineRule="exact"/>
        <w:rPr>
          <w:sz w:val="20"/>
          <w:szCs w:val="20"/>
          <w:color w:val="auto"/>
        </w:rPr>
      </w:pPr>
    </w:p>
    <w:p>
      <w:pPr>
        <w:ind w:right="160" w:firstLine="517"/>
        <w:spacing w:after="0" w:line="264" w:lineRule="auto"/>
        <w:rPr>
          <w:sz w:val="20"/>
          <w:szCs w:val="20"/>
          <w:color w:val="auto"/>
        </w:rPr>
      </w:pPr>
      <w:r>
        <w:rPr>
          <w:rFonts w:ascii="Arial" w:cs="Arial" w:eastAsia="Arial" w:hAnsi="Arial"/>
          <w:sz w:val="13"/>
          <w:szCs w:val="13"/>
          <w:color w:val="auto"/>
        </w:rPr>
        <w:t>In connection with the accompanying Quarterly Report of Kratos Defense &amp; Security Solutions, Inc. (the “Company”) on Form 10-Q for the quarter ended March 31, 2019 (the “Report”), I, Eric M. DeMarco, Chief Executive Officer of the Company, certify, pursuant to 18 U.S.C. Section 1350, as adopted pursuant to Section 906 of the Sarbanes-Oxley Act of 2002, that:</w:t>
      </w:r>
    </w:p>
    <w:p>
      <w:pPr>
        <w:spacing w:after="0" w:line="124" w:lineRule="exact"/>
        <w:rPr>
          <w:sz w:val="20"/>
          <w:szCs w:val="20"/>
          <w:color w:val="auto"/>
        </w:rPr>
      </w:pPr>
    </w:p>
    <w:p>
      <w:pPr>
        <w:ind w:left="1040" w:hanging="517"/>
        <w:spacing w:after="0"/>
        <w:tabs>
          <w:tab w:leader="none" w:pos="10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1" w:lineRule="exact"/>
        <w:rPr>
          <w:rFonts w:ascii="Arial" w:cs="Arial" w:eastAsia="Arial" w:hAnsi="Arial"/>
          <w:sz w:val="13"/>
          <w:szCs w:val="13"/>
          <w:color w:val="auto"/>
        </w:rPr>
      </w:pPr>
    </w:p>
    <w:p>
      <w:pPr>
        <w:ind w:left="1080" w:hanging="557"/>
        <w:spacing w:after="0"/>
        <w:tabs>
          <w:tab w:leader="none" w:pos="10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 May 8,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KRATOS DEFENSE &amp; SECURITY SOLUTIONS, INC.</w:t>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3"/>
          <w:szCs w:val="13"/>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25400</wp:posOffset>
            </wp:positionV>
            <wp:extent cx="362013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3620135" cy="6985"/>
                    </a:xfrm>
                    <a:prstGeom prst="rect">
                      <a:avLst/>
                    </a:prstGeom>
                    <a:noFill/>
                  </pic:spPr>
                </pic:pic>
              </a:graphicData>
            </a:graphic>
          </wp:anchor>
        </w:drawing>
      </w:r>
    </w:p>
    <w:p>
      <w:pPr>
        <w:spacing w:after="0" w:line="46" w:lineRule="exact"/>
        <w:rPr>
          <w:sz w:val="20"/>
          <w:szCs w:val="20"/>
          <w:color w:val="auto"/>
        </w:rPr>
      </w:pPr>
    </w:p>
    <w:p>
      <w:pPr>
        <w:ind w:left="60"/>
        <w:spacing w:after="0"/>
        <w:rPr>
          <w:sz w:val="20"/>
          <w:szCs w:val="20"/>
          <w:color w:val="auto"/>
        </w:rPr>
      </w:pPr>
      <w:r>
        <w:rPr>
          <w:rFonts w:ascii="Arial" w:cs="Arial" w:eastAsia="Arial" w:hAnsi="Arial"/>
          <w:sz w:val="13"/>
          <w:szCs w:val="13"/>
          <w:color w:val="auto"/>
        </w:rPr>
        <w:t>Eric M. DeMarco</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Chief Executive Officer, President</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460"/>
          </w:cols>
          <w:pgMar w:left="220" w:top="495" w:right="2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3"/>
          <w:szCs w:val="13"/>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42" w:lineRule="exact"/>
        <w:rPr>
          <w:sz w:val="20"/>
          <w:szCs w:val="20"/>
          <w:color w:val="auto"/>
        </w:rPr>
      </w:pPr>
    </w:p>
    <w:p>
      <w:pPr>
        <w:ind w:right="220" w:firstLine="517"/>
        <w:spacing w:after="0" w:line="264" w:lineRule="auto"/>
        <w:rPr>
          <w:sz w:val="20"/>
          <w:szCs w:val="20"/>
          <w:color w:val="auto"/>
        </w:rPr>
      </w:pPr>
      <w:r>
        <w:rPr>
          <w:rFonts w:ascii="Arial" w:cs="Arial" w:eastAsia="Arial" w:hAnsi="Arial"/>
          <w:sz w:val="13"/>
          <w:szCs w:val="13"/>
          <w:color w:val="auto"/>
        </w:rPr>
        <w:t>In connection with the accompanying Quarterly Report of Kratos Defense &amp; Security Solutions, Inc. (the “Company”) on Form 10-Q for the quarter ended March 31, 2019 (the “Report”), I, Deanna H. Lund, Chief Financial Officer of the Company, certify, pursuant to 18 U.S.C. Section 1350, as adopted pursuant to Section 906 of the Sarbanes-Oxley Act of 2002, that:</w:t>
      </w:r>
    </w:p>
    <w:p>
      <w:pPr>
        <w:spacing w:after="0" w:line="124" w:lineRule="exact"/>
        <w:rPr>
          <w:sz w:val="20"/>
          <w:szCs w:val="20"/>
          <w:color w:val="auto"/>
        </w:rPr>
      </w:pPr>
    </w:p>
    <w:p>
      <w:pPr>
        <w:ind w:left="1040" w:hanging="517"/>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1" w:lineRule="exact"/>
        <w:rPr>
          <w:rFonts w:ascii="Arial" w:cs="Arial" w:eastAsia="Arial" w:hAnsi="Arial"/>
          <w:sz w:val="13"/>
          <w:szCs w:val="13"/>
          <w:color w:val="auto"/>
        </w:rPr>
      </w:pPr>
    </w:p>
    <w:p>
      <w:pPr>
        <w:ind w:left="1080" w:hanging="557"/>
        <w:spacing w:after="0"/>
        <w:tabs>
          <w:tab w:leader="none" w:pos="10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 May 8,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KRATOS DEFENSE &amp; SECURITY SOLUTIONS, INC.</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25400</wp:posOffset>
            </wp:positionV>
            <wp:extent cx="362013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3620135" cy="6985"/>
                    </a:xfrm>
                    <a:prstGeom prst="rect">
                      <a:avLst/>
                    </a:prstGeom>
                    <a:noFill/>
                  </pic:spPr>
                </pic:pic>
              </a:graphicData>
            </a:graphic>
          </wp:anchor>
        </w:drawing>
      </w:r>
    </w:p>
    <w:p>
      <w:pPr>
        <w:spacing w:after="0" w:line="46" w:lineRule="exact"/>
        <w:rPr>
          <w:sz w:val="20"/>
          <w:szCs w:val="20"/>
          <w:color w:val="auto"/>
        </w:rPr>
      </w:pPr>
    </w:p>
    <w:p>
      <w:pPr>
        <w:ind w:left="60"/>
        <w:spacing w:after="0"/>
        <w:rPr>
          <w:sz w:val="20"/>
          <w:szCs w:val="20"/>
          <w:color w:val="auto"/>
        </w:rPr>
      </w:pPr>
      <w:r>
        <w:rPr>
          <w:rFonts w:ascii="Arial" w:cs="Arial" w:eastAsia="Arial" w:hAnsi="Arial"/>
          <w:sz w:val="13"/>
          <w:szCs w:val="13"/>
          <w:color w:val="auto"/>
        </w:rPr>
        <w:t>Deanna H. Lund</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Executive Vice President, Chief Financial Officer</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(Principal Financial Officer and Acting Principal Accounting Officer)</w:t>
      </w:r>
    </w:p>
    <w:sectPr>
      <w:pgSz w:w="11900" w:h="16838" w:orient="portrait"/>
      <w:cols w:equalWidth="0" w:num="1">
        <w:col w:w="11460"/>
      </w:cols>
      <w:pgMar w:left="220" w:top="49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emdash "/>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2"/>
    </w:lvl>
  </w:abstractNum>
  <w:abstractNum w:abstractNumId="5">
    <w:nsid w:val="109CF92E"/>
    <w:multiLevelType w:val="hybridMultilevel"/>
    <w:lvl w:ilvl="0">
      <w:lvlJc w:val="left"/>
      <w:lvlText w:val="(%1)"/>
      <w:numFmt w:val="lowerLetter"/>
      <w:start w:val="3"/>
    </w:lvl>
  </w:abstractNum>
  <w:abstractNum w:abstractNumId="6">
    <w:nsid w:val="DED7263"/>
    <w:multiLevelType w:val="hybridMultilevel"/>
    <w:lvl w:ilvl="0">
      <w:lvlJc w:val="left"/>
      <w:lvlText w:val="(%1)"/>
      <w:numFmt w:val="lowerLetter"/>
      <w:start w:val="6"/>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
      <w:numFmt w:val="bullet"/>
      <w:start w:val="1"/>
    </w:lvl>
    <w:lvl w:ilvl="1">
      <w:lvlJc w:val="left"/>
      <w:lvlText w:val="(%2)"/>
      <w:numFmt w:val="lowerRoman"/>
      <w:start w:val="2"/>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37" Type="http://schemas.openxmlformats.org/officeDocument/2006/relationships/hyperlink" Target="http://www.sec.gov/Archives/edgar/data/1069258/000106925815000029/ktos20150628ex-24.htm" TargetMode="External"/><Relationship Id="rId38" Type="http://schemas.openxmlformats.org/officeDocument/2006/relationships/hyperlink" Target="http://www.sec.gov/Archives/edgar/data/1069258/000106925818000021/ktos20180401ex-22.htm" TargetMode="External"/><Relationship Id="rId39" Type="http://schemas.openxmlformats.org/officeDocument/2006/relationships/hyperlink" Target="http://www.sec.gov/Archives/edgar/data/1069258/000106925817000009/ktos20161225ex-31.htm" TargetMode="External"/><Relationship Id="rId40" Type="http://schemas.openxmlformats.org/officeDocument/2006/relationships/hyperlink" Target="http://www.sec.gov/Archives/edgar/data/1069258/000106925817000009/ktos20161225ex-32.htm" TargetMode="External"/><Relationship Id="rId41" Type="http://schemas.openxmlformats.org/officeDocument/2006/relationships/hyperlink" Target="http://www.sec.gov/Archives/edgar/data/1069258/000106925817000009/kratoscommonformofcertif.htm" TargetMode="External"/><Relationship Id="rId42" Type="http://schemas.openxmlformats.org/officeDocument/2006/relationships/hyperlink" Target="http://www.sec.gov/Archives/edgar/data/1069258/000110465917069690/a17-27375_1ex4d1.htm" TargetMode="External"/><Relationship Id="rId43" Type="http://schemas.openxmlformats.org/officeDocument/2006/relationships/hyperlink" Target="http://www.sec.gov/Archives/edgar/data/1069258/000106925818000006/ktos20171231ex-45.htm" TargetMode="External"/><Relationship Id="rId44" Type="http://schemas.openxmlformats.org/officeDocument/2006/relationships/hyperlink" Target="http://www.sec.gov/Archives/edgar/data/1069258/000162828019002271/ktos20181230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2019-12-28T13:03:29Z</dcterms:created>
  <dcterms:modified xsi:type="dcterms:W3CDTF">2019-12-28T13:03:29Z</dcterms:modified>
</cp:coreProperties>
</file>