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426085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25, 2022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4"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233" w:right="359" w:bottom="1440" w:gutter="0" w:footer="0" w:header="0"/>
        </w:sectPr>
      </w:pPr>
    </w:p>
    <w:p>
      <w:pPr>
        <w:ind w:left="1780"/>
        <w:spacing w:after="0" w:line="221" w:lineRule="auto"/>
        <w:rPr>
          <w:sz w:val="20"/>
          <w:szCs w:val="20"/>
          <w:color w:val="auto"/>
        </w:rPr>
      </w:pPr>
      <w:r>
        <w:rPr>
          <w:rFonts w:ascii="Arial" w:cs="Arial" w:eastAsia="Arial" w:hAnsi="Arial"/>
          <w:sz w:val="18"/>
          <w:szCs w:val="18"/>
          <w:color w:val="auto"/>
        </w:rPr>
        <w:t>(State or other jurisdiction of</w:t>
      </w:r>
    </w:p>
    <w:p>
      <w:pPr>
        <w:ind w:left="1740"/>
        <w:spacing w:after="0"/>
        <w:rPr>
          <w:sz w:val="20"/>
          <w:szCs w:val="20"/>
          <w:color w:val="auto"/>
        </w:rPr>
      </w:pPr>
      <w:r>
        <w:rPr>
          <w:rFonts w:ascii="Arial" w:cs="Arial" w:eastAsia="Arial" w:hAnsi="Arial"/>
          <w:sz w:val="18"/>
          <w:szCs w:val="18"/>
          <w:color w:val="auto"/>
        </w:rPr>
        <w:t>incorporation or organization)</w:t>
      </w:r>
    </w:p>
    <w:p>
      <w:pPr>
        <w:spacing w:after="0" w:line="200" w:lineRule="exact"/>
        <w:rPr>
          <w:sz w:val="24"/>
          <w:szCs w:val="24"/>
          <w:color w:val="auto"/>
        </w:rPr>
      </w:pPr>
    </w:p>
    <w:p>
      <w:pPr>
        <w:spacing w:after="0" w:line="22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 Chisholm Trail</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Suite 300</w:t>
      </w:r>
    </w:p>
    <w:p>
      <w:pPr>
        <w:jc w:val="center"/>
        <w:ind w:right="740"/>
        <w:spacing w:after="0" w:line="219" w:lineRule="auto"/>
        <w:rPr>
          <w:sz w:val="20"/>
          <w:szCs w:val="20"/>
          <w:color w:val="auto"/>
        </w:rPr>
      </w:pPr>
      <w:r>
        <w:rPr>
          <w:rFonts w:ascii="Arial" w:cs="Arial" w:eastAsia="Arial" w:hAnsi="Arial"/>
          <w:sz w:val="18"/>
          <w:szCs w:val="18"/>
          <w:b w:val="1"/>
          <w:bCs w:val="1"/>
          <w:color w:val="auto"/>
        </w:rPr>
        <w:t>Round Rock</w:t>
      </w:r>
      <w:r>
        <w:rPr>
          <w:rFonts w:ascii="Arial" w:cs="Arial" w:eastAsia="Arial" w:hAnsi="Arial"/>
          <w:sz w:val="16"/>
          <w:szCs w:val="16"/>
          <w:b w:val="1"/>
          <w:bCs w:val="1"/>
          <w:color w:val="auto"/>
        </w:rPr>
        <w:t>, TX</w:t>
      </w:r>
    </w:p>
    <w:p>
      <w:pPr>
        <w:ind w:left="1400"/>
        <w:spacing w:after="0"/>
        <w:rPr>
          <w:sz w:val="20"/>
          <w:szCs w:val="20"/>
          <w:color w:val="auto"/>
        </w:rPr>
      </w:pPr>
      <w:r>
        <w:rPr>
          <w:rFonts w:ascii="Arial" w:cs="Arial" w:eastAsia="Arial" w:hAnsi="Arial"/>
          <w:sz w:val="18"/>
          <w:szCs w:val="18"/>
          <w:color w:val="auto"/>
        </w:rPr>
        <w:t>(Address of principal executive offices)</w:t>
      </w:r>
    </w:p>
    <w:p>
      <w:pPr>
        <w:spacing w:after="0" w:line="318" w:lineRule="exact"/>
        <w:rPr>
          <w:sz w:val="24"/>
          <w:szCs w:val="24"/>
          <w:color w:val="auto"/>
        </w:rPr>
      </w:pPr>
    </w:p>
    <w:p>
      <w:pPr>
        <w:jc w:val="right"/>
        <w:ind w:right="260"/>
        <w:spacing w:after="0"/>
        <w:rPr>
          <w:sz w:val="20"/>
          <w:szCs w:val="20"/>
          <w:color w:val="auto"/>
        </w:rPr>
      </w:pPr>
      <w:r>
        <w:rPr>
          <w:rFonts w:ascii="Arial" w:cs="Arial" w:eastAsia="Arial" w:hAnsi="Arial"/>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73"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78681</w:t>
      </w:r>
    </w:p>
    <w:p>
      <w:pPr>
        <w:spacing w:after="0" w:line="212"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(Zip Code)</w:t>
      </w:r>
    </w:p>
    <w:p>
      <w:pPr>
        <w:spacing w:after="0" w:line="668"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9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83"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7" w:lineRule="exact"/>
        <w:rPr>
          <w:sz w:val="24"/>
          <w:szCs w:val="24"/>
          <w:color w:val="auto"/>
        </w:rPr>
      </w:pPr>
    </w:p>
    <w:p>
      <w:pPr>
        <w:ind w:left="1440"/>
        <w:spacing w:after="0"/>
        <w:tabs>
          <w:tab w:leader="none" w:pos="72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6"/>
          <w:szCs w:val="16"/>
          <w:color w:val="auto"/>
        </w:rPr>
        <w:t>Accelerated filer</w:t>
      </w:r>
    </w:p>
    <w:p>
      <w:pPr>
        <w:spacing w:after="0" w:line="203" w:lineRule="exact"/>
        <w:rPr>
          <w:sz w:val="24"/>
          <w:szCs w:val="24"/>
          <w:color w:val="auto"/>
        </w:rPr>
      </w:pPr>
    </w:p>
    <w:p>
      <w:pPr>
        <w:ind w:left="484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7" w:lineRule="exact"/>
        <w:rPr>
          <w:sz w:val="24"/>
          <w:szCs w:val="24"/>
          <w:color w:val="auto"/>
        </w:rPr>
      </w:pPr>
    </w:p>
    <w:p>
      <w:pPr>
        <w:ind w:left="1500"/>
        <w:spacing w:after="0"/>
        <w:tabs>
          <w:tab w:leader="none" w:pos="68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Smaller reporting company</w:t>
      </w:r>
    </w:p>
    <w:p>
      <w:pPr>
        <w:spacing w:after="0" w:line="28" w:lineRule="exact"/>
        <w:rPr>
          <w:sz w:val="24"/>
          <w:szCs w:val="24"/>
          <w:color w:val="auto"/>
        </w:rPr>
      </w:pPr>
    </w:p>
    <w:p>
      <w:pPr>
        <w:ind w:left="10480"/>
        <w:spacing w:after="0" w:line="181" w:lineRule="exact"/>
        <w:rPr>
          <w:sz w:val="20"/>
          <w:szCs w:val="20"/>
          <w:color w:val="auto"/>
        </w:rPr>
      </w:pPr>
      <w:r>
        <w:rPr>
          <w:rFonts w:ascii="MS PGothic" w:cs="MS PGothic" w:eastAsia="MS PGothic" w:hAnsi="MS PGothic"/>
          <w:sz w:val="18"/>
          <w:szCs w:val="18"/>
          <w:color w:val="auto"/>
        </w:rPr>
        <w:t>☐</w:t>
      </w:r>
    </w:p>
    <w:p>
      <w:pPr>
        <w:spacing w:after="0" w:line="17" w:lineRule="exact"/>
        <w:rPr>
          <w:sz w:val="24"/>
          <w:szCs w:val="24"/>
          <w:color w:val="auto"/>
        </w:rPr>
      </w:pPr>
    </w:p>
    <w:p>
      <w:pPr>
        <w:ind w:left="6880"/>
        <w:spacing w:after="0"/>
        <w:rPr>
          <w:sz w:val="20"/>
          <w:szCs w:val="20"/>
          <w:color w:val="auto"/>
        </w:rPr>
      </w:pPr>
      <w:r>
        <w:rPr>
          <w:rFonts w:ascii="Arial" w:cs="Arial" w:eastAsia="Arial" w:hAnsi="Arial"/>
          <w:sz w:val="18"/>
          <w:szCs w:val="18"/>
          <w:color w:val="auto"/>
        </w:rPr>
        <w:t>Emerging growth company</w:t>
      </w:r>
    </w:p>
    <w:p>
      <w:pPr>
        <w:spacing w:after="0" w:line="250"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9"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October 28, 2022, 125,956,987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25,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00" w:type="dxa"/>
            <w:vAlign w:val="bottom"/>
            <w:gridSpan w:val="15"/>
            <w:vMerge w:val="restart"/>
          </w:tcPr>
          <w:p>
            <w:pPr>
              <w:jc w:val="center"/>
              <w:ind w:right="2340"/>
              <w:spacing w:after="0"/>
              <w:rPr>
                <w:sz w:val="20"/>
                <w:szCs w:val="20"/>
                <w:color w:val="auto"/>
              </w:rPr>
            </w:pPr>
            <w:r>
              <w:rPr>
                <w:rFonts w:ascii="Arial" w:cs="Arial" w:eastAsia="Arial" w:hAnsi="Arial"/>
                <w:sz w:val="18"/>
                <w:szCs w:val="18"/>
                <w:b w:val="1"/>
                <w:bCs w:val="1"/>
                <w:color w:val="0000FF"/>
              </w:rPr>
              <w:t>PART I. FINANCIAL INFORMATION</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400" w:type="dxa"/>
            <w:vAlign w:val="bottom"/>
            <w:gridSpan w:val="15"/>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2"/>
          </w:tcPr>
          <w:p>
            <w:pPr>
              <w:spacing w:after="0"/>
              <w:rPr>
                <w:sz w:val="24"/>
                <w:szCs w:val="24"/>
                <w:color w:val="auto"/>
              </w:rPr>
            </w:pPr>
          </w:p>
        </w:tc>
        <w:tc>
          <w:tcPr>
            <w:tcW w:w="1500" w:type="dxa"/>
            <w:vAlign w:val="bottom"/>
            <w:gridSpan w:val="6"/>
          </w:tcPr>
          <w:p>
            <w:pPr>
              <w:spacing w:after="0"/>
              <w:rPr>
                <w:sz w:val="20"/>
                <w:szCs w:val="20"/>
                <w:color w:val="auto"/>
              </w:rPr>
            </w:pPr>
            <w:r>
              <w:rPr>
                <w:rFonts w:ascii="Arial" w:cs="Arial" w:eastAsia="Arial" w:hAnsi="Arial"/>
                <w:sz w:val="18"/>
                <w:szCs w:val="18"/>
                <w:color w:val="0000FF"/>
                <w:w w:val="88"/>
              </w:rPr>
              <w:t>Financial Statements</w:t>
            </w:r>
          </w:p>
        </w:tc>
        <w:tc>
          <w:tcPr>
            <w:tcW w:w="1820" w:type="dxa"/>
            <w:vAlign w:val="bottom"/>
            <w:gridSpan w:val="4"/>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8"/>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0000FF"/>
              </w:rPr>
              <w:t>Condensed Consolidated Balance Sheets at September 25, 2022 (unaudited) and December 26, 2021</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0000FF"/>
                <w:w w:val="92"/>
              </w:rPr>
              <w:t>Condensed Consolidated Statements of Operations for the Three and Nine Months Ended September 25, 2022 and September 26,</w:t>
            </w:r>
          </w:p>
        </w:tc>
        <w:tc>
          <w:tcPr>
            <w:tcW w:w="5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40" w:type="dxa"/>
            <w:vAlign w:val="bottom"/>
            <w:tcBorders>
              <w:top w:val="single" w:sz="8" w:color="0000FF"/>
            </w:tcBorders>
            <w:gridSpan w:val="21"/>
          </w:tcPr>
          <w:p>
            <w:pPr>
              <w:spacing w:after="0" w:line="136" w:lineRule="exact"/>
              <w:rPr>
                <w:sz w:val="20"/>
                <w:szCs w:val="20"/>
                <w:color w:val="auto"/>
              </w:rPr>
            </w:pPr>
            <w:r>
              <w:rPr>
                <w:rFonts w:ascii="Arial" w:cs="Arial" w:eastAsia="Arial" w:hAnsi="Arial"/>
                <w:sz w:val="15"/>
                <w:szCs w:val="15"/>
                <w:color w:val="0000FF"/>
              </w:rPr>
              <w:t>2021 (unaudited)</w:t>
            </w:r>
          </w:p>
        </w:tc>
        <w:tc>
          <w:tcPr>
            <w:tcW w:w="26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0000FF"/>
                <w:w w:val="90"/>
              </w:rPr>
              <w:t>Condensed Consolidated Statements of Comprehensive Income (Loss) for the Three and Nine Months Ended September 25, 2022 and</w:t>
            </w:r>
          </w:p>
        </w:tc>
        <w:tc>
          <w:tcPr>
            <w:tcW w:w="5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42" w:lineRule="exact"/>
              <w:rPr>
                <w:sz w:val="20"/>
                <w:szCs w:val="20"/>
                <w:color w:val="auto"/>
              </w:rPr>
            </w:pPr>
            <w:r>
              <w:rPr>
                <w:rFonts w:ascii="Arial" w:cs="Arial" w:eastAsia="Arial" w:hAnsi="Arial"/>
                <w:sz w:val="16"/>
                <w:szCs w:val="16"/>
                <w:color w:val="0000FF"/>
              </w:rPr>
              <w:t>September 26, 2021 (unaudited)</w:t>
            </w:r>
          </w:p>
        </w:tc>
        <w:tc>
          <w:tcPr>
            <w:tcW w:w="6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0000FF"/>
                <w:w w:val="97"/>
              </w:rPr>
              <w:t>Condensed Consolidated Statements of Stockholders’ Equity for the Three and Nine Months Ended September 25, 2022 and</w:t>
            </w:r>
          </w:p>
        </w:tc>
        <w:tc>
          <w:tcPr>
            <w:tcW w:w="5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w w:val="98"/>
              </w:rPr>
              <w:t>September 26, 2021 (unaudited)</w:t>
            </w:r>
          </w:p>
        </w:tc>
        <w:tc>
          <w:tcPr>
            <w:tcW w:w="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2"/>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52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20" w:type="dxa"/>
            <w:vAlign w:val="bottom"/>
            <w:gridSpan w:val="24"/>
            <w:vMerge w:val="restart"/>
          </w:tcPr>
          <w:p>
            <w:pPr>
              <w:spacing w:after="0"/>
              <w:rPr>
                <w:sz w:val="20"/>
                <w:szCs w:val="20"/>
                <w:color w:val="auto"/>
              </w:rPr>
            </w:pPr>
            <w:r>
              <w:rPr>
                <w:rFonts w:ascii="Arial" w:cs="Arial" w:eastAsia="Arial" w:hAnsi="Arial"/>
                <w:sz w:val="18"/>
                <w:szCs w:val="18"/>
                <w:color w:val="0000FF"/>
                <w:w w:val="96"/>
              </w:rPr>
              <w:t>Condensed Consolidated Statements of Cash Flows for the Nine Months Ended September 25, 2022 and September 26, 2021</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4"/>
            <w:vMerge w:val="continue"/>
          </w:tcPr>
          <w:p>
            <w:pPr>
              <w:spacing w:after="0"/>
              <w:rPr>
                <w:sz w:val="24"/>
                <w:szCs w:val="24"/>
                <w:color w:val="auto"/>
              </w:rPr>
            </w:pPr>
          </w:p>
        </w:tc>
        <w:tc>
          <w:tcPr>
            <w:tcW w:w="5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(unaudited)</w:t>
            </w:r>
          </w:p>
        </w:tc>
        <w:tc>
          <w:tcPr>
            <w:tcW w:w="8100" w:type="dxa"/>
            <w:vAlign w:val="bottom"/>
            <w:tcBorders>
              <w:top w:val="single" w:sz="8" w:color="0000FF"/>
            </w:tcBorders>
            <w:gridSpan w:val="17"/>
          </w:tcPr>
          <w:p>
            <w:pPr>
              <w:spacing w:after="0"/>
              <w:rPr>
                <w:sz w:val="13"/>
                <w:szCs w:val="13"/>
                <w:color w:val="auto"/>
              </w:rPr>
            </w:pPr>
          </w:p>
        </w:tc>
        <w:tc>
          <w:tcPr>
            <w:tcW w:w="720" w:type="dxa"/>
            <w:vAlign w:val="bottom"/>
            <w:gridSpan w:val="4"/>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80" w:type="dxa"/>
            <w:vAlign w:val="bottom"/>
            <w:gridSpan w:val="7"/>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4"/>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4860" w:type="dxa"/>
            <w:vAlign w:val="bottom"/>
            <w:gridSpan w:val="10"/>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400" w:type="dxa"/>
            <w:vAlign w:val="bottom"/>
            <w:gridSpan w:val="2"/>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120" w:type="dxa"/>
            <w:vAlign w:val="bottom"/>
            <w:tcBorders>
              <w:bottom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720" w:type="dxa"/>
            <w:vAlign w:val="bottom"/>
            <w:gridSpan w:val="24"/>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3"/>
          </w:tcPr>
          <w:p>
            <w:pPr>
              <w:jc w:val="center"/>
              <w:ind w:right="3500"/>
              <w:spacing w:after="0"/>
              <w:rPr>
                <w:sz w:val="20"/>
                <w:szCs w:val="20"/>
                <w:color w:val="auto"/>
              </w:rPr>
            </w:pPr>
            <w:r>
              <w:rPr>
                <w:rFonts w:ascii="Arial" w:cs="Arial" w:eastAsia="Arial" w:hAnsi="Arial"/>
                <w:sz w:val="18"/>
                <w:szCs w:val="18"/>
                <w:b w:val="1"/>
                <w:bCs w:val="1"/>
                <w:color w:val="0000FF"/>
              </w:rPr>
              <w:t>PART II. OTHER INFORMATION</w:t>
            </w: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2"/>
          </w:tcPr>
          <w:p>
            <w:pPr>
              <w:spacing w:after="0"/>
              <w:rPr>
                <w:sz w:val="24"/>
                <w:szCs w:val="24"/>
                <w:color w:val="auto"/>
              </w:rPr>
            </w:pPr>
          </w:p>
        </w:tc>
        <w:tc>
          <w:tcPr>
            <w:tcW w:w="3460" w:type="dxa"/>
            <w:vAlign w:val="bottom"/>
            <w:gridSpan w:val="11"/>
          </w:tcPr>
          <w:p>
            <w:pPr>
              <w:spacing w:after="0"/>
              <w:rPr>
                <w:sz w:val="20"/>
                <w:szCs w:val="20"/>
                <w:color w:val="auto"/>
              </w:rPr>
            </w:pPr>
            <w:r>
              <w:rPr>
                <w:rFonts w:ascii="Arial" w:cs="Arial" w:eastAsia="Arial" w:hAnsi="Arial"/>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9"/>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72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3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740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Mine Safety Disclosures</w:t>
            </w:r>
          </w:p>
        </w:tc>
        <w:tc>
          <w:tcPr>
            <w:tcW w:w="7960" w:type="dxa"/>
            <w:vAlign w:val="bottom"/>
            <w:gridSpan w:val="1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400" w:type="dxa"/>
            <w:vAlign w:val="bottom"/>
            <w:gridSpan w:val="2"/>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9"/>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4"/>
          </w:tcPr>
          <w:p>
            <w:pPr>
              <w:ind w:left="464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3860"/>
              <w:spacing w:after="0"/>
              <w:rPr>
                <w:sz w:val="20"/>
                <w:szCs w:val="20"/>
                <w:color w:val="auto"/>
              </w:rPr>
            </w:pPr>
            <w:r>
              <w:rPr>
                <w:rFonts w:ascii="Arial" w:cs="Arial" w:eastAsia="Arial" w:hAnsi="Arial"/>
                <w:sz w:val="16"/>
                <w:szCs w:val="16"/>
                <w:b w:val="1"/>
                <w:bCs w:val="1"/>
                <w:color w:val="auto"/>
                <w:w w:val="94"/>
              </w:rPr>
              <w:t>(in millions, except par value and number of shares)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25, 2022</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26, 2021</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Unbilled receivables,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Inventoried costs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760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liabilities of discontinued operations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0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2"/>
              </w:rPr>
              <w:t>Preferred stock, $0.001 par value, 5,000,000 shares authorized, 0 shares outstanding at September 25, 2022 and</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26, 2021</w:t>
            </w:r>
          </w:p>
        </w:tc>
        <w:tc>
          <w:tcPr>
            <w:tcW w:w="16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0"/>
              </w:rPr>
              <w:t>Common stock, $0.001 par value, 195,000,000 shares authorized; 125,947,889 and 123,987,424 shares issued and</w:t>
            </w:r>
          </w:p>
        </w:tc>
        <w:tc>
          <w:tcPr>
            <w:tcW w:w="160" w:type="dxa"/>
            <w:vAlign w:val="bottom"/>
          </w:tcPr>
          <w:p>
            <w:pPr>
              <w:spacing w:after="0"/>
              <w:rPr>
                <w:sz w:val="14"/>
                <w:szCs w:val="14"/>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at September 25, 2022 and December 26, 2021, respectively</w:t>
            </w: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26, 2021</w:t>
            </w: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25, 2022</w:t>
            </w:r>
          </w:p>
        </w:tc>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26, 2021</w:t>
            </w: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sales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433.0</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649.0</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0" w:type="dxa"/>
            <w:vAlign w:val="bottom"/>
          </w:tcPr>
          <w:p>
            <w:pPr>
              <w:spacing w:after="0"/>
              <w:rPr>
                <w:sz w:val="1"/>
                <w:szCs w:val="1"/>
                <w:color w:val="auto"/>
              </w:rPr>
            </w:pPr>
          </w:p>
        </w:tc>
      </w:tr>
      <w:tr>
        <w:trPr>
          <w:trHeight w:val="207"/>
        </w:trPr>
        <w:tc>
          <w:tcPr>
            <w:tcW w:w="584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484.4</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w:t>
            </w:r>
          </w:p>
        </w:tc>
        <w:tc>
          <w:tcPr>
            <w:tcW w:w="0" w:type="dxa"/>
            <w:vAlign w:val="bottom"/>
          </w:tcPr>
          <w:p>
            <w:pPr>
              <w:spacing w:after="0"/>
              <w:rPr>
                <w:sz w:val="1"/>
                <w:szCs w:val="1"/>
                <w:color w:val="auto"/>
              </w:rPr>
            </w:pPr>
          </w:p>
        </w:tc>
      </w:tr>
      <w:tr>
        <w:trPr>
          <w:trHeight w:val="212"/>
        </w:trPr>
        <w:tc>
          <w:tcPr>
            <w:tcW w:w="58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income (loss)</w:t>
            </w: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58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other expense, net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7"/>
        </w:trPr>
        <w:tc>
          <w:tcPr>
            <w:tcW w:w="584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 from continuing operations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 before income taxes</w:t>
            </w: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7"/>
        </w:trPr>
        <w:tc>
          <w:tcPr>
            <w:tcW w:w="584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3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5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8"/>
        </w:trPr>
        <w:tc>
          <w:tcPr>
            <w:tcW w:w="5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Kratos</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income (loss) per common share attributable to Kratos: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58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Loss per common share</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income (loss) per common share attributable to Kratos: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58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Loss per common share</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ind w:left="760"/>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9"/>
              </w:rPr>
              <w:t>September 26,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9"/>
              </w:rPr>
              <w:t>September 26, 2021</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center"/>
              <w:ind w:left="881"/>
              <w:spacing w:after="0"/>
              <w:rPr>
                <w:sz w:val="20"/>
                <w:szCs w:val="20"/>
                <w:color w:val="auto"/>
              </w:rPr>
            </w:pPr>
            <w:r>
              <w:rPr>
                <w:rFonts w:ascii="Arial" w:cs="Arial" w:eastAsia="Arial" w:hAnsi="Arial"/>
                <w:sz w:val="16"/>
                <w:szCs w:val="16"/>
                <w:color w:val="auto"/>
                <w:w w:val="97"/>
              </w:rPr>
              <w:t>(1.9)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center"/>
              <w:ind w:left="921"/>
              <w:spacing w:after="0"/>
              <w:rPr>
                <w:sz w:val="20"/>
                <w:szCs w:val="20"/>
                <w:color w:val="auto"/>
              </w:rPr>
            </w:pPr>
            <w:r>
              <w:rPr>
                <w:rFonts w:ascii="Arial" w:cs="Arial" w:eastAsia="Arial" w:hAnsi="Arial"/>
                <w:sz w:val="16"/>
                <w:szCs w:val="16"/>
                <w:color w:val="auto"/>
                <w:w w:val="89"/>
              </w:rPr>
              <w:t>0.9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cumulative translation adjustment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81"/>
              <w:spacing w:after="0"/>
              <w:rPr>
                <w:sz w:val="20"/>
                <w:szCs w:val="20"/>
                <w:color w:val="auto"/>
              </w:rPr>
            </w:pPr>
            <w:r>
              <w:rPr>
                <w:rFonts w:ascii="Arial" w:cs="Arial" w:eastAsia="Arial" w:hAnsi="Arial"/>
                <w:sz w:val="16"/>
                <w:szCs w:val="16"/>
                <w:color w:val="auto"/>
                <w:w w:val="97"/>
              </w:rPr>
              <w:t>(0.9)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81"/>
              <w:spacing w:after="0"/>
              <w:rPr>
                <w:sz w:val="20"/>
                <w:szCs w:val="20"/>
                <w:color w:val="auto"/>
              </w:rPr>
            </w:pPr>
            <w:r>
              <w:rPr>
                <w:rFonts w:ascii="Arial" w:cs="Arial" w:eastAsia="Arial" w:hAnsi="Arial"/>
                <w:sz w:val="16"/>
                <w:szCs w:val="16"/>
                <w:color w:val="auto"/>
                <w:w w:val="97"/>
              </w:rPr>
              <w:t>(0.1)</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881"/>
              <w:spacing w:after="0"/>
              <w:rPr>
                <w:sz w:val="20"/>
                <w:szCs w:val="20"/>
                <w:color w:val="auto"/>
              </w:rPr>
            </w:pPr>
            <w:r>
              <w:rPr>
                <w:rFonts w:ascii="Arial" w:cs="Arial" w:eastAsia="Arial" w:hAnsi="Arial"/>
                <w:sz w:val="16"/>
                <w:szCs w:val="16"/>
                <w:color w:val="auto"/>
                <w:w w:val="97"/>
              </w:rPr>
              <w:t>(2.8)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921"/>
              <w:spacing w:after="0"/>
              <w:rPr>
                <w:sz w:val="20"/>
                <w:szCs w:val="20"/>
                <w:color w:val="auto"/>
              </w:rPr>
            </w:pPr>
            <w:r>
              <w:rPr>
                <w:rFonts w:ascii="Arial" w:cs="Arial" w:eastAsia="Arial" w:hAnsi="Arial"/>
                <w:sz w:val="16"/>
                <w:szCs w:val="16"/>
                <w:color w:val="auto"/>
                <w:w w:val="89"/>
              </w:rPr>
              <w:t>0.8</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00" w:type="dxa"/>
            <w:vAlign w:val="bottom"/>
          </w:tcPr>
          <w:p>
            <w:pPr>
              <w:spacing w:after="0"/>
              <w:rPr>
                <w:sz w:val="17"/>
                <w:szCs w:val="17"/>
                <w:color w:val="auto"/>
              </w:rPr>
            </w:pPr>
          </w:p>
        </w:tc>
        <w:tc>
          <w:tcPr>
            <w:tcW w:w="14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20" w:type="dxa"/>
            <w:vAlign w:val="bottom"/>
          </w:tcPr>
          <w:p>
            <w:pPr>
              <w:jc w:val="center"/>
              <w:ind w:left="921"/>
              <w:spacing w:after="0"/>
              <w:rPr>
                <w:sz w:val="20"/>
                <w:szCs w:val="20"/>
                <w:color w:val="auto"/>
              </w:rPr>
            </w:pPr>
            <w:r>
              <w:rPr>
                <w:rFonts w:ascii="Arial" w:cs="Arial" w:eastAsia="Arial" w:hAnsi="Arial"/>
                <w:sz w:val="16"/>
                <w:szCs w:val="16"/>
                <w:color w:val="auto"/>
                <w:w w:val="89"/>
              </w:rPr>
              <w:t>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left="921"/>
              <w:spacing w:after="0"/>
              <w:rPr>
                <w:sz w:val="20"/>
                <w:szCs w:val="20"/>
                <w:color w:val="auto"/>
              </w:rPr>
            </w:pPr>
            <w:r>
              <w:rPr>
                <w:rFonts w:ascii="Arial" w:cs="Arial" w:eastAsia="Arial" w:hAnsi="Arial"/>
                <w:sz w:val="16"/>
                <w:szCs w:val="16"/>
                <w:color w:val="auto"/>
                <w:w w:val="89"/>
              </w:rPr>
              <w:t>0.3</w:t>
            </w:r>
          </w:p>
        </w:tc>
      </w:tr>
      <w:tr>
        <w:trPr>
          <w:trHeight w:val="23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Kratos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center"/>
              <w:ind w:left="881"/>
              <w:spacing w:after="0"/>
              <w:rPr>
                <w:sz w:val="20"/>
                <w:szCs w:val="20"/>
                <w:color w:val="auto"/>
              </w:rPr>
            </w:pPr>
            <w:r>
              <w:rPr>
                <w:rFonts w:ascii="Arial" w:cs="Arial" w:eastAsia="Arial" w:hAnsi="Arial"/>
                <w:sz w:val="16"/>
                <w:szCs w:val="16"/>
                <w:color w:val="auto"/>
                <w:w w:val="97"/>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center"/>
              <w:ind w:left="921"/>
              <w:spacing w:after="0"/>
              <w:rPr>
                <w:sz w:val="20"/>
                <w:szCs w:val="20"/>
                <w:color w:val="auto"/>
              </w:rPr>
            </w:pPr>
            <w:r>
              <w:rPr>
                <w:rFonts w:ascii="Arial" w:cs="Arial" w:eastAsia="Arial" w:hAnsi="Arial"/>
                <w:sz w:val="16"/>
                <w:szCs w:val="16"/>
                <w:color w:val="auto"/>
                <w:w w:val="89"/>
              </w:rPr>
              <w:t>0.5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three months ended September 25, 2022 and September 26, 2021</w:t>
      </w:r>
    </w:p>
    <w:p>
      <w:pPr>
        <w:spacing w:after="0" w:line="4"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35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vMerge w:val="restart"/>
          </w:tcPr>
          <w:p>
            <w:pPr>
              <w:jc w:val="center"/>
              <w:ind w:right="85"/>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ind w:left="3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Additional Paid-</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right w:val="single" w:sz="8" w:color="auto"/>
            </w:tcBorders>
          </w:tcPr>
          <w:p>
            <w:pPr>
              <w:jc w:val="center"/>
              <w:ind w:right="105"/>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3"/>
        </w:trPr>
        <w:tc>
          <w:tcPr>
            <w:tcW w:w="2960" w:type="dxa"/>
            <w:vAlign w:val="bottom"/>
            <w:tcBorders>
              <w:top w:val="single" w:sz="8" w:color="CCEEFF"/>
              <w:bottom w:val="single" w:sz="8" w:color="CCEEFF"/>
            </w:tcBorders>
            <w:gridSpan w:val="3"/>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Balance, June 27, 2021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CCEEFF"/>
              <w:right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14.6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1,563.1</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CCEEFF"/>
            </w:tcBorders>
            <w:shd w:val="clear" w:color="auto" w:fill="CCEEFF"/>
          </w:tcPr>
          <w:p>
            <w:pPr>
              <w:ind w:left="940"/>
              <w:spacing w:after="0"/>
              <w:rPr>
                <w:sz w:val="20"/>
                <w:szCs w:val="20"/>
                <w:color w:val="auto"/>
              </w:rPr>
            </w:pPr>
            <w:r>
              <w:rPr>
                <w:rFonts w:ascii="Arial" w:cs="Arial" w:eastAsia="Arial" w:hAnsi="Arial"/>
                <w:sz w:val="14"/>
                <w:szCs w:val="14"/>
                <w:color w:val="auto"/>
                <w:w w:val="92"/>
              </w:rPr>
              <w:t>2.2</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(629.4)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935.9</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purchase plan and stock options</w:t>
            </w:r>
          </w:p>
        </w:tc>
        <w:tc>
          <w:tcPr>
            <w:tcW w:w="12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5"/>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Other comprehensive loss, net of tax</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w w:val="97"/>
              </w:rPr>
              <w:t>(0.9)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21"/>
        </w:trPr>
        <w:tc>
          <w:tcPr>
            <w:tcW w:w="29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26,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4"/>
                <w:szCs w:val="14"/>
                <w:color w:val="auto"/>
              </w:rPr>
              <w:t>15.1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w w:val="92"/>
              </w:rPr>
              <w:t>1.3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680" w:type="dxa"/>
            <w:vAlign w:val="bottom"/>
            <w:gridSpan w:val="7"/>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gridSpan w:val="2"/>
          </w:tcPr>
          <w:p>
            <w:pPr>
              <w:spacing w:after="0"/>
              <w:rPr>
                <w:sz w:val="24"/>
                <w:szCs w:val="24"/>
                <w:color w:val="auto"/>
              </w:rPr>
            </w:pPr>
          </w:p>
        </w:tc>
        <w:tc>
          <w:tcPr>
            <w:tcW w:w="1680" w:type="dxa"/>
            <w:vAlign w:val="bottom"/>
            <w:gridSpan w:val="7"/>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right w:val="single" w:sz="8" w:color="auto"/>
            </w:tcBorders>
            <w:vMerge w:val="restart"/>
          </w:tcPr>
          <w:p>
            <w:pPr>
              <w:jc w:val="center"/>
              <w:ind w:right="105"/>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4"/>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Additional Paid-</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Accumulated Other</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gridSpan w:val="2"/>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8"/>
                <w:szCs w:val="18"/>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Comprehensive Loss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Balance, June 26, 2022</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CCEEFF"/>
              <w:right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rPr>
              <w:t>7.8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1,593.1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4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for employee</w:t>
            </w:r>
          </w:p>
        </w:tc>
        <w:tc>
          <w:tcPr>
            <w:tcW w:w="120" w:type="dxa"/>
            <w:vAlign w:val="bottom"/>
            <w:shd w:val="clear" w:color="auto" w:fill="CCEEFF"/>
          </w:tcPr>
          <w:p>
            <w:pPr>
              <w:spacing w:after="0"/>
              <w:rPr>
                <w:sz w:val="12"/>
                <w:szCs w:val="12"/>
                <w:color w:val="auto"/>
              </w:rPr>
            </w:pPr>
          </w:p>
        </w:tc>
        <w:tc>
          <w:tcPr>
            <w:tcW w:w="1220" w:type="dxa"/>
            <w:vAlign w:val="bottom"/>
            <w:tcBorders>
              <w:right w:val="single" w:sz="8" w:color="auto"/>
            </w:tcBorders>
            <w:vMerge w:val="restart"/>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stock purchase plan and stock options</w:t>
            </w: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9"/>
                <w:szCs w:val="19"/>
                <w:color w:val="auto"/>
              </w:rPr>
            </w:pPr>
          </w:p>
        </w:tc>
        <w:tc>
          <w:tcPr>
            <w:tcW w:w="7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25, 2022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shd w:val="clear" w:color="auto" w:fill="CCEEFF"/>
          </w:tcPr>
          <w:p>
            <w:pPr>
              <w:jc w:val="right"/>
              <w:ind w:right="45"/>
              <w:spacing w:after="0"/>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25, 2022 and September 26, 2021</w:t>
      </w:r>
    </w:p>
    <w:p>
      <w:pPr>
        <w:spacing w:after="0" w:line="4"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Borders>
              <w:right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right w:val="single" w:sz="8" w:color="auto"/>
            </w:tcBorders>
            <w:vMerge w:val="restart"/>
          </w:tcPr>
          <w:p>
            <w:pPr>
              <w:jc w:val="center"/>
              <w:ind w:right="147"/>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40" w:type="dxa"/>
            <w:vAlign w:val="bottom"/>
            <w:vMerge w:val="restart"/>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Additional Paid-</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40" w:type="dxa"/>
            <w:vAlign w:val="bottom"/>
            <w:vMerge w:val="continue"/>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right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27, 2020</w:t>
            </w: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CCEEFF"/>
              <w:right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14.8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center"/>
              <w:ind w:left="417"/>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1,556.3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 plan and stock options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7"/>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26, 2021</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15.1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8"/>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right w:val="single" w:sz="8" w:color="auto"/>
            </w:tcBorders>
            <w:vMerge w:val="restart"/>
          </w:tcPr>
          <w:p>
            <w:pPr>
              <w:jc w:val="center"/>
              <w:ind w:right="67"/>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Additional Paid-</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26, 2021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CCEEFF"/>
              <w:right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15.2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1,578.9</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945.1</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296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w w:val="98"/>
              </w:rPr>
              <w:t>Issuance of common stock for employee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tcBorders>
              <w:right w:val="single" w:sz="8" w:color="auto"/>
            </w:tcBorders>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plan and stock options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for acquisitions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7"/>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Changes in noncontrolling interest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25, 2022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right w:val="single" w:sz="8" w:color="CCEEFF"/>
            </w:tcBorders>
            <w:shd w:val="clear" w:color="auto" w:fill="CCEEFF"/>
          </w:tcPr>
          <w:p>
            <w:pPr>
              <w:jc w:val="right"/>
              <w:ind w:right="27"/>
              <w:spacing w:after="0"/>
              <w:rPr>
                <w:sz w:val="20"/>
                <w:szCs w:val="20"/>
                <w:color w:val="auto"/>
              </w:rPr>
            </w:pPr>
            <w:r>
              <w:rPr>
                <w:rFonts w:ascii="Arial" w:cs="Arial" w:eastAsia="Arial" w:hAnsi="Arial"/>
                <w:sz w:val="14"/>
                <w:szCs w:val="14"/>
                <w:color w:val="auto"/>
              </w:rPr>
              <w:t>7.8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(663.0)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4"/>
          </w:tcPr>
          <w:p>
            <w:pPr>
              <w:jc w:val="right"/>
              <w:ind w:right="1128"/>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9"/>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Arial" w:cs="Arial" w:eastAsia="Arial" w:hAnsi="Arial"/>
                <w:sz w:val="14"/>
                <w:szCs w:val="14"/>
                <w:b w:val="1"/>
                <w:bCs w:val="1"/>
                <w:color w:val="auto"/>
                <w:w w:val="97"/>
              </w:rPr>
              <w:t>September 26, 2021</w:t>
            </w:r>
          </w:p>
        </w:tc>
      </w:tr>
      <w:tr>
        <w:trPr>
          <w:trHeight w:val="183"/>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(loss) from discontinued operations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6"/>
        </w:trPr>
        <w:tc>
          <w:tcPr>
            <w:tcW w:w="7600" w:type="dxa"/>
            <w:vAlign w:val="bottom"/>
          </w:tcPr>
          <w:p>
            <w:pPr>
              <w:ind w:left="140"/>
              <w:spacing w:after="0"/>
              <w:rPr>
                <w:sz w:val="20"/>
                <w:szCs w:val="20"/>
                <w:color w:val="auto"/>
              </w:rPr>
            </w:pPr>
            <w:r>
              <w:rPr>
                <w:rFonts w:ascii="Arial" w:cs="Arial" w:eastAsia="Arial" w:hAnsi="Arial"/>
                <w:sz w:val="14"/>
                <w:szCs w:val="14"/>
                <w:color w:val="auto"/>
              </w:rPr>
              <w:t>Income (loss) from continuing operations</w:t>
            </w: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35"/>
        </w:trPr>
        <w:tc>
          <w:tcPr>
            <w:tcW w:w="76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6"/>
              </w:rPr>
              <w:t>Adjustments to reconcile income (loss) from continuing operations to net cash provided by (used in) operating activities from</w:t>
            </w:r>
          </w:p>
        </w:tc>
        <w:tc>
          <w:tcPr>
            <w:tcW w:w="2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Amortization of lease right-of-use assets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Recovery of doubtful accounts</w:t>
            </w:r>
          </w:p>
        </w:tc>
        <w:tc>
          <w:tcPr>
            <w:tcW w:w="200" w:type="dxa"/>
            <w:vAlign w:val="bottom"/>
          </w:tcPr>
          <w:p>
            <w:pPr>
              <w:spacing w:after="0"/>
              <w:rPr>
                <w:sz w:val="15"/>
                <w:szCs w:val="15"/>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Litigation related charges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Unbilled receivables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Inventoried costs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Operating lease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Accrued expenses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Accrued interest</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Billings in excess of costs and earnings on uncompleted contracts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Income tax receivable and payable</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2"/>
        </w:trPr>
        <w:tc>
          <w:tcPr>
            <w:tcW w:w="7600" w:type="dxa"/>
            <w:vAlign w:val="bottom"/>
          </w:tcPr>
          <w:p>
            <w:pPr>
              <w:ind w:left="56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(used in) operating activities from continuing operations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170"/>
        </w:trPr>
        <w:tc>
          <w:tcPr>
            <w:tcW w:w="76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r>
        <w:trPr>
          <w:trHeight w:val="25"/>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Proceeds from insurance</w:t>
            </w:r>
          </w:p>
        </w:tc>
        <w:tc>
          <w:tcPr>
            <w:tcW w:w="200" w:type="dxa"/>
            <w:vAlign w:val="bottom"/>
          </w:tcPr>
          <w:p>
            <w:pPr>
              <w:spacing w:after="0"/>
              <w:rPr>
                <w:sz w:val="15"/>
                <w:szCs w:val="15"/>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sale of assets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investing activities from continuing operations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w:t>
            </w:r>
          </w:p>
        </w:tc>
      </w:tr>
      <w:tr>
        <w:trPr>
          <w:trHeight w:val="170"/>
        </w:trPr>
        <w:tc>
          <w:tcPr>
            <w:tcW w:w="760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r>
        <w:trPr>
          <w:trHeight w:val="25"/>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the issuance of long-term debt</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Credit agreement borrowings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Repayment of debt</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under finance leases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Payments of employee taxes withheld from share-based awards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shares issued under equity plans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76"/>
        </w:trPr>
        <w:tc>
          <w:tcPr>
            <w:tcW w:w="7600" w:type="dxa"/>
            <w:vAlign w:val="bottom"/>
          </w:tcPr>
          <w:p>
            <w:pPr>
              <w:ind w:left="680"/>
              <w:spacing w:after="0"/>
              <w:rPr>
                <w:sz w:val="20"/>
                <w:szCs w:val="20"/>
                <w:color w:val="auto"/>
              </w:rPr>
            </w:pPr>
            <w:r>
              <w:rPr>
                <w:rFonts w:ascii="Arial" w:cs="Arial" w:eastAsia="Arial" w:hAnsi="Arial"/>
                <w:sz w:val="14"/>
                <w:szCs w:val="14"/>
                <w:color w:val="auto"/>
              </w:rPr>
              <w:t>Net cash used in financing activities from continuing operations</w:t>
            </w: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continuing operations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color w:val="auto"/>
              </w:rPr>
              <w:t>Net operating cash flows of discontinued operations</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(224.2)</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381.5</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369.9</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02"/>
        </w:trPr>
        <w:tc>
          <w:tcPr>
            <w:tcW w:w="7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8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Significant non-cash investing and financing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Financing lease obligation incurred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Common stock issuance for purchase of noncontrolling interests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00" w:type="dxa"/>
            <w:vAlign w:val="bottom"/>
          </w:tcPr>
          <w:p>
            <w:pPr>
              <w:ind w:left="140"/>
              <w:spacing w:after="0"/>
              <w:rPr>
                <w:sz w:val="20"/>
                <w:szCs w:val="20"/>
                <w:color w:val="auto"/>
              </w:rPr>
            </w:pPr>
            <w:r>
              <w:rPr>
                <w:rFonts w:ascii="Arial" w:cs="Arial" w:eastAsia="Arial" w:hAnsi="Arial"/>
                <w:sz w:val="14"/>
                <w:szCs w:val="14"/>
                <w:color w:val="auto"/>
              </w:rPr>
              <w:t>Common stock issuance for acquisition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firstLine="690"/>
        <w:spacing w:after="0" w:line="269" w:lineRule="auto"/>
        <w:rPr>
          <w:sz w:val="20"/>
          <w:szCs w:val="20"/>
          <w:color w:val="auto"/>
        </w:rPr>
      </w:pPr>
      <w:r>
        <w:rPr>
          <w:rFonts w:ascii="Arial" w:cs="Arial" w:eastAsia="Arial" w:hAnsi="Arial"/>
          <w:sz w:val="17"/>
          <w:szCs w:val="17"/>
          <w:color w:val="auto"/>
        </w:rPr>
        <w:t>The information as of September 25, 2022 and for the three and nine months ended September 25, 2022 and September 26, 2021 is unaudited. The condensed consolidated balance sheet as of December 26, 2021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26, 2021, included in the Company’s Annual Report on Form 10-K filed with the U.S. Securities and Exchange Commission (the “SEC”) on February 22, 2022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subsidiary, KTT CORE, Inc., a Delaware corporation formerly known as KTT CORE, LLC (“KTT Core”), which is 90.05% owned by the Company. All inter-company transactions have been eliminated in consolidation. Noncontrolling interest consists of the remaining 9.95% interest in KTT Core. See Note 12 for further information related to the redeemable noncontrolling interest.</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The three month periods ended September 25, 2022 and September 26, 2021 consisted of 13-week periods. The nine month periods ended September 25, 2022 and September 26, 2021 consisted of 39-week periods. There are 52 calendar weeks in the fiscal years ending on December 25, 2022 and December 26, 2021.</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nine months ended September 25, 2022 as compared to the accounting estimates described in the Annual Report on Form 10-K.</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240" w:firstLine="648"/>
        <w:spacing w:after="0" w:line="283" w:lineRule="auto"/>
        <w:rPr>
          <w:sz w:val="20"/>
          <w:szCs w:val="20"/>
          <w:color w:val="auto"/>
        </w:rPr>
      </w:pPr>
      <w:r>
        <w:rPr>
          <w:rFonts w:ascii="Arial" w:cs="Arial" w:eastAsia="Arial" w:hAnsi="Arial"/>
          <w:sz w:val="16"/>
          <w:szCs w:val="16"/>
          <w:color w:val="auto"/>
        </w:rPr>
        <w:t>The Company uses forward exchange contracts to manage foreign currency risks associated with certain transactions, specifically forecasted materials and salaries paid in foreign currencies. These derivative instruments are measured at fair value using observable market inputs such as forward rates. Based on these inputs, the derivative instruments are classified within Level 2 of the valuation hierarchy. At September 25, 2022, the derivative instruments were included in other current assets and other current liabilities on the Company's Condensed Consolidated Balance Sheets. The carrying amounts and the related fair values of the Company’s derivative instruments measured at fair value on a recurring basis at September 25, 2022, are presented in Note 15. There were no derivative instruments for forward exchange contracts at December 26, 2021.</w:t>
      </w:r>
    </w:p>
    <w:p>
      <w:pPr>
        <w:spacing w:after="0" w:line="18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September 25, 2022 and December 26, 2021 are presented in Note 10. The carrying value of all other financial instruments, including cash equivalents, accounts receivable, unbilled receivables, accounts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payable, accrued expenses, billings in excess of cost and earnings on uncompleted contracts, income taxes payable and short-term debt, approximated their estimated fair values at September 25, 2022 and December 26, 2021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CTT Inc.</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On December 10, 2021, the Company acquired CTT Inc. (“CTT”), a company that designs, develops, and manufactures microwave application components and equipment primarily for customers in the defense industry. The purchase price was approximately $22.0 million in cash subject to adjustment for transaction expenses, indebtedness, cash on hand and post-closing working capital adjustments. Approximately $6.3 million of the purchase price was paid on December 10, 2021, $15.2 million of the purchase price was paid on December 30, 2021, and the remainder of the purchase price was paid during the three months ended June 26, 2022. The operating results of the acquisition have been included in the Company’s results of operations from the effective acquisition date. The amount of net sales and earnings of CTT included in the condensed consolidated statement of operations for the year ended December 26, 2021 are not material. Had the acquisition occurred as of December 28, 2020, net sales, net income from consolidated operations, net income attributable to Kratos, and basic and diluted net income per share attributable to Kratos on a pro forma basis for the year ended December 26, 2021 would not have been materially different than the reported amounts. CTT is included in the Kratos Government Solutions (KGS) segment.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Cosmic Advanced Engineered Solutions, Inc.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27, 2021, Kratos Integral Holdings, LLC entered into a Stock Purchase Agreement to acquire Cosmic Advanced Engineered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Solutions, Inc. (“Cosmic”) from the Carol L. Zanmiller Living Trust and the John G. Hutchens Living Trust for $37.5 million in cash (not including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holdback to be paid at a later date). Cosmic focuses on radio frequency (RF), terrestrial, and space-based communication solutions,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digital signals processing and geolocation analysis. In addition, Cosmic provides overhead persistent infrared for missile defense systems and embedded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cyber solutions to U.S. government agencies. On December 27, 2021, the acquisition was completed following the satisfaction of all closing conditions,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receipt of regulatory approval from all required government authorities. The allocation of the total consideration for this acquisition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tangible and identifiable intangible assets acquired and liabilities assumed is preliminary until the Company obtains final information regarding their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values. However, the Company does not expect any adjustment to such allocations to be material to the Company's consolidated financial statements.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of the acquisition have been included in the Company’s results of operations from the effective acquisition date. Cosmic is included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KGS segment.</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Cosmic’s existing business with Kratos’ related products and customers.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values of the major assets acquired and liabilities assumed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1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5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5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2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5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5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5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cash</w:t>
            </w:r>
          </w:p>
        </w:tc>
        <w:tc>
          <w:tcPr>
            <w:tcW w:w="5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Arial" w:cs="Arial" w:eastAsia="Arial" w:hAnsi="Arial"/>
                <w:sz w:val="18"/>
                <w:szCs w:val="18"/>
                <w:color w:val="auto"/>
              </w:rPr>
              <w:t>10</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2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Based on the Company’s estimate of fair value, as of December 27, 2021, net liabilities included $6.7 million of current liabilities. The identifiable intangible assets include trade names of $1.5 million with a remaining useful life of 5 years, backlog of $3.0 million with an estimated useful life of 2 years, customer relationships of $2.5 million with a remaining useful life of 10 years, and developed technology of $3.0 million with a remaining useful life of 10 years. The Company also established a deferred tax liability of $2.9 million for the difference between the financial statement basis and tax basis of the acquired assets of Cosmic and a corresponding increase in goodwill. The goodwill recorded in this transaction is not expected to be tax-deductible.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amounts of revenue and operating loss of Cosmic included in the Company’s condensed consolidated statement of operations were</w:t>
      </w:r>
    </w:p>
    <w:p>
      <w:pPr>
        <w:spacing w:after="0" w:line="2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$15.6 million and $0.0 million for the three months ended September 25, 2022, respectively, and $43.3 million and $0.2 million for the nine months ended September 25, 2022, respectively.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consideration paid for the acquired ownership in Cosmic is as follows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Holdback to be paid at later date</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1"/>
        </w:trPr>
        <w:tc>
          <w:tcPr>
            <w:tcW w:w="9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Southern Research Engineering Division</w:t>
      </w:r>
    </w:p>
    <w:p>
      <w:pPr>
        <w:spacing w:after="0" w:line="243" w:lineRule="exact"/>
        <w:rPr>
          <w:sz w:val="20"/>
          <w:szCs w:val="20"/>
          <w:color w:val="auto"/>
        </w:rPr>
      </w:pPr>
    </w:p>
    <w:p>
      <w:pPr>
        <w:ind w:right="200" w:firstLine="648"/>
        <w:spacing w:after="0" w:line="251" w:lineRule="auto"/>
        <w:rPr>
          <w:sz w:val="20"/>
          <w:szCs w:val="20"/>
          <w:color w:val="auto"/>
        </w:rPr>
      </w:pPr>
      <w:r>
        <w:rPr>
          <w:rFonts w:ascii="Arial" w:cs="Arial" w:eastAsia="Arial" w:hAnsi="Arial"/>
          <w:sz w:val="17"/>
          <w:szCs w:val="17"/>
          <w:color w:val="auto"/>
        </w:rPr>
        <w:t>On March 9, 2022, the Company executed an Asset Purchase Agreement to acquire the assets of the Engineering Division of Southern Research Institute (“SRI”), an Alabama non-profit corporation, for a purchase price of approximately $80.0 million, comprised of $75.0 million in cash, subject to adjustments for working capital, potential earn-out consideration tied to revenue from certain in-development products, indebtedness and transaction expenses, and $5.0 million in Kratos common stock. SRI’s Engineering Division (“SRE”) is the market leader in assisting customers in the development, modeling, and deployment of advanced materials for extreme environments, including hypersonic, space, missile, missile defense, strategic deterrence, propulsion systems, and energy applications. SRE also specializes in Intelligence Surveillance and Reconnaissance (ISR) sensor development, electromechanical systems design and integration, aerospace engineering, materials engineering, artificial intelligence and machine learning, directed energy, RF systems design and integration, advanced manufacturing, and computational sciences. The acquisition established Kratos SRE, Inc., a new business within Kratos’ Defense and Rocket Support Services Division.</w:t>
      </w:r>
    </w:p>
    <w:p>
      <w:pPr>
        <w:spacing w:after="0" w:line="22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23, 2022, the acquisition was completed following the satisfaction of all closing conditions, including receipt of necessary approval from all required government authorities. The allocation of the total consideration for this acquisition to the tangible and identifiable intangible assets acquired and liabilities assumed is preliminary until the Company obtains final information regarding their fair values. The operating results of the acquisition have been included in the Company’s results of operations from the effective acquisition date.</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SRE’s existing business with Kratos’ related products and customers.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 fair value measurements are based primarily on significant inputs not observable in the marketplace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over the estimated fair values of the major assets acquired and liabilities assumed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cash</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the Company’s preliminary estimate of fair value, as of May 23, 2022, net liabilities included $2.5 million of current liabilities.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include trade names of $0.7 million with a remaining useful life of 5 years, contracts and backlog of $6.0 million with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estimated useful life of 2 years, customer relationships of $1.5 million with a remaining useful life of 10 years, in-process research and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that will commence amortization at the completion of the development, and developed technology of $5.3 million with a remaining useful life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7 years. The Company also established a deferred tax asset of $0.2 million for the difference between the financial statement basis and tax basis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acquired assets of SRE and a corresponding decrease in goodwill. The goodwill recorded in this transaction is expected to be tax-deductible.</w:t>
      </w:r>
    </w:p>
    <w:p>
      <w:pPr>
        <w:spacing w:after="0" w:line="224" w:lineRule="exact"/>
        <w:rPr>
          <w:sz w:val="20"/>
          <w:szCs w:val="20"/>
          <w:color w:val="auto"/>
        </w:rPr>
      </w:pPr>
    </w:p>
    <w:p>
      <w:pPr>
        <w:ind w:right="820" w:firstLine="648"/>
        <w:spacing w:after="0" w:line="248" w:lineRule="auto"/>
        <w:rPr>
          <w:sz w:val="20"/>
          <w:szCs w:val="20"/>
          <w:color w:val="auto"/>
        </w:rPr>
      </w:pPr>
      <w:r>
        <w:rPr>
          <w:rFonts w:ascii="Arial" w:cs="Arial" w:eastAsia="Arial" w:hAnsi="Arial"/>
          <w:sz w:val="18"/>
          <w:szCs w:val="18"/>
          <w:color w:val="auto"/>
        </w:rPr>
        <w:t>The amounts of revenue and operating income of SRE included in the Company’s condensed consolidated statement of operations were $12.5 million and $0.2 million for the three months ended September 25, 2022, and $16.6 million and $0.7 million for the nine months ended September 25, 2022, respectively.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consideration paid for the acquired assets is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issued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Effective January 1, 2018, the Company adopted the FASB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the related amendments, which are codified into Accounting Standards Codification (“ASC”) 606 (“ASC 606”).</w:t>
      </w:r>
    </w:p>
    <w:p>
      <w:pPr>
        <w:spacing w:after="0" w:line="19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Company calculates revenues from remaining performance obligations as the dollar value of the remaining performance obligations on executed contracts. On September 25, 2022, the Company had approximately $1,068.9 million of remaining performance obligations. The Company expects to recognize approximately 20% of the remaining performance obligations as revenue in fiscal year 2022, an additional 39% in fiscal year 2023, and the balance thereafter.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nine-month periods ended September 25, 2022, and September 26, 2021. Likewise, total cumulative catch-up adjustments were not material for the three and nine-month periods ended September 25, 2022, and September 26, 2021.</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25, 2022</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26, 2021</w:t>
            </w:r>
          </w:p>
        </w:tc>
        <w:tc>
          <w:tcPr>
            <w:tcW w:w="1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27.7</w:t>
            </w: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7"/>
              </w:rPr>
              <w:t>(9.2)</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36.9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Contract assets increased $27.7 million during the nine months ended September 25, 2022, primarily due to the recognition of revenue related to the satisfaction or partial satisfaction of performance obligations for which the Company has not yet billed the customers. There were no significant impairment losses related to any receivables or contract assets arising from the Company’s contracts with customers during the nine months ended September 25, 2022. Contract liabilities decreased $9.2 million during the nine months ended September 25, 2022, primarily due to revenue recognized in excess of payments received on these performance obligations. For the three and nine months ended September 25, 2022, the Company recognized revenue of $6.6 million and $42.6 million, respectively, that was previously included in the contract liabilities that existed at December 26, 2021. For the three and nine months ended September 26, 2021 the Company recognized revenue of $1.8 million and $24.6 million, respectively, that was previously included in the contract liabilities that existed at December 27, 2020.</w:t>
      </w:r>
    </w:p>
    <w:p>
      <w:pPr>
        <w:spacing w:after="0" w:line="19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September 25, 2022, approximately $4.8 million in unbilled receivables remained outstanding on this project. In March 2022, the Company and the customer agreed to a settlement of $6.0 million for a portion of the amounts outstanding on this project, which was collected in July 2022. The remaining unbilled balance of $4.8 million is subject to negotiation and settlement with the customer.</w:t>
      </w:r>
    </w:p>
    <w:p>
      <w:pPr>
        <w:spacing w:after="0" w:line="20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7"/>
          <w:szCs w:val="17"/>
          <w:color w:val="auto"/>
        </w:rPr>
        <w:t>The Company was also in dispute with an international customer in the Unmanned Systems (US) segment concerning the completion of certain system requirements and certain contractual milestones related to a contract the Company acquired with the acquisition of CEi in 2012. On June 30, 2022, the parties entered into a settlement agreement to resolve their dispute and to settle all claims and counterclaims, and are currently in the process of implementing the terms of the settlement agreement. The Company has recorded a $5.5 million litigation settlement charge included in restructuring expenses and other in the quarter ended June 26, 2022, with a remaining $5.6 million carrying value of assets on the balance sheet in inventory as of September 25, 2022 which are expected to be settled by the end of the year. In the quarter ended September 25, 2022, the Company paid approximately $3.7 million related to the settlement agreement.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3"/>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1"/>
              </w:rPr>
              <w:t>September 26,</w:t>
            </w:r>
          </w:p>
        </w:tc>
      </w:tr>
      <w:tr>
        <w:trPr>
          <w:trHeight w:val="192"/>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316.4</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Time and materials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r>
      <w:tr>
        <w:trPr>
          <w:trHeight w:val="229"/>
        </w:trPr>
        <w:tc>
          <w:tcPr>
            <w:tcW w:w="6100" w:type="dxa"/>
            <w:vAlign w:val="bottom"/>
          </w:tcPr>
          <w:p>
            <w:pPr>
              <w:ind w:left="100"/>
              <w:spacing w:after="0"/>
              <w:rPr>
                <w:sz w:val="20"/>
                <w:szCs w:val="20"/>
                <w:color w:val="auto"/>
              </w:rPr>
            </w:pPr>
            <w:r>
              <w:rPr>
                <w:rFonts w:ascii="Arial" w:cs="Arial" w:eastAsia="Arial" w:hAnsi="Arial"/>
                <w:sz w:val="18"/>
                <w:szCs w:val="18"/>
                <w:color w:val="auto"/>
              </w:rPr>
              <w:t>Unmanned Systems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3"/>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1"/>
              </w:rPr>
              <w:t>September 26,</w:t>
            </w:r>
          </w:p>
        </w:tc>
      </w:tr>
      <w:tr>
        <w:trPr>
          <w:trHeight w:val="192"/>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270.8</w:t>
            </w: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9"/>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Commercial and other customers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1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6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Commercial and other customers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100" w:firstLine="8"/>
        <w:spacing w:after="0" w:line="332"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87" w:lineRule="exact"/>
        <w:rPr>
          <w:rFonts w:ascii="Arial" w:cs="Arial" w:eastAsia="Arial" w:hAnsi="Arial"/>
          <w:sz w:val="16"/>
          <w:szCs w:val="16"/>
          <w:color w:val="auto"/>
          <w:vertAlign w:val="superscript"/>
        </w:rPr>
      </w:pPr>
    </w:p>
    <w:p>
      <w:pPr>
        <w:ind w:right="2040" w:firstLine="8"/>
        <w:spacing w:after="0" w:line="302"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$68.7 million of aggregate net cash proceeds from the Transaction, after taking into account amounts that were paid by the Company pursuant to a negotiated transaction services agreement between the Company and the Buyer, receipt of approximately $7.3 million in net working capital retained by the Company, and associated transaction fees and expenses, including the impact of the final settlement and determination of the closing net working capital adjustment and litigation which was settled with the Buyer in the fourth quarter of 2021 and first quarter of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amounts of goodwill as of September 25, 2022 and December 26, 2021 by reportable segment are as follows (in millions):</w:t>
      </w:r>
    </w:p>
    <w:p>
      <w:pPr>
        <w:spacing w:after="0" w:line="145"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As of September 25,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KGS</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30"/>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impairment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As of December 26, 2021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9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KGS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29"/>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r>
      <w:tr>
        <w:trPr>
          <w:trHeight w:val="230"/>
        </w:trPr>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impairment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Arial" w:cs="Arial" w:eastAsia="Arial" w:hAnsi="Arial"/>
                <w:sz w:val="14"/>
                <w:szCs w:val="14"/>
                <w:b w:val="1"/>
                <w:bCs w:val="1"/>
                <w:color w:val="auto"/>
                <w:w w:val="91"/>
              </w:rPr>
              <w:t>As of September 25,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2"/>
              </w:rPr>
              <w:t>As of December 26, 2021</w:t>
            </w:r>
          </w:p>
        </w:tc>
        <w:tc>
          <w:tcPr>
            <w:tcW w:w="920" w:type="dxa"/>
            <w:vAlign w:val="bottom"/>
          </w:tcPr>
          <w:p>
            <w:pPr>
              <w:spacing w:after="0"/>
              <w:rPr>
                <w:sz w:val="16"/>
                <w:szCs w:val="16"/>
                <w:color w:val="auto"/>
              </w:rPr>
            </w:pPr>
          </w:p>
        </w:tc>
      </w:tr>
      <w:tr>
        <w:trPr>
          <w:trHeight w:val="26"/>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3"/>
        </w:trPr>
        <w:tc>
          <w:tcPr>
            <w:tcW w:w="35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4"/>
              <w:spacing w:after="0" w:line="133" w:lineRule="exact"/>
              <w:rPr>
                <w:sz w:val="20"/>
                <w:szCs w:val="20"/>
                <w:color w:val="auto"/>
              </w:rPr>
            </w:pPr>
            <w:r>
              <w:rPr>
                <w:rFonts w:ascii="Arial" w:cs="Arial" w:eastAsia="Arial" w:hAnsi="Arial"/>
                <w:sz w:val="14"/>
                <w:szCs w:val="14"/>
                <w:b w:val="1"/>
                <w:bCs w:val="1"/>
                <w:color w:val="auto"/>
              </w:rPr>
              <w:t>Gross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4"/>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4"/>
              <w:spacing w:after="0" w:line="133" w:lineRule="exact"/>
              <w:rPr>
                <w:sz w:val="20"/>
                <w:szCs w:val="20"/>
                <w:color w:val="auto"/>
              </w:rPr>
            </w:pPr>
            <w:r>
              <w:rPr>
                <w:rFonts w:ascii="Arial" w:cs="Arial" w:eastAsia="Arial" w:hAnsi="Arial"/>
                <w:sz w:val="14"/>
                <w:szCs w:val="14"/>
                <w:b w:val="1"/>
                <w:bCs w:val="1"/>
                <w:color w:val="auto"/>
              </w:rPr>
              <w:t>Gross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4"/>
              <w:spacing w:after="0" w:line="133" w:lineRule="exact"/>
              <w:rPr>
                <w:sz w:val="20"/>
                <w:szCs w:val="20"/>
                <w:color w:val="auto"/>
              </w:rPr>
            </w:pPr>
            <w:r>
              <w:rPr>
                <w:rFonts w:ascii="Arial" w:cs="Arial" w:eastAsia="Arial" w:hAnsi="Arial"/>
                <w:sz w:val="14"/>
                <w:szCs w:val="14"/>
                <w:b w:val="1"/>
                <w:bCs w:val="1"/>
                <w:color w:val="auto"/>
              </w:rPr>
              <w:t>Net</w:t>
            </w:r>
          </w:p>
        </w:tc>
      </w:tr>
      <w:tr>
        <w:trPr>
          <w:trHeight w:val="192"/>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188"/>
        </w:trPr>
        <w:tc>
          <w:tcPr>
            <w:tcW w:w="3540" w:type="dxa"/>
            <w:vAlign w:val="bottom"/>
          </w:tcPr>
          <w:p>
            <w:pPr>
              <w:ind w:left="140"/>
              <w:spacing w:after="0" w:line="189" w:lineRule="exact"/>
              <w:rPr>
                <w:sz w:val="20"/>
                <w:szCs w:val="20"/>
                <w:color w:val="auto"/>
              </w:rPr>
            </w:pPr>
            <w:r>
              <w:rPr>
                <w:rFonts w:ascii="Arial" w:cs="Arial" w:eastAsia="Arial" w:hAnsi="Arial"/>
                <w:sz w:val="18"/>
                <w:szCs w:val="18"/>
                <w:color w:val="auto"/>
                <w:w w:val="98"/>
              </w:rPr>
              <w:t>Developed technology and technical know-</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Consolidated amortization expense related to intangible assets subject to amortization was $3.0 million and $1.1 million for the three months ended September 25, 2022 and September 26, 2021, respectively, and $6.3 million and $3.7 million for the nine months ended September 25, 2022 and September 26,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25, 2022</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26, 2021</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1"/>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FASB ASC Topic 260,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14"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1.9 million and 1.5 million for the three and nine months ended September 25, 2022, respectively, and 0.2 million for the three months ended September 26,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leases certain facilities, office space, vehicles and equipment. Lease assets and lease liabilities are recognized at the commencement of an arrangement where it is determined at inception that a lease exists. Lease assets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2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7"/>
          </w:tcPr>
          <w:p>
            <w:pPr>
              <w:ind w:left="1020"/>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9"/>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6"/>
                <w:szCs w:val="16"/>
                <w:color w:val="auto"/>
              </w:rPr>
            </w:pPr>
          </w:p>
        </w:tc>
        <w:tc>
          <w:tcPr>
            <w:tcW w:w="154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September 26, 2021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 2021</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Amortization of right of use assets - finance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cost (cost excluded from lease</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1"/>
                <w:szCs w:val="2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48"/>
        </w:trPr>
        <w:tc>
          <w:tcPr>
            <w:tcW w:w="39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7520" w:type="dxa"/>
            <w:vAlign w:val="bottom"/>
            <w:gridSpan w:val="6"/>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r>
      <w:tr>
        <w:trPr>
          <w:trHeight w:val="25"/>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Current portion of operating 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30"/>
        </w:trPr>
        <w:tc>
          <w:tcPr>
            <w:tcW w:w="4120" w:type="dxa"/>
            <w:vAlign w:val="bottom"/>
            <w:gridSpan w:val="2"/>
          </w:tcPr>
          <w:p>
            <w:pPr>
              <w:ind w:left="520"/>
              <w:spacing w:after="0"/>
              <w:rPr>
                <w:sz w:val="20"/>
                <w:szCs w:val="20"/>
                <w:color w:val="auto"/>
              </w:rPr>
            </w:pPr>
            <w:r>
              <w:rPr>
                <w:rFonts w:ascii="Arial" w:cs="Arial" w:eastAsia="Arial" w:hAnsi="Arial"/>
                <w:sz w:val="18"/>
                <w:szCs w:val="18"/>
                <w:color w:val="auto"/>
                <w:w w:val="95"/>
              </w:rPr>
              <w:t>Operating lease liabilities, net of current portion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r>
      <w:tr>
        <w:trPr>
          <w:trHeight w:val="229"/>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0"/>
                <w:szCs w:val="20"/>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5"/>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420" w:type="dxa"/>
            <w:vAlign w:val="bottom"/>
            <w:gridSpan w:val="4"/>
          </w:tcPr>
          <w:p>
            <w:pPr>
              <w:jc w:val="right"/>
              <w:ind w:right="1095"/>
              <w:spacing w:after="0"/>
              <w:rPr>
                <w:sz w:val="20"/>
                <w:szCs w:val="20"/>
                <w:color w:val="auto"/>
              </w:rPr>
            </w:pPr>
            <w:r>
              <w:rPr>
                <w:rFonts w:ascii="Arial" w:cs="Arial" w:eastAsia="Arial" w:hAnsi="Arial"/>
                <w:sz w:val="14"/>
                <w:szCs w:val="14"/>
                <w:b w:val="1"/>
                <w:bCs w:val="1"/>
                <w:color w:val="auto"/>
              </w:rPr>
              <w:t>Nine Months Ended</w:t>
            </w:r>
          </w:p>
        </w:tc>
      </w:tr>
      <w:tr>
        <w:trPr>
          <w:trHeight w:val="25"/>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9"/>
        </w:trPr>
        <w:tc>
          <w:tcPr>
            <w:tcW w:w="3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6"/>
              </w:rPr>
              <w:t>September 25, 2022</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September 26, 2021</w:t>
            </w:r>
          </w:p>
        </w:tc>
      </w:tr>
      <w:tr>
        <w:trPr>
          <w:trHeight w:val="23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188"/>
        </w:trPr>
        <w:tc>
          <w:tcPr>
            <w:tcW w:w="3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Operating lease - operating cash flows (fixed</w:t>
            </w: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864"/>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supplemental noncash information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6"/>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680" w:type="dxa"/>
            <w:vAlign w:val="bottom"/>
            <w:gridSpan w:val="7"/>
          </w:tcPr>
          <w:p>
            <w:pPr>
              <w:jc w:val="right"/>
              <w:ind w:right="1280"/>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25, 2022</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7"/>
              </w:rPr>
              <w:t>September 26, 2021</w:t>
            </w:r>
          </w:p>
        </w:tc>
      </w:tr>
      <w:tr>
        <w:trPr>
          <w:trHeight w:val="162"/>
        </w:trPr>
        <w:tc>
          <w:tcPr>
            <w:tcW w:w="38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Operating lease liabilities arising from obtaining</w:t>
            </w:r>
          </w:p>
        </w:tc>
        <w:tc>
          <w:tcPr>
            <w:tcW w:w="2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1"/>
                <w:szCs w:val="21"/>
                <w:color w:val="auto"/>
              </w:rPr>
            </w:pPr>
          </w:p>
        </w:tc>
      </w:tr>
      <w:tr>
        <w:trPr>
          <w:trHeight w:val="176"/>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rPr>
              <w:t>Finance lease liabilities arising from obtaining</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1"/>
                <w:szCs w:val="21"/>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r>
      <w:tr>
        <w:trPr>
          <w:trHeight w:val="270"/>
        </w:trPr>
        <w:tc>
          <w:tcPr>
            <w:tcW w:w="3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96"/>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25, 2022</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7"/>
              </w:rPr>
              <w:t>September 26, 2021</w:t>
            </w: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w w:val="93"/>
              </w:rPr>
              <w:t>Weighted-average remaining lease term (in years):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r>
      <w:tr>
        <w:trPr>
          <w:trHeight w:val="230"/>
        </w:trPr>
        <w:tc>
          <w:tcPr>
            <w:tcW w:w="38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16.38</w:t>
            </w:r>
          </w:p>
        </w:tc>
      </w:tr>
      <w:tr>
        <w:trPr>
          <w:trHeight w:val="256"/>
        </w:trPr>
        <w:tc>
          <w:tcPr>
            <w:tcW w:w="3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6.50 %</w:t>
            </w:r>
          </w:p>
        </w:tc>
      </w:tr>
      <w:tr>
        <w:trPr>
          <w:trHeight w:val="230"/>
        </w:trPr>
        <w:tc>
          <w:tcPr>
            <w:tcW w:w="38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6.02 %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6.51 %</w:t>
            </w:r>
          </w:p>
        </w:tc>
      </w:tr>
      <w:tr>
        <w:trPr>
          <w:trHeight w:val="634"/>
        </w:trPr>
        <w:tc>
          <w:tcPr>
            <w:tcW w:w="4060" w:type="dxa"/>
            <w:vAlign w:val="bottom"/>
            <w:gridSpan w:val="2"/>
          </w:tcPr>
          <w:p>
            <w:pPr>
              <w:ind w:left="660"/>
              <w:spacing w:after="0"/>
              <w:rPr>
                <w:sz w:val="20"/>
                <w:szCs w:val="20"/>
                <w:color w:val="auto"/>
              </w:rPr>
            </w:pPr>
            <w:r>
              <w:rPr>
                <w:rFonts w:ascii="Arial" w:cs="Arial" w:eastAsia="Arial" w:hAnsi="Arial"/>
                <w:sz w:val="18"/>
                <w:szCs w:val="18"/>
                <w:color w:val="auto"/>
                <w:w w:val="93"/>
              </w:rPr>
              <w:t>The maturity of lease liabilities is (in millions):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Finance Leases</w:t>
            </w:r>
          </w:p>
        </w:tc>
      </w:tr>
      <w:tr>
        <w:trPr>
          <w:trHeight w:val="26"/>
        </w:trPr>
        <w:tc>
          <w:tcPr>
            <w:tcW w:w="3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9"/>
                <w:szCs w:val="19"/>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0"/>
                <w:szCs w:val="20"/>
                <w:color w:val="auto"/>
              </w:rPr>
            </w:pPr>
          </w:p>
        </w:tc>
      </w:tr>
    </w:tbl>
    <w:p>
      <w:pPr>
        <w:spacing w:after="0" w:line="3"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the nine months ended September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-124460</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ind w:right="360" w:firstLine="567"/>
        <w:spacing w:after="0" w:line="256" w:lineRule="auto"/>
        <w:rPr>
          <w:sz w:val="20"/>
          <w:szCs w:val="20"/>
          <w:color w:val="auto"/>
        </w:rPr>
      </w:pPr>
      <w:r>
        <w:rPr>
          <w:rFonts w:ascii="Arial" w:cs="Arial" w:eastAsia="Arial" w:hAnsi="Arial"/>
          <w:sz w:val="18"/>
          <w:szCs w:val="18"/>
          <w:color w:val="auto"/>
        </w:rPr>
        <w:t>A reconciliation of the total income tax provision (benefit) to the amount computed by applying the statutory federal income tax rate of 21% to income (loss) from continuing operations before income taxes for the three and nine months ended September 25, 2022 and September 26, 2021 is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238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 the Nine Months Ended</w:t>
            </w:r>
          </w:p>
        </w:tc>
      </w:tr>
      <w:tr>
        <w:trPr>
          <w:trHeight w:val="25"/>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3"/>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September 25,</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September 25,</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91"/>
              </w:rPr>
              <w:t>September 26,</w:t>
            </w:r>
          </w:p>
        </w:tc>
      </w:tr>
      <w:tr>
        <w:trPr>
          <w:trHeight w:val="192"/>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federal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1"/>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87"/>
              </w:rPr>
              <w:t>0.3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140" w:type="dxa"/>
            <w:vAlign w:val="bottom"/>
          </w:tcPr>
          <w:p>
            <w:pPr>
              <w:spacing w:after="0"/>
              <w:rPr>
                <w:sz w:val="19"/>
                <w:szCs w:val="19"/>
                <w:color w:val="auto"/>
              </w:rPr>
            </w:pPr>
          </w:p>
        </w:tc>
        <w:tc>
          <w:tcPr>
            <w:tcW w:w="1080" w:type="dxa"/>
            <w:vAlign w:val="bottom"/>
          </w:tcPr>
          <w:p>
            <w:pPr>
              <w:jc w:val="center"/>
              <w:ind w:left="617"/>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5"/>
              <w:spacing w:after="0"/>
              <w:rPr>
                <w:sz w:val="20"/>
                <w:szCs w:val="20"/>
                <w:color w:val="auto"/>
              </w:rPr>
            </w:pPr>
            <w:r>
              <w:rPr>
                <w:rFonts w:ascii="Arial" w:cs="Arial" w:eastAsia="Arial" w:hAnsi="Arial"/>
                <w:sz w:val="18"/>
                <w:szCs w:val="18"/>
                <w:color w:val="auto"/>
                <w:w w:val="87"/>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617"/>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5"/>
              <w:spacing w:after="0"/>
              <w:rPr>
                <w:sz w:val="20"/>
                <w:szCs w:val="20"/>
                <w:color w:val="auto"/>
              </w:rPr>
            </w:pPr>
            <w:r>
              <w:rPr>
                <w:rFonts w:ascii="Arial" w:cs="Arial" w:eastAsia="Arial" w:hAnsi="Arial"/>
                <w:sz w:val="18"/>
                <w:szCs w:val="18"/>
                <w:color w:val="auto"/>
                <w:w w:val="87"/>
              </w:rPr>
              <w:t>2.1</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 excess tax benefits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97"/>
              </w:rPr>
              <w:t>(2.7)</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Federal impact of research &amp; development tax credits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7"/>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1"/>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7"/>
              </w:rPr>
              <w:t>(0.3)</w:t>
            </w:r>
          </w:p>
        </w:tc>
      </w:tr>
      <w:tr>
        <w:trPr>
          <w:trHeight w:val="248"/>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Expense (benefit) for income taxes from continuing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7"/>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1"/>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7"/>
              </w:rPr>
              <w:t>(0.6)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calculates its interim income tax provision in accordance with ASC Topic 270, “</w:t>
      </w:r>
      <w:r>
        <w:rPr>
          <w:rFonts w:ascii="Arial" w:cs="Arial" w:eastAsia="Arial" w:hAnsi="Arial"/>
          <w:sz w:val="17"/>
          <w:szCs w:val="17"/>
          <w:i w:val="1"/>
          <w:iCs w:val="1"/>
          <w:color w:val="auto"/>
        </w:rPr>
        <w:t>Interim Reporting</w:t>
      </w:r>
      <w:r>
        <w:rPr>
          <w:rFonts w:ascii="Arial" w:cs="Arial" w:eastAsia="Arial" w:hAnsi="Arial"/>
          <w:sz w:val="17"/>
          <w:szCs w:val="17"/>
          <w:color w:val="auto"/>
        </w:rPr>
        <w:t>,” and ASC Topic 740,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Historically, the Company calculated the provision for income taxes during the interim reporting periods by applying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 of the annual effective tax rate for the full fiscal year to “ordinary” income or loss (pretax income or loss excluding unusual or infrequently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occurring discrete items) for the reporting period. The Company determined that since small changes in estimated “ordinary” income would result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estimated annual effective tax rate, the historical method would not provide a reliable estimate for the nine months ended September 25, 2022. Therefore, a discrete effective tax rate method was used to calculate taxes for the nine months ended September 25, 2022.</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December 26, 2021, the Company had $25.9 million of unrecognized tax benefits that, if recognized, would impact the Company’s effective income tax rate. During the nine months ended September 25, 2022 unrecognized tax benefits increased by $0.2 million relating to various current year tax positions.</w:t>
      </w:r>
    </w:p>
    <w:p>
      <w:pPr>
        <w:spacing w:after="0" w:line="18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For the nine months ended September 25, 2022 and September 26, 2021, the Company recorded an expense for interest and penalties of $0.3 million and $0.5 million, respectively. For the nine months ended September 25, 2022 and September 26, 2021, there was no material benefit recorded related to the removal of interest and penalties. The Company believes that it is reasonably possible that as much as $0.5 million of the liabilities for uncertain tax positions will expire within the next twelve months due to the expiration of various applicable statutes of limitations.</w:t>
      </w:r>
    </w:p>
    <w:p>
      <w:pPr>
        <w:spacing w:after="0" w:line="203"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On August 16, 2022, the Inflation Reduction Act of 2022 (“IRA”), was signed into law. Among other things, the IRA imposes a 15% corporate alternative minimum tax for tax years beginning after December 31, 2022, levies a 1% excise tax on net stock purchases after December 31, 2022, and provides tax incentives to promote clean energy. The IRA is not expected to have a material impact on our results of operations or financial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Credit Facility</w:t>
      </w:r>
    </w:p>
    <w:p>
      <w:pPr>
        <w:spacing w:after="0" w:line="25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On February 18, 2022, the Company completed the refinancing of its outstanding $90 million revolving credit facility and $300 million 6.5% Senior Secured Notes (the “Senior Secured Notes”), with a new 5-year $200 million Revolving Credit Facility and 5-year $200 million Term Loan A (collectively, the “New Credit Facility”). The Company incurred debt issuance costs of $3.2 million associated with the New Credit Facility. The Company has drawn approximately $200 million under the Term Loan A (partially offset by a $1.2 million principal payment on June 30, 2022) and $100 million on the new Revolving Credit Facility, with $100 million remaining in borrowing capacity, less approximately $8.0 million of letters of credit outstanding.</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62" w:lineRule="auto"/>
        <w:rPr>
          <w:sz w:val="20"/>
          <w:szCs w:val="20"/>
          <w:color w:val="auto"/>
        </w:rPr>
      </w:pPr>
      <w:r>
        <w:rPr>
          <w:rFonts w:ascii="Arial" w:cs="Arial" w:eastAsia="Arial" w:hAnsi="Arial"/>
          <w:sz w:val="17"/>
          <w:szCs w:val="17"/>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September 25, 2022.</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 Loan and Revolving Credit Debt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Term loan and revolving credit debt and the current period interest rates are as follows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4"/>
              </w:rPr>
              <w:t>September 25, 2022</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less current portion</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long-term unamortized debt issuance costs - term loans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Unamortized debt issuance costs - revolving credit facility</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24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interest rate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527"/>
        </w:trPr>
        <w:tc>
          <w:tcPr>
            <w:tcW w:w="9440" w:type="dxa"/>
            <w:vAlign w:val="bottom"/>
          </w:tcPr>
          <w:p>
            <w:pPr>
              <w:spacing w:after="0"/>
              <w:rPr>
                <w:sz w:val="20"/>
                <w:szCs w:val="20"/>
                <w:color w:val="auto"/>
              </w:rPr>
            </w:pPr>
            <w:r>
              <w:rPr>
                <w:rFonts w:ascii="Arial" w:cs="Arial" w:eastAsia="Arial" w:hAnsi="Arial"/>
                <w:sz w:val="18"/>
                <w:szCs w:val="18"/>
                <w:color w:val="auto"/>
              </w:rPr>
              <w:t>Future long-term debt principal payments at September 25, 2022 were as follows (in millions):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48"/>
        </w:trPr>
        <w:tc>
          <w:tcPr>
            <w:tcW w:w="9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6.5% Senior Secured Notes due 2025</w:t>
      </w:r>
    </w:p>
    <w:p>
      <w:pPr>
        <w:spacing w:after="0" w:line="243"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In November 2017, the Company issued and sold $300 million aggregate principal amount of 6.5% Senior Secured Notes due 2025, or the Senior Secured Notes,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November 20, 2017, the Company entered into an amended and restated credit and security agreement (the “Credit and Security Agreement”), which established a five-year senior secured revolving credit facility in the aggregate principal amount of $90.0 million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Carrying amounts and the related estimated fair values of the Company’s Senior Secured Notes not measured at fair value on a recurring basis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are presented in the following table: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6"/>
          </w:tcPr>
          <w:p>
            <w:pPr>
              <w:jc w:val="center"/>
              <w:ind w:left="662"/>
              <w:spacing w:after="0"/>
              <w:rPr>
                <w:sz w:val="20"/>
                <w:szCs w:val="20"/>
                <w:color w:val="auto"/>
              </w:rPr>
            </w:pPr>
            <w:r>
              <w:rPr>
                <w:rFonts w:ascii="Arial" w:cs="Arial" w:eastAsia="Arial" w:hAnsi="Arial"/>
                <w:sz w:val="14"/>
                <w:szCs w:val="14"/>
                <w:b w:val="1"/>
                <w:bCs w:val="1"/>
                <w:color w:val="auto"/>
                <w:w w:val="90"/>
              </w:rPr>
              <w:t>As of December 26, 2021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7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portion</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fair value of the Company’s Senior Secured Notes was based upon actual trading activity (Level 1, Observable inputs-quoted prices in active markets).</w:t>
      </w:r>
    </w:p>
    <w:p>
      <w:pPr>
        <w:spacing w:after="0" w:line="184" w:lineRule="exact"/>
        <w:rPr>
          <w:sz w:val="20"/>
          <w:szCs w:val="20"/>
          <w:color w:val="auto"/>
        </w:rPr>
      </w:pPr>
    </w:p>
    <w:p>
      <w:pPr>
        <w:jc w:val="both"/>
        <w:ind w:right="120" w:firstLine="683"/>
        <w:spacing w:after="0" w:line="248" w:lineRule="auto"/>
        <w:rPr>
          <w:sz w:val="20"/>
          <w:szCs w:val="20"/>
          <w:color w:val="auto"/>
        </w:rPr>
      </w:pPr>
      <w:r>
        <w:rPr>
          <w:rFonts w:ascii="Arial" w:cs="Arial" w:eastAsia="Arial" w:hAnsi="Arial"/>
          <w:sz w:val="18"/>
          <w:szCs w:val="18"/>
          <w:color w:val="auto"/>
        </w:rPr>
        <w:t>As of December 26, 2021, the difference between the carrying amount of $296.7 million and the principal amount of $300.0 million presented in the above table is the unamortized debt issuance costs of $3.3 million, which were being accreted to interest expense over the term of the related debt. The Senior Secured Notes were redeemed on March 14, 2022.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operates in two reportable segments. The KGS reportable segment is comprised of an aggregation of KGS operating business units, including the Company’s microwave electronics products, space, satellite and cyber, training solutions, C5ISR/modular systems, turbine technologies and defense and rocket support services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22"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Arial" w:cs="Arial" w:eastAsia="Arial" w:hAnsi="Arial"/>
          <w:sz w:val="16"/>
          <w:szCs w:val="16"/>
          <w:i w:val="1"/>
          <w:iCs w:val="1"/>
          <w:color w:val="auto"/>
        </w:rPr>
        <w:t>Corporate activities</w:t>
      </w:r>
      <w:r>
        <w:rPr>
          <w:rFonts w:ascii="Arial" w:cs="Arial" w:eastAsia="Arial" w:hAnsi="Arial"/>
          <w:sz w:val="16"/>
          <w:szCs w:val="16"/>
          <w:color w:val="auto"/>
        </w:rPr>
        <w:t xml:space="preserve"> includes costs for certain stock-based compensation programs (including stock-based compensation costs for stock options, the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34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and nine month periods ended September 25, 2022 and September 26, 2021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26, 2021</w:t>
            </w:r>
          </w:p>
        </w:tc>
        <w:tc>
          <w:tcPr>
            <w:tcW w:w="10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26, 2021</w:t>
            </w:r>
          </w:p>
        </w:tc>
      </w:tr>
      <w:tr>
        <w:trPr>
          <w:trHeight w:val="21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2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Kratos Government Solutions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r>
      <w:tr>
        <w:trPr>
          <w:trHeight w:val="209"/>
        </w:trPr>
        <w:tc>
          <w:tcPr>
            <w:tcW w:w="562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Product sales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Unmanned Systems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23"/>
        </w:trPr>
        <w:tc>
          <w:tcPr>
            <w:tcW w:w="56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activities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(loss) from continuing operations</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The US Operating loss for the nine months ended September 25, 2022 includes a $5.5 million litigation settlement charge related to the resolution of a dispute with an international customer, for which the contractual arrangement was entered into in March 2011, prior to Kratos’ acquisition of Composite Engineering Inc. (“CEi”). The KGS Operating income for the three and nine months ended September 25, 2022 includes $6.4 million of expenses related to certain non-recoverable costs, including rate and cost growth items, resulting from the inability to hire the required planned direct labor base both internally and by the Company’s subcontractors to execute on its backlog, due to a continuing challenging environment in both hiring and retaining skilled manufacturing personnel, including approximately $3.4 million in expenses in the Company’s C5ISR business, and non-recoverable indirect cost rate growth resulting from a smaller than planned direct labor base due to delays in customer program execution and awards in the Company’s Training Solutions business of approximately $3.0 million.</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43"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will have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197"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Equity Purchase Agreement, the Company paid consideration of $2.7 million, paid in 190,258 shares of its common stock, based upon Kratos’ trading price on the date of distribution, representing half of the aggregate estimated purchase price to be paid by the Company for the Purchased Shares. Following the closing of the transactions contemplated by the Equity Purchase Agreement, the Company owned 90.05% of KTT Core. The unpaid portion of the aggregate estimated purchase price for the Purchased Shares is expected to be paid in shares of Kratos common stock in March 2023, subject to certain adjustments.</w:t>
      </w:r>
    </w:p>
    <w:p>
      <w:pPr>
        <w:spacing w:after="0" w:line="21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Put Right and annual purchase right of the Holders and the Company, respectively, remain available under the Exchange Agreement as to the remaining 9.95% minority interest in KTT Core.</w:t>
      </w:r>
    </w:p>
    <w:p>
      <w:pPr>
        <w:spacing w:after="0" w:line="184"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a result of the Company’s acquisition of an additional 9.95% of the issued and outstanding shares of capital stock of KTT Core, the carrying value of the redeemable noncontrolling interest was adjusted. As of September 25, 2022, no additional adjustment of the carrying value of the remaining redeemable noncontrolling interest was required.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$158.1 million and $143.7 million, or 69% and 72% of total Kratos revenue, for the three months ended September 25, 2022 and September 26, 2021, respectively, and $453.8 million and $432.1 million, or 70% and 72% of total Kratos revenue, for the nine months ended September 25, 2022 and September 26,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Company’s derivative portfolio consists of forward exchange contracts. Derivative financial instruments are recognized on the Condensed Consolidated Balance Sheets as either assets or liabilities and are measured at fair value. Changes in the fair values of derivatives are recorded each period in earnings. As of September 25, 2022, the Company did not use hedge accounting. The Company did not have any forward exchange contracts at December 26, 2021. The notional value of the Company’s foreign currency forward contracts at September 25, 2022, was $10.2 million. At September 25, 2022, the fair value amounts of the forward exchange contracts were a $0.1 million asset and a $0.3 million liability.</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56"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Department of Defense, or DoD,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it the products we have developed or will develop do not become programs of record;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related to the new DoD CMMC requirement recently issued by the Pentagon; risks associated with pandemics, epidemics or other public health emergencies, such as the outbreak of coronavirus disease 2019 </w:t>
      </w:r>
      <w:r>
        <w:rPr>
          <w:rFonts w:ascii="Arial" w:cs="Arial" w:eastAsia="Arial" w:hAnsi="Arial"/>
          <w:sz w:val="17"/>
          <w:szCs w:val="17"/>
          <w:color w:val="auto"/>
        </w:rPr>
        <w:t>(“</w:t>
      </w:r>
      <w:r>
        <w:rPr>
          <w:rFonts w:ascii="Arial" w:cs="Arial" w:eastAsia="Arial" w:hAnsi="Arial"/>
          <w:sz w:val="17"/>
          <w:szCs w:val="17"/>
          <w:i w:val="1"/>
          <w:iCs w:val="1"/>
          <w:color w:val="auto"/>
        </w:rPr>
        <w:t>COVID-19”); risks related to unknown defects or errors in our products; risks relating to the ongoing conflict in Ukraine</w:t>
      </w:r>
      <w:r>
        <w:rPr>
          <w:rFonts w:ascii="Arial" w:cs="Arial" w:eastAsia="Arial" w:hAnsi="Arial"/>
          <w:sz w:val="17"/>
          <w:szCs w:val="17"/>
          <w:color w:val="auto"/>
        </w:rPr>
        <w:t>;</w:t>
      </w:r>
      <w:r>
        <w:rPr>
          <w:rFonts w:ascii="Arial" w:cs="Arial" w:eastAsia="Arial" w:hAnsi="Arial"/>
          <w:sz w:val="17"/>
          <w:szCs w:val="17"/>
          <w:i w:val="1"/>
          <w:iCs w:val="1"/>
          <w:color w:val="auto"/>
        </w:rPr>
        <w:t xml:space="preserve"> risks related to continued interest rate increases by the Federal Reserve; and competition in the marketplace, which could reduce revenues and profit margins, as well as the additional risks and uncertainties described in this Quarterly Report on Form 10-Q, in “Item 1A-Risk Factors” of our Annual Report on Form 10-K for the fiscal year ended December 26, 2021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22, 2022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0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products, cybersecurity/warfare, rocket, hypersonic and missile defense systems, turbine technologies, and Command, Control, Communication, Computing, Combat, Intelligence Surveillance and Reconnaissance (“C5ISR”) Systems and training solutions.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240" w:firstLine="648"/>
        <w:spacing w:after="0" w:line="245" w:lineRule="auto"/>
        <w:rPr>
          <w:sz w:val="20"/>
          <w:szCs w:val="20"/>
          <w:color w:val="auto"/>
        </w:rPr>
      </w:pPr>
      <w:r>
        <w:rPr>
          <w:rFonts w:ascii="Arial" w:cs="Arial" w:eastAsia="Arial" w:hAnsi="Arial"/>
          <w:sz w:val="18"/>
          <w:szCs w:val="18"/>
          <w:color w:val="auto"/>
        </w:rPr>
        <w:t>On March 15, 2022, President Biden signed into law the Fiscal Year 2022 National Security Budget of $782 billion, a 5.6% increase over the previous year. On March 28, 2022, the Biden administration submitted to Congress a proposed fiscal year 2023 Budget Request of $813.3 Billion for National Security (the “Budget Request”), $773 billion of which is for the DoD, a 4% increase above the FY 2022 enacted amount. On September 30, 2022, Congress enacted a Continuing Resolution Authorization (“CRA”) to carry forward the fiscal year 2022 funding levels into fiscal year 2023 while negotiations continue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regarding full year appropriations. The CRA also included an additional $12 billion in aid to Ukraine, bringing total appropriations for Ukraine assistance to $39 billion.</w:t>
      </w:r>
    </w:p>
    <w:p>
      <w:pPr>
        <w:spacing w:after="0" w:line="198" w:lineRule="exact"/>
        <w:rPr>
          <w:sz w:val="20"/>
          <w:szCs w:val="20"/>
          <w:color w:val="auto"/>
        </w:rPr>
      </w:pPr>
    </w:p>
    <w:p>
      <w:pPr>
        <w:jc w:val="both"/>
        <w:ind w:right="200" w:firstLine="648"/>
        <w:spacing w:after="0" w:line="270" w:lineRule="auto"/>
        <w:rPr>
          <w:sz w:val="20"/>
          <w:szCs w:val="20"/>
          <w:color w:val="auto"/>
        </w:rPr>
      </w:pPr>
      <w:r>
        <w:rPr>
          <w:rFonts w:ascii="Arial" w:cs="Arial" w:eastAsia="Arial" w:hAnsi="Arial"/>
          <w:sz w:val="17"/>
          <w:szCs w:val="17"/>
          <w:color w:val="auto"/>
        </w:rPr>
        <w:t>The current budget environment, including COVID-19 and Ukraine funding support, heightened levels of inflation, and uncertainty surrounding the debt ceiling and the appropriations process, creates significant short and long-term risks. Considerable uncertainty exists regarding how future budget and program decisions will unfold, including the defense spending priorities of the Biden administration and Congress.</w:t>
      </w:r>
    </w:p>
    <w:p>
      <w:pPr>
        <w:spacing w:after="0" w:line="177"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We believe continued budget pressures, Continuing Resolution Authorizations (“CRAs”), Federal Government debt ceiling issues, or Federal Government shutdowns would have serious negative consequences for the security of our country and the defense industrial base, including the Company and the customers, employees, suppliers, investors, and communities that rely on companies in the defense industrial base. It is likely that budget and program decisions made in such an uncertain environment will have long-term implications for our Company and the entire defense industry.</w:t>
      </w:r>
    </w:p>
    <w:p>
      <w:pPr>
        <w:spacing w:after="0" w:line="18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Budget Request, the short and long-term impact of federal budgetary uncertainty, CRAs, the Budget Control Act of 2011 or similar budgetary restrictions or limitations, other defense spending cuts, including the budget impacts of COVID-19 and the conflict in Ukraine,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The nature of our operations exposes us to risks associated with pandemics, epidemics or other public health emergencies, including the COVID-19 pandemic. We are a company operating in a “critical infrastructure industry”, as defined by the U.S. Department of Homeland Security. Consistent with federal guidelines and with state and local orders to date, we have continued to operate, including our international operations. Notwithstanding our continued operations, COVID-19 has had and is currently expected to continue to have negative impacts on certain of our operations, workforce,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COVID-19 could also negatively impact our business or results of operations through the temporary closure of our operating locations or those of our customers or suppliers.</w:t>
      </w:r>
    </w:p>
    <w:p>
      <w:pPr>
        <w:spacing w:after="0" w:line="2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ability of our employees and our suppliers’ and customers’ employees to work may be significantly impacted by individuals contracting or being exposed to COVID-19, or as a result of the control measures noted above, which may significantly hamper our production and operations, including throughout the supply chain. On March 27, 2020, the Coronavirus Aid, Relief and Economic Security Act, a $2 trillion economic relief bill, was signed into law. Subsequently, on March 11, 2021, the American Rescue Plan Act, a $1.9 trillion economic stimulus bill was enacted.</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COVID-19 continues to impact our business in 2022, primarily driven by the emergence of the Omicron variant in late 2021 with a resulting increase in COVID-19 cases in early 2022.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Additionally, customer and contractor-related travel and social distancing restrictions have delayed a number of our target drone, tactical drone and rocket system programs, missions and exercises, and have delayed delivery and execution on certain of our international commercial satcom projects. Despite progress in vaccination efforts, global economic activity remains uncertain and cannot be predicted with confidence. Public health officials and medical professionals have warned that COVID-19 cases may continue to spike due to the Delta, Omicron and other variants.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w:t>
      </w:r>
    </w:p>
    <w:p>
      <w:pPr>
        <w:spacing w:after="0" w:line="20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7"/>
          <w:szCs w:val="17"/>
          <w:color w:val="auto"/>
        </w:rPr>
        <w:t>The current level of uncertainty over the economic, business and operational impacts of COVID-19, including the impact on employee absenteeism, vendor and supply chain and other resources, means the related financial impact cannot be reasonably estimated at this time. Our Condensed Consolidated Financial Statements and Management’s Discussion and Analysis of Financial Condition and Results of Operations reflect estimates and assumptions made by management as of September 25, 2022. Events and changes in circumstances arising after September 25, 2022, including those resulting from the continuing impacts of COVID-19, will be reflected in management’s estimates for future periods.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In addition to the challenges that COVID-19 is presenting to the industry and Kratos, significant adverse supply chain disruptions continue throughout the industry and for the Company, including delays in the receipt and delivery of materials, parts, supplies, etc., which in certain instances and for certain items is significant. In addition, inflation and the related costs of inputs needed to execute the business, including materials, parts, supplies, consultants, subcontractors, vendors, etc. are significantly impacting the costs for Kratos to do business and are significantly adversely impacting our operations, profit margins and financial forecasts. Also, the cost of labor and for the Company’s employees and labor base have also increased significantly, and the ability to hire, obtain and retain employees, is also extremely challenging and is adversely impacting Kratos’ ability to execute its business. There is also a significant industry wide labor shortage, including in the science, technology, engineering, and math discipline areas, and for employees willing and/or able to obtain national security clearances. In addition, recent actions by the Federal Reserve to continue to increase interest rates have impacted our interest expense on our outstanding debt borrowings. Each of these matters and issues are expected to remain for the foreseeable future and to adversely impact the Company’s operations, financial results and financial forecasts.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25, 2022 to the Three Months Ended September 26, 2021</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September 25, 2022 and September 26, 2021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26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72.9 %</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28.2 %</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Unmanned Systems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18.2 %</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(18.4)%</w:t>
            </w:r>
          </w:p>
        </w:tc>
      </w:tr>
      <w:tr>
        <w:trPr>
          <w:trHeight w:val="24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4"/>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71.7 %</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product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Revenues increased $28.0 million to $228.6 million for the three months ended September 25, 2022 from $200.6 million for the three months ended September 26, 2021. Revenues in our KGS segment increased $39.3 million primarily due to the contribution of $30.2 million in revenues from the recent acquisitions of Cosmic, CTT and SRE, and an increase of $13.6 million in our C5ISR, defense and rocket support services, turbine technologies, and microwave electronics products businesses, offset partially by a reduction of $2.8 million in our training solutions business and a reduction of approximately $1.8 million due to the wind-down of a federal services satellite contract. Revenues in our US segment decreased $11.3 million to $50.0 million for the three months ended September 25, 2022, primarily due to a reduction in tactical drone programs as a result of timing of program contract awards as compared to the three months ended September 26, 2021.</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7"/>
          <w:szCs w:val="17"/>
          <w:color w:val="auto"/>
        </w:rPr>
        <w:t>Product sales decreased $9.0 million to $140.0 million for the three months ended September 25, 2022 from $149.0 million for the three months ended September 26, 2021, primarily as a result of decreased production in our US segment, offset partially by increases in our KGS segment. As a percentage of total revenue, product sales were 61.2% for the three months ended September 25, 2022 as compared to 74.3% for the three months ended September 26, 2021. Service revenues increased by $37.0 million to $88.6 million for the three months ended September 25, 2022 from $51.6 million for the three months ended September 26, 2021, primarily as a result of the recent Cosmic and SRE acquisitions.</w:t>
      </w:r>
    </w:p>
    <w:p>
      <w:pPr>
        <w:spacing w:after="0" w:line="214"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increased $33.7 million to $173.7 million for the three months ended September 25, 2022 from $140.0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September 26, 2021. The increase in cost of revenues was primarily a result of the increase in revenues discussed above.</w:t>
      </w:r>
    </w:p>
    <w:p>
      <w:pPr>
        <w:spacing w:after="0" w:line="138"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Gross margin decreased to 24.0% for the three months ended September 25, 2022 from 30.2%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26, 2021. Margins on services decreased to 26.5% for the three months ended September 25, 2022 from 31.2% for the three months ended September 26, 2021. Margins on products decreased to 22.4% for the three months ended September 25, 2022 from 29.9% for the three months end September 26, 2021. Margins in the KGS segment decreased to 24.7% for the three months ended September 25, 2022 from 34.3% for the three months ended September 26, 2021, primarily due to a less favorable mix of revenues, as well as due to a $4.5 million impact to cost of sales related to certain non-recoverable costs, including rate and cost growth items, resulting from the inability to hire the required planned direct labor base both internally and by the Company’s subcontractors to execute on its backlog, due to a continuing challenging environment in both hiring and retaining skilled manufacturing personnel, including an approximately $3.4 million impact to the Company’s C5ISR business, and non-recoverable indirect cost rate growth resulting from a smaller than planned direct labor base due to delays in customer program execution and awards in the Company’s Training Solutions business of approximately $1.1 million. Margins in the US segment increased to 21.4% for the three months ended September 25, 2022 from 20.9% for the three months ended September 26, 2021, primarily due to a more favorable mix of products produced and shipped in the three months ended September 25, 2022.</w:t>
      </w:r>
    </w:p>
    <w:p>
      <w:pPr>
        <w:spacing w:after="0" w:line="206"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i w:val="1"/>
          <w:iCs w:val="1"/>
          <w:color w:val="auto"/>
        </w:rPr>
        <w:t>Selling, General and Administrative (“SG&amp;A”) Expenses</w:t>
      </w:r>
      <w:r>
        <w:rPr>
          <w:rFonts w:ascii="Arial" w:cs="Arial" w:eastAsia="Arial" w:hAnsi="Arial"/>
          <w:sz w:val="18"/>
          <w:szCs w:val="18"/>
          <w:color w:val="auto"/>
        </w:rPr>
        <w:t>. SG&amp;A expenses increased $6.7 million to $48.5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25, 2022 from $41.8 million for the three months ended September 26, 2021. As a percentage of revenues, SG&amp;A increased to 21.2% at September 25, 2022 from 20.8% at September 26, 2021. Included in SG&amp;A was the impact of the recent CTT, Cosmic and SRE acquisitions and an increase of $0.2 million in the US segment primarily related to increased headcount. In addition, $1.9 million impact to SG&amp;A is related to the non-recoverable indirect cost rate growth in the Company’s Training Solutions business for the three months ended September 25, 2022. Amortization expense of purchase intangibles increased from $1.1 million for the three months ended September 26, 2021 to $3.0 million for the three months ended September 25, 2022, reflecting the recent acquisitions.</w:t>
      </w:r>
    </w:p>
    <w:p>
      <w:pPr>
        <w:spacing w:after="0" w:line="21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$1.6 million to $9.6 million for the three months ended September 25,</w:t>
      </w:r>
      <w:r>
        <w:rPr>
          <w:rFonts w:ascii="Arial" w:cs="Arial" w:eastAsia="Arial" w:hAnsi="Arial"/>
          <w:sz w:val="18"/>
          <w:szCs w:val="18"/>
          <w:i w:val="1"/>
          <w:iCs w:val="1"/>
          <w:color w:val="auto"/>
        </w:rPr>
        <w:t xml:space="preserve"> </w:t>
      </w:r>
      <w:r>
        <w:rPr>
          <w:rFonts w:ascii="Arial" w:cs="Arial" w:eastAsia="Arial" w:hAnsi="Arial"/>
          <w:sz w:val="18"/>
          <w:szCs w:val="18"/>
          <w:color w:val="auto"/>
        </w:rPr>
        <w:t>2022 from $8.0 million for the three months ended September 26, 2021, primarily due to increased development efforts in our Unmanned Systems business of $1.0 million. As a percentage of revenues, R&amp;D increased to 4.2% for the three months ended September 25, 2022 from 4.0% for the three months ended September 26, 2021.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3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increased to $0.2 million from $0.0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25, 2022 and September 26, 2021, respectively.</w:t>
      </w:r>
    </w:p>
    <w:p>
      <w:pPr>
        <w:spacing w:after="0" w:line="19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i w:val="1"/>
          <w:iCs w:val="1"/>
          <w:color w:val="auto"/>
        </w:rPr>
        <w:t xml:space="preserve">Total Other Expense, Net. </w:t>
      </w:r>
      <w:r>
        <w:rPr>
          <w:rFonts w:ascii="Arial" w:cs="Arial" w:eastAsia="Arial" w:hAnsi="Arial"/>
          <w:sz w:val="16"/>
          <w:szCs w:val="16"/>
          <w:color w:val="auto"/>
        </w:rPr>
        <w:t>Total other expense, net decreased to $5.2 million from $5.9 million for the three months ended September 25, 2022</w:t>
      </w:r>
      <w:r>
        <w:rPr>
          <w:rFonts w:ascii="Arial" w:cs="Arial" w:eastAsia="Arial" w:hAnsi="Arial"/>
          <w:sz w:val="16"/>
          <w:szCs w:val="16"/>
          <w:i w:val="1"/>
          <w:iCs w:val="1"/>
          <w:color w:val="auto"/>
        </w:rPr>
        <w:t xml:space="preserve"> </w:t>
      </w:r>
      <w:r>
        <w:rPr>
          <w:rFonts w:ascii="Arial" w:cs="Arial" w:eastAsia="Arial" w:hAnsi="Arial"/>
          <w:sz w:val="16"/>
          <w:szCs w:val="16"/>
          <w:color w:val="auto"/>
        </w:rPr>
        <w:t>and September 26, 2021, respectively. The decrease in expense of $0.7 million was primarily related to a reduction in interest expense of $1.7 million as a result of our debt refinancing in February of 2022, offset by an increase in expense of $1.2 million related to foreign transaction losses.</w:t>
      </w:r>
    </w:p>
    <w:p>
      <w:pPr>
        <w:spacing w:after="0" w:line="17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7"/>
          <w:szCs w:val="17"/>
          <w:i w:val="1"/>
          <w:iCs w:val="1"/>
          <w:color w:val="auto"/>
        </w:rPr>
        <w:t xml:space="preserve">Provision (Benefit) for Income Taxes from Continuing Operations. </w:t>
      </w:r>
      <w:r>
        <w:rPr>
          <w:rFonts w:ascii="Arial" w:cs="Arial" w:eastAsia="Arial" w:hAnsi="Arial"/>
          <w:sz w:val="17"/>
          <w:szCs w:val="17"/>
          <w:color w:val="auto"/>
        </w:rPr>
        <w:t>The income tax benefit from continuing operations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25, 2022 was $0.8 million and the income tax expense from continuing operations for the three months ended September 26, 2021 was $5.7 million. For the three months ended September 25, 2022, the Company has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 For the three months ended September 26, 2021, the income tax expense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7"/>
          <w:szCs w:val="17"/>
          <w:i w:val="1"/>
          <w:iCs w:val="1"/>
          <w:color w:val="auto"/>
        </w:rPr>
        <w:t xml:space="preserve">Loss from Discontinued Operations. </w:t>
      </w:r>
      <w:r>
        <w:rPr>
          <w:rFonts w:ascii="Arial" w:cs="Arial" w:eastAsia="Arial" w:hAnsi="Arial"/>
          <w:sz w:val="17"/>
          <w:szCs w:val="17"/>
          <w:color w:val="auto"/>
        </w:rPr>
        <w:t>The loss from discontinued operations was $0.0 million for the three months ended September 25, 2022.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from discontinued operations was $0.8 million for the three months ended September 26, 2021, primarily reflecting costs related to the ongoing closing net working capital adjustment dispute with the buyer of the Kratos Public Safety &amp; Security Solutions, Inc. (“PSS”)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Comparison of Results for the Nine Months Ended September 25, 2022 to the Nine Months Ended September 26, 2021</w:t>
      </w:r>
    </w:p>
    <w:p>
      <w:pPr>
        <w:spacing w:after="0" w:line="24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by operating segment for the nine months ended September 25, 2022 and September 26, 2021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28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Kratos Government Solutions</w:t>
            </w: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Kratos Government Solutions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Unmanned Systems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Total service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sales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Revenues increased $49.1 million to $649.0 million for the nine months ended September 25, 2022 from $599.9 million for the nine months ended September 26, 2021. Revenues in our KGS segment increased $67.6 million, primarily due to the contribution of $66.4 million in revenues from the recent Cosmic, CTT and SRE acquisitions, increased revenues in our space, satellite and cyber business of $5.5 million, increases in our defense and rocket support services and turbine technologies businesses of $9.8 million, and increases in our C5ISR businesses of $4.9 million, partially offset by an</w:t>
      </w:r>
    </w:p>
    <w:p>
      <w:pPr>
        <w:spacing w:after="0" w:line="1" w:lineRule="exact"/>
        <w:rPr>
          <w:sz w:val="20"/>
          <w:szCs w:val="20"/>
          <w:color w:val="auto"/>
        </w:rPr>
      </w:pPr>
    </w:p>
    <w:p>
      <w:pPr>
        <w:jc w:val="both"/>
        <w:ind w:right="440"/>
        <w:spacing w:after="0" w:line="260" w:lineRule="auto"/>
        <w:rPr>
          <w:sz w:val="20"/>
          <w:szCs w:val="20"/>
          <w:color w:val="auto"/>
        </w:rPr>
      </w:pPr>
      <w:r>
        <w:rPr>
          <w:rFonts w:ascii="Arial" w:cs="Arial" w:eastAsia="Arial" w:hAnsi="Arial"/>
          <w:sz w:val="17"/>
          <w:szCs w:val="17"/>
          <w:color w:val="auto"/>
        </w:rPr>
        <w:t>$18.6 million reduction in our training solutions business, resulting primarily from the completion of training solutions contracts. Revenues in our US segment decreased $18.5 million to $159.0 million for the nine months ended September 25, 2022 primarily due to a reduction in tactical drone based revenues, including as a result of timing of program contract awards, as compared to the nine months ended September 26, 2021.</w:t>
      </w:r>
    </w:p>
    <w:p>
      <w:pPr>
        <w:spacing w:after="0" w:line="19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Product sales decreased $19.3 million to $413.7 million for the nine months ended September 25, 2022 from $433.0 million for the nine months ended September 26, 2021, primarily as a result of decreased production activity in our US segment and reductions in our training solutions business. As a percentage of total revenue, product sales were 63.7% for the nine months ended September 25, 2022 as compared to 72.2% for the nine months ended September 26, 2021. Service revenues increased by $68.4 million to $235.3 million for the nine months ended September 25, 2022 from $166.9 million for the nine months ended September 26, 2021. The increase was primarily a result of the recent Cosmic and SRE acquisitions.</w:t>
      </w:r>
    </w:p>
    <w:p>
      <w:pPr>
        <w:spacing w:after="0" w:line="17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increased $48.1 million to $484.4 million for the nine months ended September 25, 2022 from $436.3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26, 2021. The increase in cost of revenues was primarily a result of the increase in revenues discussed above.</w:t>
      </w:r>
    </w:p>
    <w:p>
      <w:pPr>
        <w:spacing w:after="0" w:line="137"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decreased to 25.4% for the nine months ended September 25, 2022 from 27.3%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26, 2021. Margins on services decreased to 27.2% for the nine months ended September 25, 2022 from 28.5% for the nine months ended September 26, 2021. Margins on product sales decreased to 24.3% for the nine months ended September 25, 2022 from 26.8% for the nine months ended September 26, 2021. Margins in the KGS segment decreased to 26.9% for the nine months ended September 25, 2022 from 29.9% for the nine months ended September 26, 2021 due to a less favorable mix of revenues, as well as due to a $4.5 million impact to cost of sales related to certain non-recoverable costs, including rate and cost growth items, resulting from the inability to hire the required planned direct labor base both internally and by the Company’s subcontractors to execute on its backlog, due to a continuing challenging environment in both hiring and retaining skilled manufacturing personnel, including an approximately $3.4 million impact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the Company’s C5ISR business , and non-recoverable indirect cost rate growth resulting from a smaller than planned direct labor base due to delays in customer program execution and awards in the Company’s Training Solutions business of approximately $1.1 million. Margins in the US segment decreased to 20.5% for the nine months ended September 25, 2022, from 21.1% for the nine months ended September 26, 2021, primarily due to a less favorable mix of products produced and shipped during the nine months ended September 25, 2022.</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SG&amp;A Expenses</w:t>
      </w:r>
      <w:r>
        <w:rPr>
          <w:rFonts w:ascii="Arial" w:cs="Arial" w:eastAsia="Arial" w:hAnsi="Arial"/>
          <w:sz w:val="16"/>
          <w:szCs w:val="16"/>
          <w:color w:val="auto"/>
        </w:rPr>
        <w:t>. SG&amp;A expenses were $136.3 million for the nine months ended September 25, 2022 and $117.9 million for the nine months</w:t>
      </w:r>
    </w:p>
    <w:p>
      <w:pPr>
        <w:spacing w:after="0" w:line="5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ended September 26, 2021. As a percentage of revenues, SG&amp;A increased to 21.0% at September 25, 2022, from 19.7% at September 26, 2021. Included in SG&amp;A, was an increase of $0.7 million of stock compensation expense from $19.2 million for the nine months ended September 26, 2021 to</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$19.9 million for the nine months ended September 25, 2022 as well as increased SG&amp;A expenses related to the recent acquisitions of CTT, Cosmic and SRE. In addition, $1.9 million impact to SG&amp;A is related to the non-recoverable indirect cost rate growth in the Company’s Training Solutions business for the nine months ended September 25, 2022. Amortization expense of purchase intangibles increased from $3.7 million for the nine months ended September 26, 2021 to $6.3 million for the nine months ended September 25, 2022, reflecting the recent acquisitions.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R&amp;D Expenses</w:t>
      </w:r>
      <w:r>
        <w:rPr>
          <w:rFonts w:ascii="Arial" w:cs="Arial" w:eastAsia="Arial" w:hAnsi="Arial"/>
          <w:sz w:val="16"/>
          <w:szCs w:val="16"/>
          <w:color w:val="auto"/>
        </w:rPr>
        <w:t>. R&amp;D expenses were $28.0 million for the nine months ended September 25, 2022 and $26.2 million for the nine months ended</w:t>
      </w:r>
    </w:p>
    <w:p>
      <w:pPr>
        <w:spacing w:after="0" w:line="5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September 26, 2021, with the primary increases in expenses in our US segment. As a percentage of revenues, R&amp;D decreased to 4.3% for the nine months ended September 25, 2022 from 4.4% for the nine months ended September 26, 2021.</w:t>
      </w:r>
    </w:p>
    <w:p>
      <w:pPr>
        <w:spacing w:after="0" w:line="198" w:lineRule="exact"/>
        <w:rPr>
          <w:sz w:val="20"/>
          <w:szCs w:val="20"/>
          <w:color w:val="auto"/>
        </w:rPr>
      </w:pPr>
    </w:p>
    <w:p>
      <w:pPr>
        <w:jc w:val="both"/>
        <w:ind w:right="320" w:firstLine="648"/>
        <w:spacing w:after="0" w:line="248" w:lineRule="auto"/>
        <w:rPr>
          <w:sz w:val="20"/>
          <w:szCs w:val="20"/>
          <w:color w:val="auto"/>
        </w:rPr>
      </w:pPr>
      <w:r>
        <w:rPr>
          <w:rFonts w:ascii="Arial" w:cs="Arial" w:eastAsia="Arial" w:hAnsi="Arial"/>
          <w:sz w:val="18"/>
          <w:szCs w:val="18"/>
          <w:i w:val="1"/>
          <w:iCs w:val="1"/>
          <w:color w:val="auto"/>
        </w:rPr>
        <w:t>Restructuring Expenses and Other</w:t>
      </w:r>
      <w:r>
        <w:rPr>
          <w:rFonts w:ascii="Arial" w:cs="Arial" w:eastAsia="Arial" w:hAnsi="Arial"/>
          <w:sz w:val="18"/>
          <w:szCs w:val="18"/>
          <w:color w:val="auto"/>
        </w:rPr>
        <w:t>. Restructuring expenses and other increased to $6.4 million for the nine months ended September 25,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$0.2 million for the nine months ended September 26, 2021, primarily as a result of the $5.5 million litigation charge related to the settlement of a dispute with an international customer in our US segment.</w:t>
      </w:r>
    </w:p>
    <w:p>
      <w:pPr>
        <w:spacing w:after="0" w:line="22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i w:val="1"/>
          <w:iCs w:val="1"/>
          <w:color w:val="auto"/>
        </w:rPr>
        <w:t>Total Other Expense, Net</w:t>
      </w:r>
      <w:r>
        <w:rPr>
          <w:rFonts w:ascii="Arial" w:cs="Arial" w:eastAsia="Arial" w:hAnsi="Arial"/>
          <w:sz w:val="16"/>
          <w:szCs w:val="16"/>
          <w:color w:val="auto"/>
        </w:rPr>
        <w:t>. Total other expense, net, increased to $26.9 million from $17.3 million for the nine months ended September 25, 2022</w:t>
      </w:r>
      <w:r>
        <w:rPr>
          <w:rFonts w:ascii="Arial" w:cs="Arial" w:eastAsia="Arial" w:hAnsi="Arial"/>
          <w:sz w:val="16"/>
          <w:szCs w:val="16"/>
          <w:i w:val="1"/>
          <w:iCs w:val="1"/>
          <w:color w:val="auto"/>
        </w:rPr>
        <w:t xml:space="preserve"> </w:t>
      </w:r>
      <w:r>
        <w:rPr>
          <w:rFonts w:ascii="Arial" w:cs="Arial" w:eastAsia="Arial" w:hAnsi="Arial"/>
          <w:sz w:val="16"/>
          <w:szCs w:val="16"/>
          <w:color w:val="auto"/>
        </w:rPr>
        <w:t>and September 26, 2021, respectively. The increase in expense of $9.6 million was primarily related to the $13.0 million loss on the extinguishment of our Senior Secured Notes which was partially offset by a reduction in interest expense of $4.7 million as a result of the reduced rate on our new debt.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Benefit for Income Taxes from Continuing Operations</w:t>
      </w:r>
      <w:r>
        <w:rPr>
          <w:rFonts w:ascii="Arial" w:cs="Arial" w:eastAsia="Arial" w:hAnsi="Arial"/>
          <w:sz w:val="18"/>
          <w:szCs w:val="18"/>
          <w:color w:val="auto"/>
        </w:rPr>
        <w:t>. The income tax benefit from continuing operations for the nine months ended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2022 and September 26, 2021 was $4.6 million and $0.6 million, respectively. For the nine months ended September 25, 2022,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has utilized the discrete effective tax rate method. The discrete method is applied when it is not possible to reliably estimate our full year effective tax 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due to significant permanent differences in relation to pre-tax book income, resulting in significant variability to our estimated effective tax rate. For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26, 2021, a $2.7 million tax benefit was recorded resulting from the federal and state tax implications of stock-based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compensation in the form of restricted stock units. The remaining $2.1 million expense was a function of the estimated effective tax rate for the year.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estimated effective tax rate is driven by estimated foreign taxes, estimated federal and state taxes, permanent book/tax differences, and the projected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income or loss for the year.</w:t>
      </w:r>
    </w:p>
    <w:p>
      <w:pPr>
        <w:spacing w:after="0" w:line="223"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The income from discontinued operations was $0.7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25, 2022, and includes a $0.9 million benefit as a result of the release of an indemnification liability following the lapse of the statute of limitations associated with a potential tax liability that was recorded in 2019 as part of the sale of PSS. The loss from discontinued operations was $1.1 million for the nine months ended September 26, 2021, primarily reflecting the work performed in relation to outstanding tasks on legacy projects retained by us following the sale of PSS, as well as costs related to the ongoing closing net working capital adjustment dispute with the buyer of the PSS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On September 25, 2022, we had approximately $1,068.9 million of total backlog, of which $696.1 million was funded. We expect to recognize approximately 20% of the remaining total backlog as revenue in fiscal year 2022, an additional 39% in fiscal year 2023 and the balance thereafter. Our comparable total backlog balance as of September 26, 2021, was approximately $839.1 million, of which $618.0 million was funded. Backlog as of September 25, 2022 as compared to September 26, 2021 has increased primarily as a result of contract awards in our C5ISR, Space, Satellite and Cyber, Turbine Technologies and Unmanned Systems businesses, and to a lesser degree due to the impact of the acquisitions of Cosmic, CTT and SRE, which contributed approximately $102.2 million as of September 25, 2022.</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spacing w:after="0" w:line="16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September 25, 2022, we had cash and cash equivalents of $125.2 million compared with cash and cash equivalents of $349.4 million as of December 26, 2021, which includes $19.8 million and $29.4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1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total long-term debt increased from $296.7 million at December 26, 2021 to $297.3 million at September 25, 2022. Under the New Credit Facility, on February 18, 2022, we completed the refinancing of our outstanding $90 million revolving credit facility and $300 million of Senior Secured Notes, with a new 5-year $200 million Revolving Credit Facility and 5-year $200 million Term Loan A. We incurred debt issuance costs of $3.2 million associated with the New Credit Facility. We have drawn approximately $200 million under the Term Loan A and $100 million on the new Revolving Credit Facility, with $100 million remaining in borrowing capacity, less $8.0 million for outstanding letters of credit (as more fully described in Note 10 of the accompanying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February 18, 2022, the proceeds of $300 million from the New Credit Facility, along with cash funded by us for the 3.25% call premium to redeem the Company’s outstanding Senior Secured Notes, plus accrued interest, was distributed to the trustee for redemption of the Senior Secured Notes. The redemption of the outstanding $300 million of Senior Secured Notes closed on March 14, 2022, for an amount of cash equal to 103.25% of the principal amount thereof plus accrued and unpaid interest thereon. We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1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fund internal investments of engineering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These financing requirements have increased and have recently negatively impacted our operating cash flows due to actions we have taken to advance inventory purchases in an attempt to mitigate supply chain disruptions and to bolster our inventory levels. For the nine months ended September 25, 2022, approximately $28.0 million of operating cash flow was used to fund inventory purchases. Cash from continuing operations is primarily derived from our customer contracts in progress and associated changes in working capital components. Our days sales outstanding (“DSO”) have decreased from 128 days as of December 26, 2021 to 120 days at September 25, 2022, primarily reflecting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19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September 25, 2022, approximately $4.8 million in unbilled receivables remain outstanding on this project. In March 2022, we agreed, together with the customer, to a litigation settlement of $6.0 million for a portion of the amounts outstanding on this project, which was collected in July 2022. The remaining unbilled balance of $4.8 million is subject to negotiation and settlement with the customer.</w:t>
      </w:r>
    </w:p>
    <w:p>
      <w:pPr>
        <w:spacing w:after="0" w:line="192" w:lineRule="exact"/>
        <w:rPr>
          <w:sz w:val="20"/>
          <w:szCs w:val="20"/>
          <w:color w:val="auto"/>
        </w:rPr>
      </w:pPr>
    </w:p>
    <w:p>
      <w:pPr>
        <w:ind w:right="220" w:firstLine="648"/>
        <w:spacing w:after="0" w:line="281" w:lineRule="auto"/>
        <w:rPr>
          <w:sz w:val="20"/>
          <w:szCs w:val="20"/>
          <w:color w:val="auto"/>
        </w:rPr>
      </w:pPr>
      <w:r>
        <w:rPr>
          <w:rFonts w:ascii="Arial" w:cs="Arial" w:eastAsia="Arial" w:hAnsi="Arial"/>
          <w:sz w:val="16"/>
          <w:szCs w:val="16"/>
          <w:color w:val="auto"/>
        </w:rPr>
        <w:t>We were also in dispute with an international customer in our US segment concerning the completion of certain system requirements and contractual milestones related to a contract the Company acquired with the acquisition of CEi in 2012. In June 2022, the parties entered into a settlement agreement to resolve their dispute and to resolve all claims and counterclaims, and we are currently in the process of implementing the terms of the</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settlement agreement. The Company recorded a $5.5 million litigation settlement charge in the quarter ended June 26, 2022, with a remaining $5.6 million carrying value of assets on the balance sheet as of September 25, 2022 which are expected to be settled by the end of the year. During the quarter ended September 25, 2022, we paid approximately $3.7 million related to the settlement.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6"/>
                <w:szCs w:val="16"/>
                <w:color w:val="auto"/>
              </w:rPr>
            </w:pPr>
          </w:p>
        </w:tc>
      </w:tr>
      <w:tr>
        <w:trPr>
          <w:trHeight w:val="26"/>
        </w:trPr>
        <w:tc>
          <w:tcPr>
            <w:tcW w:w="844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89"/>
        </w:trPr>
        <w:tc>
          <w:tcPr>
            <w:tcW w:w="844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26, 2021</w:t>
            </w:r>
          </w:p>
        </w:tc>
      </w:tr>
      <w:tr>
        <w:trPr>
          <w:trHeight w:val="230"/>
        </w:trPr>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14"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Net cash used in operating activities from continuing operations was $32.3 million for the nine months ended September 25, 2022. Net cash used in operating activities from continuing operations was primarily a result of the net loss of $28.3 million. Net cash provided by operating activities from continuing operations was $34.6 million for the nine months ended September 26, 2021, primarily a result of the net income of $2.0 million, stock compensation, depreciation, amortization and other noncash charges of $45.1 million and changes of $12.5 million in net working capital accounts.</w:t>
      </w:r>
    </w:p>
    <w:p>
      <w:pPr>
        <w:spacing w:after="0" w:line="19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Net cash used in investing activities from continuing operations for the nine months ended September 25, 2022 is comprised of cash paid for acquisitions, net of cash acquired of $132.2 million, and $34.8 million in capital expenditures. Cash used for acquisitions included $74.0 million related to the acquisition of the assets of SRE, $37.5 million related to the acquisition of Cosmic, $15.3 million for the remaining purchase price due on the acquisition of CTT, and a $5.4 million payment due under the acquisition agreement for KTT Core, of which we purchased a controlling interest in February 2019. Net cash used in investing activities from continuing operations for the nine months ended September 26, 2021 is comprised of a payment due under the KTT Core acquisition agreement and capital expenditures, which were partially offset by insurance proceeds. Capital expenditures consist primarily of investments in machinery, computer hardware and software and improvement of our physical properties in order to maintain suitable conditions in which to conduct our business, including enhancements for secure facilities required for contracts we have been awarded or expect to be awarded, and include investments we are making to build capital aerial targets and related support equipment. During the nine months ended September 25, 2022, capital expenditures of approximately $18.6 million were incurred in our US business, primarily related to our unmanned combat target initiative. We expect our capital expenditures for our fiscal year 2022 to continue to be significant for investments we are making, specifically in our US business totaling approximately $25 to $28 million, including approximately $18 to $20 million for capital aerial targets and related support equipment.</w:t>
      </w:r>
    </w:p>
    <w:p>
      <w:pPr>
        <w:spacing w:after="0" w:line="19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Net cash used in financing activities from continuing operations was $21.4 million for the nine months ended September 25, 2022 and included $309.8 million used to redeem our $300 million of Senior Secured Notes including the call premium of $9.8 million, debt issuance costs of $3.2 million, payroll withholding taxes paid from vested restricted stock traded for taxes of $12.3 million and payments made on financing lease obligations of $1.0 million. These uses were partially offset by $300.0 million in proceeds from our New Credit Facility (partially offset by a $1.2 million principal payment on June 30, 2022) and employee stock purchase plan receipts of $6.1 million. Net cash used in financing activities from continuing operations was $9.0 million for the nine months ended September 26, 2021, and consisted primarily of repayment of our Israel debt of $5.1 million, payroll withholding taxes paid from vested restricted stock traded for taxes of $9.1 million and payments made on financing lease obligations of $0.7 million offset by employee stock purchase plan receipts of $5.9 million.</w:t>
      </w:r>
    </w:p>
    <w:p>
      <w:pPr>
        <w:spacing w:after="0" w:line="20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net operating cash flows of discontinued operations for the nine months ended September 25, 2022 was a use of $0.3 million. The net operating cash flows of discontinued operations for the nine months ended September 26, 2021 was a use of $1.1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Credit Facility</w:t>
      </w:r>
    </w:p>
    <w:p>
      <w:pPr>
        <w:spacing w:after="0" w:line="243" w:lineRule="exact"/>
        <w:rPr>
          <w:sz w:val="20"/>
          <w:szCs w:val="20"/>
          <w:color w:val="auto"/>
        </w:rPr>
      </w:pPr>
    </w:p>
    <w:p>
      <w:pPr>
        <w:ind w:right="20" w:firstLine="180"/>
        <w:spacing w:after="0" w:line="241" w:lineRule="auto"/>
        <w:rPr>
          <w:sz w:val="20"/>
          <w:szCs w:val="20"/>
          <w:color w:val="auto"/>
        </w:rPr>
      </w:pPr>
      <w:r>
        <w:rPr>
          <w:rFonts w:ascii="Arial" w:cs="Arial" w:eastAsia="Arial" w:hAnsi="Arial"/>
          <w:sz w:val="18"/>
          <w:szCs w:val="18"/>
          <w:color w:val="auto"/>
        </w:rPr>
        <w:t>Under the New Credit Facility, on February 18, 2022, the Company completed the refinancing of its outstanding $90 million revolving credit facility and $300 million Senior Secured Notes, with a new 5-year $200 million Revolving Credit Facility and 5-year $200 million Term Loan A. The Company incurred debt issuance costs of $3.2 million associated with the New Credit Facility. The Company has drawn approximately $200 million under the Term Loan A (partially offset by a $1.2 million principal payment on June 30, 2022) and $100 million on the new Revolving Credit Facility, with $100 million remaining in borrowing capacity, less $8.0 million for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18, 2022, the proceeds of $300 million from the New Credit Facility along with cash funded by the Company for the 3.25% call premium to redeem the Company’s outstanding Senior Secured Notes, plus accrued interest, was distributed to the trustee for redemption of the Senior Secured Notes. The redemption of the Company’s outstanding $300 million 6.5% Senior Secured Notes due November 2025 closed on March 14, 2022, for an amount of cash equal to 103.25% of the principal amount thereof plus accrued and unpaid interest thereon. The Company incurred a loss on the extinguishment of debt of $9.8 million related to the call premium on the Senior Secured Notes and the write-off of $3.2 million of unamortized debt issuance costs resulting in a total loss on extinguishment of debt of $13.0 million.</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New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Borrowings under the revolving credit facility and the term loan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September 25,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5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November 2017, the Company issued and sold $300 million aggregate principal amount of Senior Secured Notes due 2025 in a private placement conducted pursuant to Rule 144A and Regulation S under the Securities Act of 1933, as amended. The Company incurred debt issuance costs of $6.6 million associated with the Senior Secured Notes. The Senior Secured Notes were redeemed on March 14,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3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On November 20, 2017, the Company entered into the amended and restated credit and security agreement (the “Credit and Security Agreement”), which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 The Credit and Security Agreement was replaced by the New Credit Facility on February 18, 2022.</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52" w:lineRule="exact"/>
        <w:rPr>
          <w:sz w:val="20"/>
          <w:szCs w:val="20"/>
          <w:color w:val="auto"/>
        </w:rPr>
      </w:pPr>
    </w:p>
    <w:p>
      <w:pPr>
        <w:jc w:val="both"/>
        <w:ind w:right="380" w:firstLine="648"/>
        <w:spacing w:after="0" w:line="301" w:lineRule="auto"/>
        <w:rPr>
          <w:sz w:val="20"/>
          <w:szCs w:val="20"/>
          <w:color w:val="auto"/>
        </w:rPr>
      </w:pPr>
      <w:r>
        <w:rPr>
          <w:rFonts w:ascii="Arial" w:cs="Arial" w:eastAsia="Arial" w:hAnsi="Arial"/>
          <w:sz w:val="16"/>
          <w:szCs w:val="16"/>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was paid by the State of Israel with subsequent interest and principal payments due monthly, commencing in August 2021. The Company repaid all amounts outstanding under this debt in the third quarter of fiscal year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the application was accepted and the loan was forgiven in July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100"/>
        <w:spacing w:after="0" w:line="253" w:lineRule="auto"/>
        <w:rPr>
          <w:sz w:val="20"/>
          <w:szCs w:val="20"/>
          <w:color w:val="auto"/>
        </w:rPr>
      </w:pPr>
      <w:r>
        <w:rPr>
          <w:rFonts w:ascii="Arial" w:cs="Arial" w:eastAsia="Arial" w:hAnsi="Arial"/>
          <w:sz w:val="18"/>
          <w:szCs w:val="18"/>
          <w:color w:val="auto"/>
        </w:rPr>
        <w:t>Part I, Item 1A, “Risk Factors” of our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5"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our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Since December 26, 2021,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25,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operate under the Committee of Sponsoring Organizations 2013 Framework. There was no change in our internal control over financial reporting during the three months ended September 25,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Note 14 of the Notes to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40" w:type="dxa"/>
            <w:vAlign w:val="bottom"/>
            <w:gridSpan w:val="30"/>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3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gridSpan w:val="33"/>
          </w:tcPr>
          <w:p>
            <w:pPr>
              <w:spacing w:after="0" w:line="189"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Stock Purchase Agreement, dated February 28, 2018,</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among Kratos Defense &amp; Security Solutions, Inc.,</w:t>
              </w:r>
            </w:hyperlink>
          </w:p>
        </w:tc>
        <w:tc>
          <w:tcPr>
            <w:tcW w:w="2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3"/>
          </w:tcPr>
          <w:p>
            <w:pPr>
              <w:spacing w:after="0" w:line="156" w:lineRule="exact"/>
              <w:rPr>
                <w:rFonts w:ascii="Arial" w:cs="Arial" w:eastAsia="Arial" w:hAnsi="Arial"/>
                <w:sz w:val="18"/>
                <w:szCs w:val="18"/>
                <w:color w:val="0000FF"/>
                <w:w w:val="98"/>
              </w:rPr>
            </w:pPr>
            <w:hyperlink r:id="rId57">
              <w:r>
                <w:rPr>
                  <w:rFonts w:ascii="Arial" w:cs="Arial" w:eastAsia="Arial" w:hAnsi="Arial"/>
                  <w:sz w:val="18"/>
                  <w:szCs w:val="18"/>
                  <w:color w:val="0000FF"/>
                  <w:w w:val="98"/>
                </w:rPr>
                <w:t>Kratos Public Safety &amp; Security Solutions, Inc. and</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Securitas Electronic Security,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3"/>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Purchase Agreement, dated February 27, 2019, by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30"/>
          </w:tcPr>
          <w:p>
            <w:pPr>
              <w:spacing w:after="0" w:line="156" w:lineRule="exact"/>
              <w:rPr>
                <w:rFonts w:ascii="Arial" w:cs="Arial" w:eastAsia="Arial" w:hAnsi="Arial"/>
                <w:sz w:val="18"/>
                <w:szCs w:val="18"/>
                <w:color w:val="0000FF"/>
                <w:w w:val="98"/>
              </w:rPr>
            </w:pPr>
            <w:hyperlink r:id="rId58">
              <w:r>
                <w:rPr>
                  <w:rFonts w:ascii="Arial" w:cs="Arial" w:eastAsia="Arial" w:hAnsi="Arial"/>
                  <w:sz w:val="18"/>
                  <w:szCs w:val="18"/>
                  <w:color w:val="0000FF"/>
                  <w:w w:val="98"/>
                </w:rPr>
                <w:t>among Kratos Defense &amp; Security Solutions,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Shirley Brostmeyer, (“SB”), Joseph Brostmeyer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top w:val="single" w:sz="8" w:color="0000FF"/>
            </w:tcBorders>
            <w:gridSpan w:val="15"/>
          </w:tcPr>
          <w:p>
            <w:pPr>
              <w:spacing w:after="0" w:line="169"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(“JB”), certain trusts established by SB, JB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members of their immediate family, and JB, as</w:t>
              </w:r>
            </w:hyperlink>
          </w:p>
        </w:tc>
        <w:tc>
          <w:tcPr>
            <w:tcW w:w="540" w:type="dxa"/>
            <w:vAlign w:val="bottom"/>
            <w:gridSpan w:val="19"/>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Sellers Representative.</w:t>
              </w:r>
            </w:hyperlink>
          </w:p>
        </w:tc>
        <w:tc>
          <w:tcPr>
            <w:tcW w:w="198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Amended and Restated Certificate of Incorporation of</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Kratos Defense &amp; Security Solutions, Inc.,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9">
              <w:r>
                <w:rPr>
                  <w:rFonts w:ascii="Arial" w:cs="Arial" w:eastAsia="Arial" w:hAnsi="Arial"/>
                  <w:sz w:val="18"/>
                  <w:szCs w:val="18"/>
                  <w:color w:val="0000FF"/>
                  <w:w w:val="84"/>
                </w:rPr>
                <w:t>amended.</w:t>
              </w:r>
            </w:hyperlink>
          </w:p>
        </w:tc>
        <w:tc>
          <w:tcPr>
            <w:tcW w:w="25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rFonts w:ascii="Arial" w:cs="Arial" w:eastAsia="Arial" w:hAnsi="Arial"/>
                <w:sz w:val="18"/>
                <w:szCs w:val="18"/>
                <w:color w:val="0000FF"/>
              </w:rPr>
            </w:pPr>
            <w:hyperlink r:id="rId60">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Defense &amp; Security Solutions, Inc., as amended.</w:t>
              </w:r>
            </w:hyperlink>
          </w:p>
        </w:tc>
        <w:tc>
          <w:tcPr>
            <w:tcW w:w="60" w:type="dxa"/>
            <w:vAlign w:val="bottom"/>
            <w:tcBorders>
              <w:top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bottom w:val="single" w:sz="8" w:color="0000FF"/>
            </w:tcBorders>
            <w:gridSpan w:val="6"/>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Specimen Stock Certificate.</w:t>
              </w:r>
            </w:hyperlink>
          </w:p>
        </w:tc>
        <w:tc>
          <w:tcPr>
            <w:tcW w:w="1960" w:type="dxa"/>
            <w:vAlign w:val="bottom"/>
            <w:gridSpan w:val="27"/>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w w:val="99"/>
              </w:rPr>
              <w:t>Certification of Chief Executive Officer pursuant to</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6"/>
          </w:tcPr>
          <w:p>
            <w:pPr>
              <w:spacing w:after="0" w:line="156" w:lineRule="exact"/>
              <w:rPr>
                <w:sz w:val="20"/>
                <w:szCs w:val="20"/>
                <w:color w:val="auto"/>
              </w:rPr>
            </w:pPr>
            <w:r>
              <w:rPr>
                <w:rFonts w:ascii="Arial" w:cs="Arial" w:eastAsia="Arial" w:hAnsi="Arial"/>
                <w:sz w:val="18"/>
                <w:szCs w:val="18"/>
                <w:color w:val="0000FF"/>
                <w:w w:val="91"/>
              </w:rPr>
              <w:t>Section 302 of the Sarbanes Oxley Act of 2002.</w:t>
            </w:r>
          </w:p>
        </w:tc>
        <w:tc>
          <w:tcPr>
            <w:tcW w:w="2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0"/>
              </w:rPr>
              <w:t>Section 302 of the Sarbanes Oxley Act of 2002</w:t>
            </w:r>
          </w:p>
        </w:tc>
        <w:tc>
          <w:tcPr>
            <w:tcW w:w="2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w w:val="96"/>
              </w:rPr>
              <w:t>Certification pursuant to 18 U.S.C. Section 1350, as</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93"/>
              </w:rPr>
              <w:t>adopted pursuant to Section 906 of the Sarbanes-</w:t>
            </w: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Oxley Act of 2002 for Eric M. DeMarco.</w:t>
            </w:r>
          </w:p>
        </w:tc>
        <w:tc>
          <w:tcPr>
            <w:tcW w:w="16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w w:val="96"/>
              </w:rPr>
              <w:t>Certification pursuant to 18 U.S.C. Section 1350, as</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93"/>
              </w:rPr>
              <w:t>adopted pursuant to Section 906 of the Sarbanes-</w:t>
            </w: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Oxley Act of 2002 for Deanna Lund.</w:t>
            </w:r>
          </w:p>
        </w:tc>
        <w:tc>
          <w:tcPr>
            <w:tcW w:w="16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Instance Document-the instance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3"/>
          </w:tcPr>
          <w:p>
            <w:pPr>
              <w:spacing w:after="0" w:line="156" w:lineRule="exact"/>
              <w:rPr>
                <w:sz w:val="20"/>
                <w:szCs w:val="20"/>
                <w:color w:val="auto"/>
              </w:rPr>
            </w:pPr>
            <w:r>
              <w:rPr>
                <w:rFonts w:ascii="Arial" w:cs="Arial" w:eastAsia="Arial" w:hAnsi="Arial"/>
                <w:sz w:val="18"/>
                <w:szCs w:val="18"/>
                <w:color w:val="0000FF"/>
                <w:w w:val="92"/>
              </w:rPr>
              <w:t>document does not appear in the Interactive Data File</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28"/>
          </w:tcPr>
          <w:p>
            <w:pPr>
              <w:spacing w:after="0" w:line="156" w:lineRule="exact"/>
              <w:rPr>
                <w:sz w:val="20"/>
                <w:szCs w:val="20"/>
                <w:color w:val="auto"/>
              </w:rPr>
            </w:pPr>
            <w:r>
              <w:rPr>
                <w:rFonts w:ascii="Arial" w:cs="Arial" w:eastAsia="Arial" w:hAnsi="Arial"/>
                <w:sz w:val="18"/>
                <w:szCs w:val="18"/>
                <w:color w:val="0000FF"/>
                <w:w w:val="88"/>
              </w:rPr>
              <w:t>because its XBRL tags are embedded within the Inline</w:t>
            </w:r>
          </w:p>
        </w:tc>
        <w:tc>
          <w:tcPr>
            <w:tcW w:w="8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3"/>
              </w:rPr>
              <w:t>XBRL document</w:t>
            </w:r>
          </w:p>
        </w:tc>
        <w:tc>
          <w:tcPr>
            <w:tcW w:w="2700" w:type="dxa"/>
            <w:vAlign w:val="bottom"/>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8"/>
                <w:szCs w:val="18"/>
                <w:color w:val="auto"/>
              </w:rPr>
            </w:pPr>
          </w:p>
        </w:tc>
        <w:tc>
          <w:tcPr>
            <w:tcW w:w="39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2"/>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8"/>
                <w:szCs w:val="18"/>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Calculation</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Linkbase Document</w:t>
            </w:r>
          </w:p>
        </w:tc>
        <w:tc>
          <w:tcPr>
            <w:tcW w:w="194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7"/>
          </w:tcPr>
          <w:p>
            <w:pPr>
              <w:spacing w:after="0"/>
              <w:rPr>
                <w:sz w:val="13"/>
                <w:szCs w:val="13"/>
                <w:color w:val="auto"/>
              </w:rPr>
            </w:pPr>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Definition</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Linkbase Document</w:t>
            </w:r>
          </w:p>
        </w:tc>
        <w:tc>
          <w:tcPr>
            <w:tcW w:w="1840" w:type="dxa"/>
            <w:vAlign w:val="bottom"/>
            <w:tcBorders>
              <w:top w:val="single" w:sz="8" w:color="0000FF"/>
            </w:tcBorders>
            <w:gridSpan w:val="7"/>
          </w:tcPr>
          <w:p>
            <w:pPr>
              <w:spacing w:after="0"/>
              <w:rPr>
                <w:sz w:val="13"/>
                <w:szCs w:val="13"/>
                <w:color w:val="auto"/>
              </w:rPr>
            </w:pPr>
          </w:p>
        </w:tc>
        <w:tc>
          <w:tcPr>
            <w:tcW w:w="180" w:type="dxa"/>
            <w:vAlign w:val="bottom"/>
            <w:gridSpan w:val="5"/>
          </w:tcPr>
          <w:p>
            <w:pPr>
              <w:spacing w:after="0"/>
              <w:rPr>
                <w:sz w:val="13"/>
                <w:szCs w:val="13"/>
                <w:color w:val="auto"/>
              </w:rPr>
            </w:pPr>
          </w:p>
        </w:tc>
        <w:tc>
          <w:tcPr>
            <w:tcW w:w="220" w:type="dxa"/>
            <w:vAlign w:val="bottom"/>
            <w:gridSpan w:val="7"/>
          </w:tcPr>
          <w:p>
            <w:pPr>
              <w:spacing w:after="0"/>
              <w:rPr>
                <w:sz w:val="13"/>
                <w:szCs w:val="13"/>
                <w:color w:val="auto"/>
              </w:rPr>
            </w:pPr>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Label Linkbase</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0"/>
              </w:rPr>
              <w:t>Document</w:t>
            </w:r>
          </w:p>
        </w:tc>
        <w:tc>
          <w:tcPr>
            <w:tcW w:w="2940" w:type="dxa"/>
            <w:vAlign w:val="bottom"/>
            <w:tcBorders>
              <w:top w:val="single" w:sz="8" w:color="0000FF"/>
            </w:tcBorders>
            <w:gridSpan w:val="21"/>
          </w:tcPr>
          <w:p>
            <w:pPr>
              <w:spacing w:after="0"/>
              <w:rPr>
                <w:sz w:val="13"/>
                <w:szCs w:val="13"/>
                <w:color w:val="auto"/>
              </w:rPr>
            </w:pPr>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19"/>
                <w:szCs w:val="19"/>
                <w:color w:val="auto"/>
              </w:rPr>
            </w:pPr>
          </w:p>
        </w:tc>
        <w:tc>
          <w:tcPr>
            <w:tcW w:w="3980" w:type="dxa"/>
            <w:vAlign w:val="bottom"/>
            <w:gridSpan w:val="33"/>
          </w:tcPr>
          <w:p>
            <w:pPr>
              <w:spacing w:after="0"/>
              <w:rPr>
                <w:sz w:val="20"/>
                <w:szCs w:val="20"/>
                <w:color w:val="auto"/>
              </w:rPr>
            </w:pPr>
            <w:r>
              <w:rPr>
                <w:rFonts w:ascii="Arial" w:cs="Arial" w:eastAsia="Arial" w:hAnsi="Arial"/>
                <w:sz w:val="18"/>
                <w:szCs w:val="18"/>
                <w:color w:val="0000FF"/>
              </w:rPr>
              <w:t>Inline XBRL Taxonomy Extension Presentation</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Linkbase Document</w:t>
            </w:r>
          </w:p>
        </w:tc>
        <w:tc>
          <w:tcPr>
            <w:tcW w:w="2020" w:type="dxa"/>
            <w:vAlign w:val="bottom"/>
            <w:tcBorders>
              <w:top w:val="single" w:sz="8" w:color="0000FF"/>
            </w:tcBorders>
            <w:gridSpan w:val="12"/>
          </w:tcPr>
          <w:p>
            <w:pPr>
              <w:spacing w:after="0"/>
              <w:rPr>
                <w:sz w:val="13"/>
                <w:szCs w:val="13"/>
                <w:color w:val="auto"/>
              </w:rPr>
            </w:pPr>
          </w:p>
        </w:tc>
        <w:tc>
          <w:tcPr>
            <w:tcW w:w="5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40" w:right="160" w:hanging="912"/>
        <w:spacing w:after="0" w:line="235"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Incorporated by</w:t>
      </w:r>
    </w:p>
    <w:p>
      <w:pPr>
        <w:jc w:val="center"/>
        <w:ind w:right="1420"/>
        <w:spacing w:after="0"/>
        <w:rPr>
          <w:sz w:val="20"/>
          <w:szCs w:val="20"/>
          <w:color w:val="auto"/>
        </w:rPr>
      </w:pPr>
      <w:r>
        <w:rPr>
          <w:rFonts w:ascii="Arial" w:cs="Arial" w:eastAsia="Arial" w:hAnsi="Arial"/>
          <w:sz w:val="14"/>
          <w:szCs w:val="14"/>
          <w:b w:val="1"/>
          <w:bCs w:val="1"/>
          <w:color w:val="auto"/>
        </w:rPr>
        <w:t>Reference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9"/>
        </w:trPr>
        <w:tc>
          <w:tcPr>
            <w:tcW w:w="1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6"/>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20" w:type="dxa"/>
            <w:vAlign w:val="bottom"/>
          </w:tcPr>
          <w:p>
            <w:pPr>
              <w:ind w:left="480"/>
              <w:spacing w:after="0" w:line="169" w:lineRule="exact"/>
              <w:rPr>
                <w:sz w:val="20"/>
                <w:szCs w:val="20"/>
                <w:color w:val="auto"/>
              </w:rPr>
            </w:pPr>
            <w:r>
              <w:rPr>
                <w:rFonts w:ascii="Arial" w:cs="Arial" w:eastAsia="Arial" w:hAnsi="Arial"/>
                <w:sz w:val="18"/>
                <w:szCs w:val="18"/>
                <w:color w:val="auto"/>
              </w:rPr>
              <w:t>10-Q</w:t>
            </w: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Arial" w:cs="Arial" w:eastAsia="Arial" w:hAnsi="Arial"/>
                <w:sz w:val="18"/>
                <w:szCs w:val="18"/>
                <w:color w:val="auto"/>
                <w:w w:val="90"/>
              </w:rPr>
              <w:t>05/10/2018</w:t>
            </w:r>
          </w:p>
        </w:tc>
        <w:tc>
          <w:tcPr>
            <w:tcW w:w="1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480"/>
              <w:spacing w:after="0" w:line="203" w:lineRule="exact"/>
              <w:rPr>
                <w:sz w:val="20"/>
                <w:szCs w:val="20"/>
                <w:color w:val="auto"/>
              </w:rPr>
            </w:pPr>
            <w:r>
              <w:rPr>
                <w:rFonts w:ascii="Arial" w:cs="Arial" w:eastAsia="Arial" w:hAnsi="Arial"/>
                <w:sz w:val="18"/>
                <w:szCs w:val="18"/>
                <w:color w:val="auto"/>
              </w:rPr>
              <w:t>10-K</w:t>
            </w:r>
          </w:p>
        </w:tc>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40"/>
        <w:spacing w:after="0"/>
        <w:rPr>
          <w:sz w:val="20"/>
          <w:szCs w:val="20"/>
          <w:color w:val="auto"/>
        </w:rPr>
      </w:pPr>
      <w:r>
        <w:rPr>
          <w:rFonts w:ascii="Arial" w:cs="Arial" w:eastAsia="Arial" w:hAnsi="Arial"/>
          <w:sz w:val="18"/>
          <w:szCs w:val="18"/>
          <w:color w:val="auto"/>
        </w:rPr>
        <w:t>(001-34460)</w:t>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00"/>
            <w:col w:w="5620"/>
          </w:cols>
          <w:pgMar w:left="320" w:top="125" w:right="4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2459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8"/>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portions of the exhibit have been redacted from the filed version of the exhibit and are marked with a [***]. The Company agrees to furnish supplementally to the Securities and Exchange Commission an unredacted copy of the exhibit upon request.</w:t>
      </w:r>
    </w:p>
    <w:p>
      <w:pPr>
        <w:spacing w:after="0" w:line="198" w:lineRule="exact"/>
        <w:rPr>
          <w:sz w:val="20"/>
          <w:szCs w:val="20"/>
          <w:color w:val="auto"/>
        </w:rPr>
      </w:pPr>
    </w:p>
    <w:p>
      <w:pPr>
        <w:ind w:right="80" w:firstLine="8"/>
        <w:spacing w:after="0" w:line="24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8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30"/>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1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ind w:left="20"/>
        <w:spacing w:after="0"/>
        <w:tabs>
          <w:tab w:leader="none" w:pos="600" w:val="left"/>
        </w:tabs>
        <w:rPr>
          <w:sz w:val="20"/>
          <w:szCs w:val="20"/>
          <w:color w:val="auto"/>
        </w:rPr>
      </w:pPr>
      <w:r>
        <w:rPr>
          <w:rFonts w:ascii="Arial" w:cs="Arial" w:eastAsia="Arial" w:hAnsi="Arial"/>
          <w:sz w:val="18"/>
          <w:szCs w:val="18"/>
          <w:color w:val="auto"/>
        </w:rPr>
        <w:t>Date:</w:t>
        <w:tab/>
        <w:t>November 3,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20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7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660" w:right="200" w:hanging="652"/>
        <w:spacing w:after="0" w:line="25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6"/>
          <w:szCs w:val="16"/>
          <w:color w:val="auto"/>
        </w:rPr>
      </w:pPr>
    </w:p>
    <w:p>
      <w:pPr>
        <w:ind w:left="1300" w:right="300" w:hanging="644"/>
        <w:spacing w:after="0" w:line="258"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53"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53"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60"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300" w:right="80" w:hanging="644"/>
        <w:spacing w:after="0" w:line="264"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2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200" w:hanging="652"/>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5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180" w:hanging="644"/>
        <w:spacing w:after="0" w:line="254" w:lineRule="auto"/>
        <w:tabs>
          <w:tab w:leader="none" w:pos="1334" w:val="left"/>
        </w:tabs>
        <w:numPr>
          <w:ilvl w:val="1"/>
          <w:numId w:val="10"/>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4" w:lineRule="exact"/>
        <w:rPr>
          <w:sz w:val="20"/>
          <w:szCs w:val="20"/>
          <w:color w:val="auto"/>
        </w:rPr>
      </w:pPr>
    </w:p>
    <w:p>
      <w:pPr>
        <w:ind w:right="40" w:firstLine="162"/>
        <w:spacing w:after="0" w:line="269"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25, 2022 (the “Report”), I, Eric M. DeMarco, Chief Executive Officer of the Company, certify, pursuant to 18 U.S.C. Section 1350, as adopted pursuant to Section 906 of the Sarbanes-Oxley Act of 2002, that:</w:t>
      </w:r>
    </w:p>
    <w:p>
      <w:pPr>
        <w:spacing w:after="0" w:line="16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4" w:lineRule="exact"/>
        <w:rPr>
          <w:sz w:val="20"/>
          <w:szCs w:val="20"/>
          <w:color w:val="auto"/>
        </w:rPr>
      </w:pPr>
    </w:p>
    <w:p>
      <w:pPr>
        <w:ind w:right="40" w:firstLine="162"/>
        <w:spacing w:after="0" w:line="269"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25, 2022 (the “Report”), I, Deanna H. Lund, Chief Financial Officer of the Company, certify, pursuant to 18 U.S.C. Section 1350, as adopted pursuant to Section 906 of the Sarbanes-Oxley Act of 2002, that:</w:t>
      </w:r>
    </w:p>
    <w:p>
      <w:pPr>
        <w:spacing w:after="0" w:line="16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04"/>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57" Type="http://schemas.openxmlformats.org/officeDocument/2006/relationships/hyperlink" Target="http://www.sec.gov/Archives/edgar/data/1069258/000106925818000021/ktos20180401ex-22.htm" TargetMode="External"/><Relationship Id="rId58" Type="http://schemas.openxmlformats.org/officeDocument/2006/relationships/hyperlink" Target="http://www.sec.gov/Archives/edgar/data/1069258/000106925819000017/exhibit23redacted.htm" TargetMode="External"/><Relationship Id="rId59" Type="http://schemas.openxmlformats.org/officeDocument/2006/relationships/hyperlink" Target="http://www.sec.gov/Archives/edgar/data/1069258/000106925817000009/ktos20161225ex-31.htm" TargetMode="External"/><Relationship Id="rId60" Type="http://schemas.openxmlformats.org/officeDocument/2006/relationships/hyperlink" Target="http://www.sec.gov/Archives/edgar/data/1069258/000106925817000009/ktos20161225ex-32.htm" TargetMode="External"/><Relationship Id="rId61" Type="http://schemas.openxmlformats.org/officeDocument/2006/relationships/hyperlink" Target="http://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2022-11-03T16:36:22Z</dcterms:created>
  <dcterms:modified xsi:type="dcterms:W3CDTF">2022-11-03T16:36:22Z</dcterms:modified>
</cp:coreProperties>
</file>