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40" w:right="280" w:hanging="632"/>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 FOR THE QUARTERLY PERIOD ENDED MARCH 31, 2006</w:t>
      </w:r>
    </w:p>
    <w:p>
      <w:pPr>
        <w:spacing w:after="0" w:line="163" w:lineRule="exact"/>
        <w:rPr>
          <w:sz w:val="24"/>
          <w:szCs w:val="24"/>
          <w:color w:val="auto"/>
        </w:rPr>
      </w:pPr>
    </w:p>
    <w:p>
      <w:pPr>
        <w:ind w:left="640" w:right="100" w:hanging="632"/>
        <w:spacing w:after="0" w:line="256" w:lineRule="auto"/>
        <w:tabs>
          <w:tab w:leader="none" w:pos="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WIRELESS FACILITIES,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right"/>
              <w:ind w:right="150"/>
              <w:spacing w:after="0"/>
              <w:rPr>
                <w:sz w:val="20"/>
                <w:szCs w:val="20"/>
                <w:color w:val="auto"/>
              </w:rPr>
            </w:pPr>
            <w:r>
              <w:rPr>
                <w:rFonts w:ascii="Arial" w:cs="Arial" w:eastAsia="Arial" w:hAnsi="Arial"/>
                <w:sz w:val="18"/>
                <w:szCs w:val="18"/>
                <w:b w:val="1"/>
                <w:bCs w:val="1"/>
                <w:color w:val="auto"/>
              </w:rPr>
              <w:t>13-3818604</w:t>
            </w:r>
          </w:p>
        </w:tc>
      </w:tr>
      <w:tr>
        <w:trPr>
          <w:trHeight w:val="216"/>
        </w:trPr>
        <w:tc>
          <w:tcPr>
            <w:tcW w:w="4200" w:type="dxa"/>
            <w:vAlign w:val="bottom"/>
          </w:tcPr>
          <w:p>
            <w:pPr>
              <w:jc w:val="center"/>
              <w:ind w:right="197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ind w:left="2060"/>
              <w:spacing w:after="0"/>
              <w:rPr>
                <w:sz w:val="20"/>
                <w:szCs w:val="20"/>
                <w:color w:val="auto"/>
              </w:rPr>
            </w:pPr>
            <w:r>
              <w:rPr>
                <w:rFonts w:ascii="Arial" w:cs="Arial" w:eastAsia="Arial" w:hAnsi="Arial"/>
                <w:sz w:val="18"/>
                <w:szCs w:val="18"/>
                <w:color w:val="auto"/>
                <w:w w:val="98"/>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both"/>
        <w:ind w:right="240" w:firstLine="51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519"/>
        <w:spacing w:after="0" w:line="233"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or a non-accelerated filer (as defined in Rule 12b-2 of the Exchange Act): 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w:t>
      </w:r>
    </w:p>
    <w:p>
      <w:pPr>
        <w:spacing w:after="0" w:line="150"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May 4, 2006, 73,881,260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4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rPr>
              <w:t>WIRELESS FACILITIES, INC.</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84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w w:val="99"/>
              </w:rPr>
              <w:t>FORM 10-Q</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6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9"/>
              </w:rPr>
              <w:t>FOR THE QUARTERLY PERIOD ENDED MARCH 31, 2006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4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60" w:type="dxa"/>
            <w:vAlign w:val="bottom"/>
            <w:gridSpan w:val="8"/>
          </w:tcPr>
          <w:p>
            <w:pPr>
              <w:ind w:left="182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40" w:type="dxa"/>
            <w:vAlign w:val="bottom"/>
          </w:tcPr>
          <w:p>
            <w:pPr>
              <w:spacing w:after="0"/>
              <w:rPr>
                <w:sz w:val="24"/>
                <w:szCs w:val="24"/>
                <w:color w:val="auto"/>
              </w:rPr>
            </w:pPr>
          </w:p>
        </w:tc>
        <w:tc>
          <w:tcPr>
            <w:tcW w:w="1500" w:type="dxa"/>
            <w:vAlign w:val="bottom"/>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1820" w:type="dxa"/>
            <w:vAlign w:val="bottom"/>
          </w:tcPr>
          <w:p>
            <w:pPr>
              <w:spacing w:after="0"/>
              <w:rPr>
                <w:sz w:val="24"/>
                <w:szCs w:val="24"/>
                <w:color w:val="auto"/>
              </w:rPr>
            </w:pPr>
          </w:p>
        </w:tc>
        <w:tc>
          <w:tcPr>
            <w:tcW w:w="3060" w:type="dxa"/>
            <w:vAlign w:val="bottom"/>
            <w:tcBorders>
              <w:top w:val="single" w:sz="8" w:color="0000EE"/>
            </w:tcBorders>
            <w:gridSpan w:val="2"/>
          </w:tcPr>
          <w:p>
            <w:pPr>
              <w:spacing w:after="0"/>
              <w:rPr>
                <w:sz w:val="24"/>
                <w:szCs w:val="24"/>
                <w:color w:val="auto"/>
              </w:rPr>
            </w:pPr>
          </w:p>
        </w:tc>
        <w:tc>
          <w:tcPr>
            <w:tcW w:w="378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at December 31, 2005 and March 31, 2006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Borders>
              <w:right w:val="single" w:sz="8" w:color="0000EE"/>
            </w:tcBorders>
            <w:gridSpan w:val="3"/>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 for the Three Months Ended March 31, 2005 and 2006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Borders>
              <w:right w:val="single" w:sz="8" w:color="0000EE"/>
            </w:tcBorders>
            <w:gridSpan w:val="3"/>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Cash Flows for the Three Months Ended March 31, 2005 and 2006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5</w:t>
              </w:r>
            </w:hyperlink>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Borders>
              <w:right w:val="single" w:sz="8" w:color="0000EE"/>
            </w:tcBorders>
            <w:gridSpan w:val="3"/>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Consolidated Financial Statements (unaudited)</w:t>
              </w:r>
            </w:hyperlink>
          </w:p>
        </w:tc>
        <w:tc>
          <w:tcPr>
            <w:tcW w:w="3700" w:type="dxa"/>
            <w:vAlign w:val="bottom"/>
            <w:gridSpan w:val="5"/>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7</w:t>
              </w:r>
            </w:hyperlink>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20" w:type="dxa"/>
            <w:vAlign w:val="bottom"/>
            <w:tcBorders>
              <w:right w:val="single" w:sz="8" w:color="0000EE"/>
            </w:tcBorders>
            <w:gridSpan w:val="3"/>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r:id="rId16">
              <w:r>
                <w:rPr>
                  <w:rFonts w:ascii="Arial" w:cs="Arial" w:eastAsia="Arial" w:hAnsi="Arial"/>
                  <w:sz w:val="18"/>
                  <w:szCs w:val="18"/>
                  <w:color w:val="0000EE"/>
                  <w:w w:val="90"/>
                </w:rPr>
                <w:t>Item 2.</w:t>
              </w:r>
            </w:hyperlink>
          </w:p>
        </w:tc>
        <w:tc>
          <w:tcPr>
            <w:tcW w:w="54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r:id="rId16">
              <w:r>
                <w:rPr>
                  <w:rFonts w:ascii="Arial" w:cs="Arial" w:eastAsia="Arial" w:hAnsi="Arial"/>
                  <w:sz w:val="18"/>
                  <w:szCs w:val="18"/>
                  <w:color w:val="0000EE"/>
                  <w:w w:val="90"/>
                </w:rPr>
                <w:t>Management’s Discussion and Analysis of Financial Condition and Results of Operations</w:t>
              </w:r>
            </w:hyperlink>
          </w:p>
        </w:tc>
        <w:tc>
          <w:tcPr>
            <w:tcW w:w="37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r:id="rId16">
              <w:r>
                <w:rPr>
                  <w:rFonts w:ascii="Arial" w:cs="Arial" w:eastAsia="Arial" w:hAnsi="Arial"/>
                  <w:sz w:val="18"/>
                  <w:szCs w:val="18"/>
                  <w:color w:val="0000EE"/>
                  <w:w w:val="79"/>
                </w:rPr>
                <w:t>21</w:t>
              </w:r>
            </w:hyperlink>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Item 3.</w:t>
              </w:r>
            </w:hyperlink>
          </w:p>
        </w:tc>
        <w:tc>
          <w:tcPr>
            <w:tcW w:w="540" w:type="dxa"/>
            <w:vAlign w:val="bottom"/>
          </w:tcPr>
          <w:p>
            <w:pPr>
              <w:spacing w:after="0"/>
              <w:rPr>
                <w:sz w:val="24"/>
                <w:szCs w:val="24"/>
                <w:color w:val="auto"/>
              </w:rPr>
            </w:pPr>
          </w:p>
        </w:tc>
        <w:tc>
          <w:tcPr>
            <w:tcW w:w="4380" w:type="dxa"/>
            <w:vAlign w:val="bottom"/>
            <w:tcBorders>
              <w:bottom w:val="single" w:sz="8" w:color="0000EE"/>
            </w:tcBorders>
            <w:gridSpan w:val="4"/>
          </w:tcPr>
          <w:p>
            <w:pPr>
              <w:spacing w:after="0"/>
              <w:rPr>
                <w:rFonts w:ascii="Arial" w:cs="Arial" w:eastAsia="Arial" w:hAnsi="Arial"/>
                <w:sz w:val="18"/>
                <w:szCs w:val="18"/>
                <w:color w:val="0000EE"/>
                <w:w w:val="92"/>
              </w:rPr>
            </w:pPr>
            <w:hyperlink r:id="rId17">
              <w:r>
                <w:rPr>
                  <w:rFonts w:ascii="Arial" w:cs="Arial" w:eastAsia="Arial" w:hAnsi="Arial"/>
                  <w:sz w:val="18"/>
                  <w:szCs w:val="18"/>
                  <w:color w:val="0000EE"/>
                  <w:w w:val="92"/>
                </w:rPr>
                <w:t>Quantitative and Qualitative Disclosures About Market Risk</w:t>
              </w:r>
            </w:hyperlink>
          </w:p>
        </w:tc>
        <w:tc>
          <w:tcPr>
            <w:tcW w:w="578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r:id="rId17">
              <w:r>
                <w:rPr>
                  <w:rFonts w:ascii="Arial" w:cs="Arial" w:eastAsia="Arial" w:hAnsi="Arial"/>
                  <w:sz w:val="18"/>
                  <w:szCs w:val="18"/>
                  <w:color w:val="0000EE"/>
                  <w:w w:val="79"/>
                </w:rPr>
                <w:t>27</w:t>
              </w:r>
            </w:hyperlink>
          </w:p>
        </w:tc>
      </w:tr>
    </w:tbl>
    <w:p>
      <w:pPr>
        <w:sectPr>
          <w:pgSz w:w="11900" w:h="16838" w:orient="portrait"/>
          <w:cols w:equalWidth="0" w:num="1">
            <w:col w:w="11420"/>
          </w:cols>
          <w:pgMar w:left="240" w:top="585"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4"/>
          </w:tcPr>
          <w:p>
            <w:pPr>
              <w:spacing w:after="0"/>
              <w:rPr>
                <w:rFonts w:ascii="Arial" w:cs="Arial" w:eastAsia="Arial" w:hAnsi="Arial"/>
                <w:sz w:val="18"/>
                <w:szCs w:val="18"/>
                <w:color w:val="0000EE"/>
              </w:rPr>
            </w:pPr>
            <w:hyperlink r:id="rId18">
              <w:r>
                <w:rPr>
                  <w:rFonts w:ascii="Arial" w:cs="Arial" w:eastAsia="Arial" w:hAnsi="Arial"/>
                  <w:sz w:val="18"/>
                  <w:szCs w:val="18"/>
                  <w:color w:val="0000EE"/>
                </w:rPr>
                <w:t>Item 4.</w:t>
              </w:r>
            </w:hyperlink>
          </w:p>
        </w:tc>
        <w:tc>
          <w:tcPr>
            <w:tcW w:w="380" w:type="dxa"/>
            <w:vAlign w:val="bottom"/>
          </w:tcPr>
          <w:p>
            <w:pPr>
              <w:spacing w:after="0"/>
              <w:rPr>
                <w:sz w:val="17"/>
                <w:szCs w:val="17"/>
                <w:color w:val="auto"/>
              </w:rPr>
            </w:pPr>
          </w:p>
        </w:tc>
        <w:tc>
          <w:tcPr>
            <w:tcW w:w="6960" w:type="dxa"/>
            <w:vAlign w:val="bottom"/>
            <w:gridSpan w:val="7"/>
          </w:tcPr>
          <w:p>
            <w:pPr>
              <w:spacing w:after="0"/>
              <w:rPr>
                <w:rFonts w:ascii="Arial" w:cs="Arial" w:eastAsia="Arial" w:hAnsi="Arial"/>
                <w:sz w:val="18"/>
                <w:szCs w:val="18"/>
                <w:color w:val="0000EE"/>
              </w:rPr>
            </w:pPr>
            <w:hyperlink r:id="rId18">
              <w:r>
                <w:rPr>
                  <w:rFonts w:ascii="Arial" w:cs="Arial" w:eastAsia="Arial" w:hAnsi="Arial"/>
                  <w:sz w:val="18"/>
                  <w:szCs w:val="18"/>
                  <w:color w:val="0000EE"/>
                </w:rPr>
                <w:t>Controls and Procedures</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4"/>
          </w:tcPr>
          <w:p>
            <w:pPr>
              <w:jc w:val="right"/>
              <w:ind w:right="20"/>
              <w:spacing w:after="0"/>
              <w:rPr>
                <w:rFonts w:ascii="Arial" w:cs="Arial" w:eastAsia="Arial" w:hAnsi="Arial"/>
                <w:sz w:val="18"/>
                <w:szCs w:val="18"/>
                <w:color w:val="0000EE"/>
              </w:rPr>
            </w:pPr>
            <w:hyperlink r:id="rId1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Borders>
              <w:bottom w:val="single" w:sz="8" w:color="0000EE"/>
            </w:tcBorders>
          </w:tcPr>
          <w:p>
            <w:pPr>
              <w:spacing w:after="0"/>
              <w:rPr>
                <w:rFonts w:ascii="Arial" w:cs="Arial" w:eastAsia="Arial" w:hAnsi="Arial"/>
                <w:sz w:val="18"/>
                <w:szCs w:val="18"/>
                <w:b w:val="1"/>
                <w:bCs w:val="1"/>
                <w:color w:val="0000EE"/>
              </w:rPr>
            </w:pPr>
            <w:hyperlink r:id="rId19">
              <w:r>
                <w:rPr>
                  <w:rFonts w:ascii="Arial" w:cs="Arial" w:eastAsia="Arial" w:hAnsi="Arial"/>
                  <w:sz w:val="18"/>
                  <w:szCs w:val="18"/>
                  <w:b w:val="1"/>
                  <w:bCs w:val="1"/>
                  <w:color w:val="0000EE"/>
                </w:rPr>
                <w:t>PART II. OTHER INFORMATION</w:t>
              </w:r>
            </w:hyperlink>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gridSpan w:val="3"/>
          </w:tcPr>
          <w:p>
            <w:pPr>
              <w:spacing w:after="0"/>
              <w:rPr>
                <w:rFonts w:ascii="Arial" w:cs="Arial" w:eastAsia="Arial" w:hAnsi="Arial"/>
                <w:sz w:val="18"/>
                <w:szCs w:val="18"/>
                <w:color w:val="0000EE"/>
              </w:rPr>
            </w:pPr>
            <w:hyperlink r:id="rId20">
              <w:r>
                <w:rPr>
                  <w:rFonts w:ascii="Arial" w:cs="Arial" w:eastAsia="Arial" w:hAnsi="Arial"/>
                  <w:sz w:val="18"/>
                  <w:szCs w:val="18"/>
                  <w:color w:val="0000EE"/>
                </w:rPr>
                <w:t>Item 1.</w:t>
              </w:r>
            </w:hyperlink>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60" w:type="dxa"/>
            <w:vAlign w:val="bottom"/>
            <w:gridSpan w:val="7"/>
          </w:tcPr>
          <w:p>
            <w:pPr>
              <w:spacing w:after="0"/>
              <w:rPr>
                <w:rFonts w:ascii="Arial" w:cs="Arial" w:eastAsia="Arial" w:hAnsi="Arial"/>
                <w:sz w:val="18"/>
                <w:szCs w:val="18"/>
                <w:color w:val="0000EE"/>
              </w:rPr>
            </w:pPr>
            <w:hyperlink r:id="rId20">
              <w:r>
                <w:rPr>
                  <w:rFonts w:ascii="Arial" w:cs="Arial" w:eastAsia="Arial" w:hAnsi="Arial"/>
                  <w:sz w:val="18"/>
                  <w:szCs w:val="18"/>
                  <w:color w:val="0000EE"/>
                </w:rPr>
                <w:t>Legal Proceedings</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right"/>
              <w:ind w:right="20"/>
              <w:spacing w:after="0"/>
              <w:rPr>
                <w:rFonts w:ascii="Arial" w:cs="Arial" w:eastAsia="Arial" w:hAnsi="Arial"/>
                <w:sz w:val="18"/>
                <w:szCs w:val="18"/>
                <w:color w:val="0000EE"/>
              </w:rPr>
            </w:pPr>
            <w:hyperlink r:id="rId20">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4"/>
          </w:tcPr>
          <w:p>
            <w:pPr>
              <w:spacing w:after="0"/>
              <w:rPr>
                <w:rFonts w:ascii="Arial" w:cs="Arial" w:eastAsia="Arial" w:hAnsi="Arial"/>
                <w:sz w:val="18"/>
                <w:szCs w:val="18"/>
                <w:color w:val="0000EE"/>
              </w:rPr>
            </w:pPr>
            <w:hyperlink r:id="rId21">
              <w:r>
                <w:rPr>
                  <w:rFonts w:ascii="Arial" w:cs="Arial" w:eastAsia="Arial" w:hAnsi="Arial"/>
                  <w:sz w:val="18"/>
                  <w:szCs w:val="18"/>
                  <w:color w:val="0000EE"/>
                </w:rPr>
                <w:t>Item 1A.</w:t>
              </w:r>
            </w:hyperlink>
          </w:p>
        </w:tc>
        <w:tc>
          <w:tcPr>
            <w:tcW w:w="380" w:type="dxa"/>
            <w:vAlign w:val="bottom"/>
          </w:tcPr>
          <w:p>
            <w:pPr>
              <w:spacing w:after="0"/>
              <w:rPr>
                <w:sz w:val="24"/>
                <w:szCs w:val="24"/>
                <w:color w:val="auto"/>
              </w:rPr>
            </w:pPr>
          </w:p>
        </w:tc>
        <w:tc>
          <w:tcPr>
            <w:tcW w:w="6960" w:type="dxa"/>
            <w:vAlign w:val="bottom"/>
            <w:gridSpan w:val="7"/>
          </w:tcPr>
          <w:p>
            <w:pPr>
              <w:spacing w:after="0"/>
              <w:rPr>
                <w:rFonts w:ascii="Arial" w:cs="Arial" w:eastAsia="Arial" w:hAnsi="Arial"/>
                <w:sz w:val="18"/>
                <w:szCs w:val="18"/>
                <w:color w:val="0000EE"/>
              </w:rPr>
            </w:pPr>
            <w:hyperlink r:id="rId21">
              <w:r>
                <w:rPr>
                  <w:rFonts w:ascii="Arial" w:cs="Arial" w:eastAsia="Arial" w:hAnsi="Arial"/>
                  <w:sz w:val="18"/>
                  <w:szCs w:val="18"/>
                  <w:color w:val="0000EE"/>
                </w:rPr>
                <w:t>Risk Factors</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right"/>
              <w:ind w:right="20"/>
              <w:spacing w:after="0"/>
              <w:rPr>
                <w:rFonts w:ascii="Arial" w:cs="Arial" w:eastAsia="Arial" w:hAnsi="Arial"/>
                <w:sz w:val="18"/>
                <w:szCs w:val="18"/>
                <w:color w:val="0000EE"/>
              </w:rPr>
            </w:pPr>
            <w:hyperlink r:id="rId21">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3"/>
          </w:tcPr>
          <w:p>
            <w:pPr>
              <w:spacing w:after="0"/>
              <w:rPr>
                <w:rFonts w:ascii="Arial" w:cs="Arial" w:eastAsia="Arial" w:hAnsi="Arial"/>
                <w:sz w:val="18"/>
                <w:szCs w:val="18"/>
                <w:color w:val="0000EE"/>
              </w:rPr>
            </w:pPr>
            <w:hyperlink r:id="rId22">
              <w:r>
                <w:rPr>
                  <w:rFonts w:ascii="Arial" w:cs="Arial" w:eastAsia="Arial" w:hAnsi="Arial"/>
                  <w:sz w:val="18"/>
                  <w:szCs w:val="18"/>
                  <w:color w:val="0000EE"/>
                </w:rPr>
                <w:t>Item 6.</w:t>
              </w:r>
            </w:hyperlink>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r:id="rId22">
              <w:r>
                <w:rPr>
                  <w:rFonts w:ascii="Arial" w:cs="Arial" w:eastAsia="Arial" w:hAnsi="Arial"/>
                  <w:sz w:val="18"/>
                  <w:szCs w:val="18"/>
                  <w:color w:val="0000EE"/>
                </w:rPr>
                <w:t>Exhibits</w:t>
              </w:r>
            </w:hyperlink>
          </w:p>
        </w:tc>
        <w:tc>
          <w:tcPr>
            <w:tcW w:w="60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r:id="rId22">
              <w:r>
                <w:rPr>
                  <w:rFonts w:ascii="Arial" w:cs="Arial" w:eastAsia="Arial" w:hAnsi="Arial"/>
                  <w:sz w:val="18"/>
                  <w:szCs w:val="18"/>
                  <w:color w:val="0000EE"/>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40" w:type="dxa"/>
            <w:vAlign w:val="bottom"/>
            <w:gridSpan w:val="5"/>
          </w:tcPr>
          <w:p>
            <w:pPr>
              <w:jc w:val="center"/>
              <w:ind w:left="2330"/>
              <w:spacing w:after="0"/>
              <w:rPr>
                <w:sz w:val="20"/>
                <w:szCs w:val="20"/>
                <w:color w:val="auto"/>
              </w:rPr>
            </w:pPr>
            <w:r>
              <w:rPr>
                <w:rFonts w:ascii="Arial" w:cs="Arial" w:eastAsia="Arial" w:hAnsi="Arial"/>
                <w:sz w:val="18"/>
                <w:szCs w:val="18"/>
                <w:color w:val="auto"/>
                <w:w w:val="99"/>
              </w:rPr>
              <w:t>2</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1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WIRELESS FACILITIES, INC.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0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jc w:val="center"/>
              <w:ind w:right="288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Note receivable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Employee loans and advances,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340" w:type="dxa"/>
            <w:vAlign w:val="bottom"/>
            <w:gridSpan w:val="8"/>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Goodwill</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Non current assets of discontinued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340" w:type="dxa"/>
            <w:vAlign w:val="bottom"/>
            <w:tcBorders>
              <w:top w:val="single" w:sz="8" w:color="CCEEFF"/>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40" w:type="dxa"/>
            <w:vAlign w:val="bottom"/>
            <w:gridSpan w:val="4"/>
          </w:tcPr>
          <w:p>
            <w:pPr>
              <w:jc w:val="center"/>
              <w:ind w:right="2420"/>
              <w:spacing w:after="0" w:line="189" w:lineRule="exact"/>
              <w:rPr>
                <w:sz w:val="20"/>
                <w:szCs w:val="20"/>
                <w:color w:val="auto"/>
              </w:rPr>
            </w:pPr>
            <w:r>
              <w:rPr>
                <w:rFonts w:ascii="Arial" w:cs="Arial" w:eastAsia="Arial" w:hAnsi="Arial"/>
                <w:sz w:val="18"/>
                <w:szCs w:val="18"/>
                <w:b w:val="1"/>
                <w:bCs w:val="1"/>
                <w:color w:val="auto"/>
                <w:w w:val="91"/>
              </w:rPr>
              <w:t>Liabilities and Stockholders’ Equity</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Accounts payable—related party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Line of credit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Billings in excess of costs on completed contracts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Tax contingencies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Accrual for contingent acquisition consideration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Accrual for unused office space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ind w:left="340"/>
              <w:spacing w:after="0"/>
              <w:rPr>
                <w:sz w:val="20"/>
                <w:szCs w:val="20"/>
                <w:color w:val="auto"/>
              </w:rPr>
            </w:pPr>
            <w:r>
              <w:rPr>
                <w:rFonts w:ascii="Arial" w:cs="Arial" w:eastAsia="Arial" w:hAnsi="Arial"/>
                <w:sz w:val="18"/>
                <w:szCs w:val="18"/>
                <w:color w:val="auto"/>
              </w:rPr>
              <w:t>Capital lease obligations and other short-term debt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340" w:type="dxa"/>
            <w:vAlign w:val="bottom"/>
            <w:tcBorders>
              <w:top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Capital lease obligations and debt, net of current portion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Accrual for unused office space, net of current portion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spacing w:after="0"/>
              <w:rPr>
                <w:sz w:val="20"/>
                <w:szCs w:val="20"/>
                <w:color w:val="auto"/>
              </w:rPr>
            </w:pPr>
            <w:r>
              <w:rPr>
                <w:rFonts w:ascii="Arial" w:cs="Arial" w:eastAsia="Arial" w:hAnsi="Arial"/>
                <w:sz w:val="18"/>
                <w:szCs w:val="18"/>
                <w:color w:val="auto"/>
              </w:rPr>
              <w:t>Other long term liabilities of discontinued operations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340" w:type="dxa"/>
            <w:vAlign w:val="bottom"/>
            <w:tcBorders>
              <w:top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Commitments and contingencies (Notes 1 and 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11"/>
          </w:tcPr>
          <w:p>
            <w:pPr>
              <w:ind w:left="340"/>
              <w:spacing w:after="0" w:line="201" w:lineRule="exact"/>
              <w:rPr>
                <w:sz w:val="20"/>
                <w:szCs w:val="20"/>
                <w:color w:val="auto"/>
              </w:rPr>
            </w:pPr>
            <w:r>
              <w:rPr>
                <w:rFonts w:ascii="Arial" w:cs="Arial" w:eastAsia="Arial" w:hAnsi="Arial"/>
                <w:sz w:val="18"/>
                <w:szCs w:val="18"/>
                <w:color w:val="auto"/>
                <w:w w:val="95"/>
              </w:rPr>
              <w:t>Preferred stock, 5,000,000 shares authorized, Series B Convertible Preferred Stock, $.001 par value;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520" w:type="dxa"/>
            <w:vAlign w:val="bottom"/>
            <w:gridSpan w:val="10"/>
          </w:tcPr>
          <w:p>
            <w:pPr>
              <w:ind w:left="20"/>
              <w:spacing w:after="0"/>
              <w:rPr>
                <w:sz w:val="20"/>
                <w:szCs w:val="20"/>
                <w:color w:val="auto"/>
              </w:rPr>
            </w:pPr>
            <w:r>
              <w:rPr>
                <w:rFonts w:ascii="Arial" w:cs="Arial" w:eastAsia="Arial" w:hAnsi="Arial"/>
                <w:sz w:val="18"/>
                <w:szCs w:val="18"/>
                <w:color w:val="auto"/>
                <w:w w:val="92"/>
              </w:rPr>
              <w:t>25,483 shares outstanding at December 31, 2005 and March 31, 2006, (liquidation preference $12.7)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11"/>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195,000,000 shares authorized; 72,188,449 and 72,332,360 shares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52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rPr>
              <w:t>issued and outstanding at December 31, 2005 and March 31, 2006, respectively</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11"/>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324.9</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-8932545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-8932545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08" w:right="21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(92.5)</w:t>
            </w: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210"/>
        </w:trPr>
        <w:tc>
          <w:tcPr>
            <w:tcW w:w="59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7"/>
        </w:trPr>
        <w:tc>
          <w:tcPr>
            <w:tcW w:w="59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34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2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revenues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acquisition consideration</w:t>
            </w:r>
          </w:p>
        </w:tc>
        <w:tc>
          <w:tcPr>
            <w:tcW w:w="1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 (loss)</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spacing w:after="0" w:line="196" w:lineRule="exact"/>
              <w:rPr>
                <w:sz w:val="20"/>
                <w:szCs w:val="20"/>
                <w:color w:val="auto"/>
              </w:rPr>
            </w:pPr>
            <w:r>
              <w:rPr>
                <w:rFonts w:ascii="Arial" w:cs="Arial" w:eastAsia="Arial" w:hAnsi="Arial"/>
                <w:sz w:val="18"/>
                <w:szCs w:val="18"/>
                <w:color w:val="auto"/>
              </w:rPr>
              <w:t>Other income (expense), net:</w:t>
            </w:r>
          </w:p>
        </w:tc>
        <w:tc>
          <w:tcPr>
            <w:tcW w:w="19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Foreign exchange gain</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Other income, net</w:t>
            </w:r>
          </w:p>
        </w:tc>
        <w:tc>
          <w:tcPr>
            <w:tcW w:w="1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Income (loss) before provision for income taxes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Net income (loss)</w:t>
            </w:r>
          </w:p>
        </w:tc>
        <w:tc>
          <w:tcPr>
            <w:tcW w:w="282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282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Income from discontinued operations, net of taxes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282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from discontinued operations, net of taxes</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 (loss)</w:t>
            </w:r>
          </w:p>
        </w:tc>
        <w:tc>
          <w:tcPr>
            <w:tcW w:w="1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326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6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Net loss on disposition of fixed assets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Changes in assets and liabilities, net of acquisitions: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Accounts receivable – related party</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Tax contingencies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contingent acquisition consideration</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Billings in excess of costs on completed contracts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Accrual for unused office space</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spacing w:after="0"/>
              <w:rPr>
                <w:sz w:val="20"/>
                <w:szCs w:val="20"/>
                <w:color w:val="auto"/>
              </w:rPr>
            </w:pPr>
            <w:r>
              <w:rPr>
                <w:rFonts w:ascii="Arial" w:cs="Arial" w:eastAsia="Arial" w:hAnsi="Arial"/>
                <w:sz w:val="18"/>
                <w:szCs w:val="18"/>
                <w:color w:val="auto"/>
              </w:rPr>
              <w:t>Net cash provided by (used in) continuing operations</w:t>
            </w: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Investing activities: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Sale/maturity of short-term investments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Cash paid for contingent acquisition consideration</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disposition of discontinued operations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700"/>
              <w:spacing w:after="0"/>
              <w:rPr>
                <w:sz w:val="20"/>
                <w:szCs w:val="20"/>
                <w:color w:val="auto"/>
              </w:rPr>
            </w:pPr>
            <w:r>
              <w:rPr>
                <w:rFonts w:ascii="Arial" w:cs="Arial" w:eastAsia="Arial" w:hAnsi="Arial"/>
                <w:sz w:val="18"/>
                <w:szCs w:val="18"/>
                <w:color w:val="auto"/>
              </w:rPr>
              <w:t>Net cash used in investing activities from continuing operations</w:t>
            </w: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under line of credit</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 (Revised see Note 1(o))</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Operating cash flows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cash flows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flows of discontinued operations</w:t>
            </w:r>
          </w:p>
        </w:tc>
        <w:tc>
          <w:tcPr>
            <w:tcW w:w="8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20" w:type="dxa"/>
            <w:vAlign w:val="bottom"/>
            <w:gridSpan w:val="3"/>
          </w:tcPr>
          <w:p>
            <w:pPr>
              <w:jc w:val="center"/>
              <w:ind w:left="219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jc w:val="center"/>
              <w:ind w:left="3830"/>
              <w:spacing w:after="0"/>
              <w:rPr>
                <w:sz w:val="20"/>
                <w:szCs w:val="20"/>
                <w:color w:val="auto"/>
              </w:rPr>
            </w:pPr>
            <w:r>
              <w:rPr>
                <w:rFonts w:ascii="Arial" w:cs="Arial" w:eastAsia="Arial" w:hAnsi="Arial"/>
                <w:sz w:val="18"/>
                <w:szCs w:val="18"/>
                <w:color w:val="auto"/>
                <w:w w:val="99"/>
              </w:rPr>
              <w:t>5</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gridSpan w:val="3"/>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Cash received during the period for interest</w:t>
            </w:r>
          </w:p>
        </w:tc>
        <w:tc>
          <w:tcPr>
            <w:tcW w:w="16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paid during the period for income taxes</w:t>
            </w:r>
          </w:p>
        </w:tc>
        <w:tc>
          <w:tcPr>
            <w:tcW w:w="1640" w:type="dxa"/>
            <w:vAlign w:val="bottom"/>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transactions: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Fair value of assets acquired in acquisitions</w:t>
            </w:r>
          </w:p>
        </w:tc>
        <w:tc>
          <w:tcPr>
            <w:tcW w:w="164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acquisitions</w:t>
            </w:r>
          </w:p>
        </w:tc>
        <w:tc>
          <w:tcPr>
            <w:tcW w:w="1640" w:type="dxa"/>
            <w:vAlign w:val="bottom"/>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Liabilities assumed in acquisitions</w:t>
            </w:r>
          </w:p>
        </w:tc>
        <w:tc>
          <w:tcPr>
            <w:tcW w:w="8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 receivable on disposition of discontinued operations</w:t>
            </w: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jc w:val="center"/>
              <w:ind w:left="3830"/>
              <w:spacing w:after="0"/>
              <w:rPr>
                <w:sz w:val="20"/>
                <w:szCs w:val="20"/>
                <w:color w:val="auto"/>
              </w:rPr>
            </w:pPr>
            <w:r>
              <w:rPr>
                <w:rFonts w:ascii="Arial" w:cs="Arial" w:eastAsia="Arial" w:hAnsi="Arial"/>
                <w:sz w:val="18"/>
                <w:szCs w:val="18"/>
                <w:color w:val="auto"/>
                <w:w w:val="99"/>
              </w:rPr>
              <w:t>6</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-2423795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-2423795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WIRELESS FACILITIES,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ectPr>
          <w:pgSz w:w="11900" w:h="16838" w:orient="portrait"/>
          <w:cols w:equalWidth="0" w:num="1">
            <w:col w:w="11440"/>
          </w:cols>
          <w:pgMar w:left="240" w:top="140" w:right="219" w:bottom="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(a) Description of Business</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(which is operated through WFI’s wholly-owned subsidiary, WFI Government Services, Inc.), and enterprise customers through its Enterprise Network Services division (“ENS”).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Principles of Consolidation</w:t>
      </w:r>
    </w:p>
    <w:p>
      <w:pPr>
        <w:spacing w:after="0" w:line="225"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consolidated financial statements include the accounts of WFI and its wholly-owned and majority-owned subsidiaries. WFI and its subsidiaries are collectively referred to herein as the “Company.”</w:t>
      </w:r>
    </w:p>
    <w:p>
      <w:pPr>
        <w:spacing w:after="0" w:line="170"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In 2003, the Company acquired three privately-held companies as part of its Enterprise Network Solutions segment (now Enterprise Network Services) which provides voice, data, security, system design, deployment, integration and monitoring for enterprise networks. In 2004, the Company acquired two privately-held companies as part of its Government Network Services segment which provides systems engineering, systems integration and the outsourcing of technical services such as operational test and evaluation and program management. In 2005, the Company acquired one privately-held company as part of its Government Network Services segment which provides services including network engineering, network infrastructure support, information assurance, application development, and managed services, including network maintenance and monitoring, to government agencies. See Note 6 for additional details regarding these acquisitions.</w:t>
      </w:r>
    </w:p>
    <w:p>
      <w:pPr>
        <w:spacing w:after="0" w:line="189"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All inter-company transactions have been eliminated in consolidation. Investments in unconsolidated affiliates are accounted for using the cost method and equity method. The cost method is used for companies in which the Company owns less than 20% and for which the Company has no significant influence.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Fiscal Calendar</w:t>
      </w:r>
    </w:p>
    <w:p>
      <w:pPr>
        <w:spacing w:after="0" w:line="225"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The Company operates and reports using a 52-53 week fiscal year ending the last Friday in December. As a result, a fifty-third week is added every five or six years. Our 52 week fiscal year consists of four equal quarters of 13 weeks each, and our 53 week fiscal year consists of three 13 week quarters and one 14 week quarter. The financial results for our 53 week fiscal years and our 14 week fiscal quarters will not be exactly comparable to our 52 week fiscal years and our 13 week fiscal quarters. However, the 2005 and 2006 quarters presented in this report on Form 10-Q have the same number of weeks. For presentation purposes, all fiscal periods presented or discussed in this report have been presented as ending on the last day of the nearest calendar month. For example, our first quarter in 2005 ended on April 1, 2005, but we present our quarter as ending on March 31, 2005.</w:t>
      </w:r>
    </w:p>
    <w:p>
      <w:pPr>
        <w:spacing w:after="0" w:line="178" w:lineRule="exact"/>
        <w:rPr>
          <w:sz w:val="20"/>
          <w:szCs w:val="20"/>
          <w:color w:val="auto"/>
        </w:rPr>
      </w:pPr>
    </w:p>
    <w:p>
      <w:pPr>
        <w:ind w:right="180" w:firstLine="259"/>
        <w:spacing w:after="0" w:line="293" w:lineRule="auto"/>
        <w:rPr>
          <w:sz w:val="20"/>
          <w:szCs w:val="20"/>
          <w:color w:val="auto"/>
        </w:rPr>
      </w:pPr>
      <w:r>
        <w:rPr>
          <w:rFonts w:ascii="Arial" w:cs="Arial" w:eastAsia="Arial" w:hAnsi="Arial"/>
          <w:sz w:val="16"/>
          <w:szCs w:val="16"/>
          <w:color w:val="auto"/>
        </w:rPr>
        <w:t>The information as of March 31, 2006, and for the three months ended March 31, 2005 and 2006 is unaudited. In the opinion of management, these unaudited consolidated financial statements include all adjustments, consisting of normal recurring adjustments, necessary for a fair presentation of our financial position, results of operations and cash flows for the interim periods presented. Interim operating results are not necessarily indicative of operating results expected in subsequent periods or for the year as a whole. These unaudited consolidated financial statements should be read in conjunction with the consolidated financial statements and the related notes included in WFI’s annual consolidated financial statements for the year ended December 31, 2005, filed on Form 10-K on April 3, 2006 with the United States Securities and Exchange Commission.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unaudited consolidated financial statements include the accounts of WFI and its wholly-owned and majority-owned subsidiaries.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 Cash and Cash Equivalents and Short-Term Investments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Company’s cash equivalents consist of highly liquid investments with original maturities of three months or less when purchased by the Company.</w:t>
      </w:r>
    </w:p>
    <w:p>
      <w:pPr>
        <w:spacing w:after="0" w:line="248"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In the event the Company has investments, it evaluates such investments in accordance with the provisions of Statement of Financial Accounting Standards (SFAS) No. 115, “Accounting for Certain Investments in Debt and Equity Securities.” Based on the Company’s intent, investment policies and ability to liquidate debt securities maturing after one year during the one-year operating cycle, the Company classifies such short-term investment securities within current assets. Available-for-sale securities are carried at fair value, with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unrealized gains and losses reported as a separate component of Stockholders’ Equity under the caption “Accumulated Other Comprehensive Income or Loss.” The amortized cost basis of debt securities is periodically adjusted for amortization of premiums and accretion of discounts to maturity. Such amortization is included as a component of interest income (expense). The amortized cost basis of securities sold is based on the specific identification method and all such realized gains and losses are recorded as a component within other income (expense), net. Interest and dividends on securities classified as available-for-sale are included in interest income. The cash and cash equivalents at March 31, 2006 were as follows (in millions):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March 31, 2006</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19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Amortized Cost</w:t>
            </w:r>
          </w:p>
        </w:tc>
        <w:tc>
          <w:tcPr>
            <w:tcW w:w="380" w:type="dxa"/>
            <w:vAlign w:val="bottom"/>
          </w:tcPr>
          <w:p>
            <w:pPr>
              <w:spacing w:after="0"/>
              <w:rPr>
                <w:sz w:val="10"/>
                <w:szCs w:val="10"/>
                <w:color w:val="auto"/>
              </w:rPr>
            </w:pPr>
          </w:p>
        </w:tc>
        <w:tc>
          <w:tcPr>
            <w:tcW w:w="1200" w:type="dxa"/>
            <w:vAlign w:val="bottom"/>
          </w:tcPr>
          <w:p>
            <w:pPr>
              <w:jc w:val="center"/>
              <w:ind w:right="357"/>
              <w:spacing w:after="0" w:line="11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0"/>
                <w:szCs w:val="10"/>
                <w:color w:val="auto"/>
              </w:rPr>
            </w:pPr>
          </w:p>
        </w:tc>
      </w:tr>
      <w:tr>
        <w:trPr>
          <w:trHeight w:val="171"/>
        </w:trPr>
        <w:tc>
          <w:tcPr>
            <w:tcW w:w="19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Basis</w:t>
            </w:r>
          </w:p>
        </w:tc>
        <w:tc>
          <w:tcPr>
            <w:tcW w:w="3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Basis</w:t>
            </w:r>
          </w:p>
        </w:tc>
      </w:tr>
      <w:tr>
        <w:trPr>
          <w:trHeight w:val="210"/>
        </w:trPr>
        <w:tc>
          <w:tcPr>
            <w:tcW w:w="19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9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Cash and cash equivalents:</w:t>
            </w:r>
          </w:p>
        </w:tc>
        <w:tc>
          <w:tcPr>
            <w:tcW w:w="4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0"/>
        </w:trPr>
        <w:tc>
          <w:tcPr>
            <w:tcW w:w="6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79"/>
              </w:rPr>
              <w:t>10.0</w:t>
            </w:r>
          </w:p>
        </w:tc>
        <w:tc>
          <w:tcPr>
            <w:tcW w:w="3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8"/>
                <w:szCs w:val="18"/>
                <w:color w:val="auto"/>
              </w:rPr>
            </w:pPr>
          </w:p>
        </w:tc>
      </w:tr>
      <w:tr>
        <w:trPr>
          <w:trHeight w:val="210"/>
        </w:trPr>
        <w:tc>
          <w:tcPr>
            <w:tcW w:w="19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7"/>
        </w:trPr>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There were no net unrealized gains on short-term investments included as a component of stockholders’ equity at March 31, 2006. There were also no realized gains or losses recorded for the three months ended March 31, 2006.</w:t>
      </w:r>
    </w:p>
    <w:p>
      <w:pPr>
        <w:sectPr>
          <w:pgSz w:w="11900" w:h="16838" w:orient="portrait"/>
          <w:cols w:equalWidth="0" w:num="1">
            <w:col w:w="11420"/>
          </w:cols>
          <w:pgMar w:left="240" w:top="125" w:right="239" w:bottom="0" w:gutter="0" w:footer="0" w:header="0"/>
        </w:sectPr>
      </w:pPr>
    </w:p>
    <w:bookmarkStart w:id="5" w:name="page6"/>
    <w:bookmarkEnd w:id="5"/>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Inventory</w:t>
      </w:r>
    </w:p>
    <w:p>
      <w:pPr>
        <w:spacing w:after="0" w:line="225"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Inventories are stated at the lower of cost or market and are included in other current assets in the accompanying balance sheets. Cost typically includes materials. The Company regularly reviews inventory quantities on hand, future purchase commitments with its suppliers, and the estimated utility of its inventory. If the Company review indicates a reduction in utility below carrying value, it reduces its inventory to a new cost basis. As of March 31, 2006 and December 31, 2005, the Company had $1.4 million and $1.1 million, respectively, of inventories which were reflected in Other Current Assets on the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Property and Equipment, Net</w:t>
      </w:r>
    </w:p>
    <w:p>
      <w:pPr>
        <w:spacing w:after="0" w:line="225"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Property and equipment consists primarily of computer, field testing and office-related equipment and is recorded at cost. Equipment acquired under capital leases is recorded at the present value of the future minimum lease payments. Depreciation is calculated using the straight-line method over the estimated useful life of each asset, which is one to three years for computer equipment, five years for furniture and office equipment, ten years for purchased software for the Company’s enterprise system and fifteen years for the Company’s Local Area Network infrastructure. Equipment acquired under capital leases is amortized over the shorter of the lease term or the estimated useful life of the asset. Improvements which significantly improve and extend the useful life of an asset are capitalized. Expenditures for maintenance and repairs are charged to operations as incurred.</w:t>
      </w:r>
    </w:p>
    <w:p>
      <w:pPr>
        <w:spacing w:after="0" w:line="178"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Goodwill and Other Intangible Assets, Net</w:t>
      </w:r>
    </w:p>
    <w:p>
      <w:pPr>
        <w:spacing w:after="0" w:line="225"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Goodwill represents the excess of the purchase price over the fair value of net assets from acquired companies.</w:t>
      </w:r>
    </w:p>
    <w:p>
      <w:pPr>
        <w:spacing w:after="0" w:line="225" w:lineRule="exact"/>
        <w:rPr>
          <w:sz w:val="20"/>
          <w:szCs w:val="20"/>
          <w:color w:val="auto"/>
        </w:rPr>
      </w:pPr>
    </w:p>
    <w:p>
      <w:pPr>
        <w:ind w:right="400" w:firstLine="259"/>
        <w:spacing w:after="0" w:line="342" w:lineRule="auto"/>
        <w:rPr>
          <w:sz w:val="20"/>
          <w:szCs w:val="20"/>
          <w:color w:val="auto"/>
        </w:rPr>
      </w:pPr>
      <w:r>
        <w:rPr>
          <w:rFonts w:ascii="Arial" w:cs="Arial" w:eastAsia="Arial" w:hAnsi="Arial"/>
          <w:sz w:val="16"/>
          <w:szCs w:val="16"/>
          <w:color w:val="auto"/>
        </w:rPr>
        <w:t>The Company typically engages a valuation consultant to assist in the determination of the carrying value and amortizable life of its intangible assets related to its acquisitions. The estimated useful life for its intangible assets is approximately two to eight years depending on the nature of the asset.</w:t>
      </w:r>
    </w:p>
    <w:p>
      <w:pPr>
        <w:spacing w:after="0" w:line="124"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The Company adopted SFAS No. 142, “Goodwill and Other Intangible Assets,” on January 1, 2002. SFAS No. 142 superseded Accounting Principles Board Opinion No. 17, “Intangible Assets,” and discontinued the amortization of goodwill and intangible assets with indefinite useful lives associated with purchase business combinations. In addition, SFAS No. 142 includes provisions regarding the reclassification between goodwill and identifiable intangible assets in accordance with the new definition of intangible assets set forth in SFAS No. 141, “Business Combinations,” the reassessment of the useful lives of existing finite-life intangible assets, and the annual testing for impairment of existing goodwill and other intangible assets with indefinite lives. In accordance with the adoption of SFAS No. 142 on January 1, 2002, the Company ceased the amortization of goodwill, and completed the required transitional impairment test. The Company also re-evaluated the classifications of its existing intangible assets and goodwill in accordance with SFAS No. 141. In accordance with SFAS No. 142, the Company conducts, at a minimum, an annual impairment test of goodwill in the fourth quarter of each fiscal year, or earlier if triggering events or circumstances warrant an accelerated review for potential impairment.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Revenue Recognition</w:t>
      </w:r>
    </w:p>
    <w:p>
      <w:pPr>
        <w:spacing w:after="0" w:line="225" w:lineRule="exact"/>
        <w:rPr>
          <w:sz w:val="20"/>
          <w:szCs w:val="20"/>
          <w:color w:val="auto"/>
        </w:rPr>
      </w:pPr>
    </w:p>
    <w:p>
      <w:pPr>
        <w:ind w:firstLine="259"/>
        <w:spacing w:after="0" w:line="268" w:lineRule="auto"/>
        <w:rPr>
          <w:sz w:val="20"/>
          <w:szCs w:val="20"/>
          <w:color w:val="auto"/>
        </w:rPr>
      </w:pPr>
      <w:r>
        <w:rPr>
          <w:rFonts w:ascii="Arial" w:cs="Arial" w:eastAsia="Arial" w:hAnsi="Arial"/>
          <w:sz w:val="17"/>
          <w:szCs w:val="17"/>
          <w:color w:val="auto"/>
        </w:rPr>
        <w:t>The Company provides services to customers under three primary types of contracts: fixed-price long-term turnkey; time and materials; and contract management and out of pocket reimbursables.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In certain instances in which it is impractical to estimate the final outcome of the project margin, but it is certain that the Company will not incur a loss on the project, the Company may record revenue equal to cost incurred, at a zero profit margin. Once the estimate of the final outcome of the project margin is determined, the Company will record revenue using the percentage-of-completion method of accounting based on the ratio of total costs incurred to date compared to the estimated total costs to complete the project. The full amount of an estimated loss associated with a contract is accrued and charged to operations in the period it is determined that it is probable a loss will be realized from the performance of the contract. Significant management judgments and estimates, including the estimated costs to complete projects, which determine the project’s percent of completion and profit margin must be made and used in connection with the revenue recognized in any accounting period. In the future, the Company may realize actual results that differ from current estimates.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In the Company’s wireless network services business, the estimated contract value and costs are impacted by the estimated number and mix of site types that we may be assigned.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w:t>
      </w:r>
      <w:r>
        <w:rPr>
          <w:rFonts w:ascii="Arial" w:cs="Arial" w:eastAsia="Arial" w:hAnsi="Arial"/>
          <w:sz w:val="15"/>
          <w:szCs w:val="15"/>
          <w:color w:val="auto"/>
        </w:rPr>
        <w:t>for the quarter ended March 31, 2006 and year ended December 31, 2005.</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Many of the Company’s contracts are master service agreements under which the Company is contracted to provide services to deploy a pre-determined and specific number of sites in specific geographic markets. These agreements are typically segmented into multiple projects to account for revenue under the guidelines of SOP 81-1. These contractual arrangements with the Company’s customers typically include milestone billings. 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(i.e., reduction in original number of sites awarded) or other modifications are subject to</w:t>
      </w:r>
    </w:p>
    <w:p>
      <w:pPr>
        <w:sectPr>
          <w:pgSz w:w="11900" w:h="16851" w:orient="portrait"/>
          <w:cols w:equalWidth="0" w:num="1">
            <w:col w:w="11400"/>
          </w:cols>
          <w:pgMar w:left="240" w:top="125" w:right="259" w:bottom="0" w:gutter="0" w:footer="0" w:header="0"/>
        </w:sectPr>
      </w:pPr>
    </w:p>
    <w:bookmarkStart w:id="6" w:name="page7"/>
    <w:bookmarkEnd w:id="6"/>
    <w:p>
      <w:pPr>
        <w:ind w:right="20"/>
        <w:spacing w:after="0" w:line="291" w:lineRule="auto"/>
        <w:rPr>
          <w:sz w:val="20"/>
          <w:szCs w:val="20"/>
          <w:color w:val="auto"/>
        </w:rPr>
      </w:pPr>
      <w:r>
        <w:rPr>
          <w:rFonts w:ascii="Arial" w:cs="Arial" w:eastAsia="Arial" w:hAnsi="Arial"/>
          <w:sz w:val="16"/>
          <w:szCs w:val="16"/>
          <w:color w:val="auto"/>
        </w:rPr>
        <w:t>reimbursement of costs incurred to date with a reasonable profit margin based on the contract value and completed work at that time. The inherent aforementioned risks associated with the presence of potential “partial milestone billings” or “reductions in scope” are reflected in the Company’s ongoing periodic assessment of the “total contract value” and the associated revenue recognized. Total net unbilled accounts receivable at December 31, 2005 and March 31, 2006 were $51.0 million and $54.5 million, respectively. The Company periodically performs work under authorizations to proceed or work orders from its customers for which a formal purchase order may not be received until after the work has commenced. As of March 31, 2006, approximately $6.5 million of the Company’s unbilled accounts receivable balance were under unapproved change orders or claims. The Company expects that substantially all of the unbilled balances as of March 31, 2006 will be billed within one year as billing and performance milestones are achieved.</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Revenue from certain time and materials and fixed priced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government network services business with the U.S. government and prime contractors to the U.S. government is generally performed under cost reimbursable plus fixed fee, fixed price or time and material contracts. Cost reimbursable contracts for the government provide for reimbursement of costs plus the payment of a fee. The Company records the fee as costs are incurred. Under fixed-price contracts, the Company agrees to perform certain work for a fixed price. Under time and materials contracts, the Company is reimbursed for labor hours at negotiated hourly billing rates and is reimbursed for travel and other direct expenses at actual costs plus applied general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47" w:lineRule="exact"/>
        <w:rPr>
          <w:sz w:val="20"/>
          <w:szCs w:val="20"/>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3"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10"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collectibility and records allowances for doubtful accounts when deemed appropriate, based on its assessment of the associated credit risks. Total retainages included in accounts receivable were $1.7 million and $1.2 million at December 31, 2005 and March 31, 2006, respectively. Changes to estimates of contract value are recorded as adjustments to revenue and not as a component of the allowance of doubtful accounts. Allowance for doubtful accounts was $1.5 million as of December 31, 2005 and March 31,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 Income Taxes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on a periodic basis, whether it is more likely than not that some portion or all of the deferred tax assets will not be realized. For U.S. purposes, the Company is in a cumulative book tax profit position as of March 31, 2006 and consideration is given to future taxable income, including the reversal of temporary differences, in evaluating the recoverability of its U.S. deferred tax assets and the corresponding valuation allowance related to the assets. Unlike the Company’s U.S. tax position, its foreign operations are in a cumulative book loss position.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March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Stock-based Compensation</w:t>
      </w:r>
    </w:p>
    <w:p>
      <w:pPr>
        <w:spacing w:after="0" w:line="225"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7" w:name="page8"/>
    <w:bookmarkEnd w:id="7"/>
    <w:p>
      <w:pPr>
        <w:ind w:right="140"/>
        <w:spacing w:after="0" w:line="279" w:lineRule="auto"/>
        <w:rPr>
          <w:sz w:val="20"/>
          <w:szCs w:val="20"/>
          <w:color w:val="auto"/>
        </w:rPr>
      </w:pPr>
      <w:r>
        <w:rPr>
          <w:rFonts w:ascii="Arial" w:cs="Arial" w:eastAsia="Arial" w:hAnsi="Arial"/>
          <w:sz w:val="17"/>
          <w:szCs w:val="17"/>
          <w:color w:val="auto"/>
        </w:rPr>
        <w:t>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 Statements of Operations, as all stock option awards granted under the plans had an exercise price equal to or greater than the market value of the common stock on the date of grant. The Company has no awards with market or performance conditions.</w:t>
      </w:r>
    </w:p>
    <w:p>
      <w:pPr>
        <w:spacing w:after="0" w:line="171" w:lineRule="exact"/>
        <w:rPr>
          <w:sz w:val="20"/>
          <w:szCs w:val="20"/>
          <w:color w:val="auto"/>
        </w:rPr>
      </w:pPr>
    </w:p>
    <w:p>
      <w:pPr>
        <w:ind w:right="240" w:firstLine="259"/>
        <w:spacing w:after="0" w:line="272" w:lineRule="auto"/>
        <w:rPr>
          <w:sz w:val="20"/>
          <w:szCs w:val="20"/>
          <w:color w:val="auto"/>
        </w:rPr>
      </w:pPr>
      <w:r>
        <w:rPr>
          <w:rFonts w:ascii="Arial" w:cs="Arial" w:eastAsia="Arial" w:hAnsi="Arial"/>
          <w:sz w:val="17"/>
          <w:szCs w:val="17"/>
          <w:color w:val="auto"/>
        </w:rPr>
        <w:t>The Company adopted SFAS 123R using the modified prospective transition method. Under this transition method, compensation expense recognized during the three months ended March 31, 2006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 restated to reflect the impact of SFAS 123R. The Company adopted SFAS 123R as of January 1, 2006 and had $0.9 million related to non-vested equity awards that was expensed during the quarter ended March 31, 2006.</w:t>
      </w:r>
    </w:p>
    <w:p>
      <w:pPr>
        <w:spacing w:after="0" w:line="178" w:lineRule="exact"/>
        <w:rPr>
          <w:sz w:val="20"/>
          <w:szCs w:val="20"/>
          <w:color w:val="auto"/>
        </w:rPr>
      </w:pPr>
    </w:p>
    <w:p>
      <w:pPr>
        <w:ind w:right="140" w:firstLine="259"/>
        <w:spacing w:after="0" w:line="308" w:lineRule="auto"/>
        <w:rPr>
          <w:sz w:val="20"/>
          <w:szCs w:val="20"/>
          <w:color w:val="auto"/>
        </w:rPr>
      </w:pPr>
      <w:r>
        <w:rPr>
          <w:rFonts w:ascii="Arial" w:cs="Arial" w:eastAsia="Arial" w:hAnsi="Arial"/>
          <w:sz w:val="17"/>
          <w:szCs w:val="17"/>
          <w:color w:val="auto"/>
        </w:rPr>
        <w:t>The Company had the following three stock option plans under which shares were available for grant at March 31, 2006: the 1999 Equity Incentive Plan (the “1999 Plan”), the 2000 Non-Statutory Stock Option Plan (the “2000 Plan”) and the 2005 Equity Incentive Plan (the “2005 Plan”).</w:t>
      </w:r>
    </w:p>
    <w:p>
      <w:pPr>
        <w:spacing w:after="0" w:line="147" w:lineRule="exact"/>
        <w:rPr>
          <w:sz w:val="20"/>
          <w:szCs w:val="20"/>
          <w:color w:val="auto"/>
        </w:rPr>
      </w:pPr>
    </w:p>
    <w:p>
      <w:pPr>
        <w:ind w:right="120" w:firstLine="259"/>
        <w:spacing w:after="0" w:line="276" w:lineRule="auto"/>
        <w:rPr>
          <w:sz w:val="20"/>
          <w:szCs w:val="20"/>
          <w:color w:val="auto"/>
        </w:rPr>
      </w:pPr>
      <w:r>
        <w:rPr>
          <w:rFonts w:ascii="Arial" w:cs="Arial" w:eastAsia="Arial" w:hAnsi="Arial"/>
          <w:sz w:val="17"/>
          <w:szCs w:val="17"/>
          <w:color w:val="auto"/>
        </w:rPr>
        <w:t>The 1999 Plan permits the granting of incentive stock options or non-statutory stock options which are exercisable for up to ten years after the grant date. The 2000 Plan permits the granting of non-statutory stock options, which are exercisable for a period following the date of grant as determined by the Board of Directors (generally ten years). The 2005 Plan permits the granting of incentive stock options, non-statutory stock options and other types of grants or awards, which are exercisable for up to ten years after the grant date. A cumulative total of 15.9 million, 6.5 million and 3.5 million of common stock have been authorized for issuance under the 1999 Plan, 2000 Plan and 2005 Plan, respectively.</w:t>
      </w:r>
    </w:p>
    <w:p>
      <w:pPr>
        <w:spacing w:after="0" w:line="173"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In 2005, the Company accelerated options to avoid recognition of future compensation expense that the Company would have otherwise recognized in its Consolidated Statement of Operations with respect to these options upon the adoption of SFAS 123R. The future expense that was eliminated as a result of the acceleration of vesting of these options was approximately $18.4 million. At the end of December 2005, vesting was accelerated for all options which had an exercise price per share equal to or greater than $6.50. In addition, in December 2005, the Company repriced options to eliminate future expense for those options with an exercise price per share greater than 120% of the closing market price of the Company’s common stock on December 29, 2005.</w:t>
      </w:r>
    </w:p>
    <w:p>
      <w:pPr>
        <w:spacing w:after="0" w:line="158"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 option-pricing model with the assumptions included in the table below. The Company uses historical and intrinsic data, among other factors, to estimate the expected price volatility, the expected option life and the expected forfeiture rate. The risk-free interest rate is based on the U.S. Treasury yield curve in effect at the time of grant for the estimated life of the option. The weighted-average estimated fair value of employee stock options granted during the three months ended March 31, 2006 was $2.71 per share using the Black-Scholes option-pricing model with the following weighted-average assumptions used for valuation of options under SFAS 123 and SFAS 123R granted during the period (annualized percentages):</w:t>
      </w:r>
    </w:p>
    <w:p>
      <w:pPr>
        <w:spacing w:after="0" w:line="157"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3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CCEEFF"/>
            </w:tcBorders>
          </w:tcPr>
          <w:p>
            <w:pPr>
              <w:spacing w:after="0"/>
              <w:rPr>
                <w:sz w:val="12"/>
                <w:szCs w:val="12"/>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Expected-term (Hold Period):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 years</w:t>
            </w: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4.28 years</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 months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Forfeiture rate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was no forfeiture rate prior to the adoption of SFAS 123R as forfeitures were recognized as incurred.</w:t>
      </w:r>
    </w:p>
    <w:p>
      <w:pPr>
        <w:spacing w:after="0" w:line="225" w:lineRule="exact"/>
        <w:rPr>
          <w:sz w:val="20"/>
          <w:szCs w:val="20"/>
          <w:color w:val="auto"/>
        </w:rPr>
      </w:pPr>
    </w:p>
    <w:p>
      <w:pPr>
        <w:ind w:right="480" w:firstLine="259"/>
        <w:spacing w:after="0" w:line="277" w:lineRule="auto"/>
        <w:rPr>
          <w:sz w:val="20"/>
          <w:szCs w:val="20"/>
          <w:color w:val="auto"/>
        </w:rPr>
      </w:pPr>
      <w:r>
        <w:rPr>
          <w:rFonts w:ascii="Arial" w:cs="Arial" w:eastAsia="Arial" w:hAnsi="Arial"/>
          <w:sz w:val="18"/>
          <w:szCs w:val="18"/>
          <w:color w:val="auto"/>
        </w:rPr>
        <w:t>The table below shows the amounts recognized in the financial statements for the three months ended March 31, 2006 for share-based compensation related to employees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w:t>
            </w:r>
          </w:p>
        </w:tc>
        <w:tc>
          <w:tcPr>
            <w:tcW w:w="328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328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March 31,</w:t>
            </w:r>
          </w:p>
        </w:tc>
        <w:tc>
          <w:tcPr>
            <w:tcW w:w="3280" w:type="dxa"/>
            <w:vAlign w:val="bottom"/>
          </w:tcPr>
          <w:p>
            <w:pPr>
              <w:spacing w:after="0"/>
              <w:rPr>
                <w:sz w:val="12"/>
                <w:szCs w:val="12"/>
                <w:color w:val="auto"/>
              </w:rPr>
            </w:pPr>
          </w:p>
        </w:tc>
      </w:tr>
      <w:tr>
        <w:trPr>
          <w:trHeight w:val="171"/>
        </w:trPr>
        <w:tc>
          <w:tcPr>
            <w:tcW w:w="130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Borders>
              <w:bottom w:val="single" w:sz="8" w:color="CCEEFF"/>
            </w:tcBorders>
          </w:tcPr>
          <w:p>
            <w:pPr>
              <w:spacing w:after="0"/>
              <w:rPr>
                <w:sz w:val="14"/>
                <w:szCs w:val="14"/>
                <w:color w:val="auto"/>
              </w:rPr>
            </w:pPr>
          </w:p>
        </w:tc>
        <w:tc>
          <w:tcPr>
            <w:tcW w:w="328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3280" w:type="dxa"/>
            <w:vAlign w:val="bottom"/>
          </w:tcPr>
          <w:p>
            <w:pPr>
              <w:spacing w:after="0"/>
              <w:rPr>
                <w:sz w:val="18"/>
                <w:szCs w:val="18"/>
                <w:color w:val="auto"/>
              </w:rPr>
            </w:pPr>
          </w:p>
        </w:tc>
      </w:tr>
      <w:tr>
        <w:trPr>
          <w:trHeight w:val="182"/>
        </w:trPr>
        <w:tc>
          <w:tcPr>
            <w:tcW w:w="1300" w:type="dxa"/>
            <w:vAlign w:val="bottom"/>
          </w:tcPr>
          <w:p>
            <w:pPr>
              <w:spacing w:after="0"/>
              <w:rPr>
                <w:sz w:val="15"/>
                <w:szCs w:val="15"/>
                <w:color w:val="auto"/>
              </w:rPr>
            </w:pPr>
          </w:p>
        </w:tc>
        <w:tc>
          <w:tcPr>
            <w:tcW w:w="50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7"/>
              </w:rPr>
              <w:t>Total cost of employee share-based compensation Included in</w:t>
            </w: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80" w:type="dxa"/>
            <w:vAlign w:val="bottom"/>
          </w:tcPr>
          <w:p>
            <w:pPr>
              <w:spacing w:after="0"/>
              <w:rPr>
                <w:sz w:val="15"/>
                <w:szCs w:val="15"/>
                <w:color w:val="auto"/>
              </w:rPr>
            </w:pPr>
          </w:p>
        </w:tc>
      </w:tr>
      <w:tr>
        <w:trPr>
          <w:trHeight w:val="230"/>
        </w:trPr>
        <w:tc>
          <w:tcPr>
            <w:tcW w:w="1300" w:type="dxa"/>
            <w:vAlign w:val="bottom"/>
          </w:tcPr>
          <w:p>
            <w:pPr>
              <w:spacing w:after="0"/>
              <w:rPr>
                <w:sz w:val="20"/>
                <w:szCs w:val="20"/>
                <w:color w:val="auto"/>
              </w:rPr>
            </w:pPr>
          </w:p>
        </w:tc>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before income tax</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3280" w:type="dxa"/>
            <w:vAlign w:val="bottom"/>
          </w:tcPr>
          <w:p>
            <w:pPr>
              <w:spacing w:after="0"/>
              <w:rPr>
                <w:sz w:val="20"/>
                <w:szCs w:val="20"/>
                <w:color w:val="auto"/>
              </w:rPr>
            </w:pPr>
          </w:p>
        </w:tc>
      </w:tr>
      <w:tr>
        <w:trPr>
          <w:trHeight w:val="216"/>
        </w:trPr>
        <w:tc>
          <w:tcPr>
            <w:tcW w:w="13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Amount of income tax recognized in earnings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3280" w:type="dxa"/>
            <w:vAlign w:val="bottom"/>
          </w:tcPr>
          <w:p>
            <w:pPr>
              <w:spacing w:after="0"/>
              <w:rPr>
                <w:sz w:val="18"/>
                <w:szCs w:val="18"/>
                <w:color w:val="auto"/>
              </w:rPr>
            </w:pPr>
          </w:p>
        </w:tc>
      </w:tr>
      <w:tr>
        <w:trPr>
          <w:trHeight w:val="217"/>
        </w:trPr>
        <w:tc>
          <w:tcPr>
            <w:tcW w:w="1300" w:type="dxa"/>
            <w:vAlign w:val="bottom"/>
          </w:tcPr>
          <w:p>
            <w:pPr>
              <w:spacing w:after="0"/>
              <w:rPr>
                <w:sz w:val="18"/>
                <w:szCs w:val="18"/>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charged against income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Impact on net income per common share: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3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328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5020" w:type="dxa"/>
            <w:vAlign w:val="bottom"/>
          </w:tcPr>
          <w:p>
            <w:pPr>
              <w:ind w:left="432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18"/>
        </w:trPr>
        <w:tc>
          <w:tcPr>
            <w:tcW w:w="1300" w:type="dxa"/>
            <w:vAlign w:val="bottom"/>
            <w:tcBorders>
              <w:bottom w:val="single" w:sz="8" w:color="808080"/>
            </w:tcBorders>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 summary of the status of the Company’s stock option plan as of March 31, 2006 and of changes in options outstanding under the plan during the three months ended March 31, 2006 is as follows:</w:t>
      </w:r>
    </w:p>
    <w:p>
      <w:pPr>
        <w:spacing w:after="0" w:line="150" w:lineRule="exact"/>
        <w:rPr>
          <w:sz w:val="20"/>
          <w:szCs w:val="20"/>
          <w:color w:val="auto"/>
        </w:rPr>
      </w:pPr>
    </w:p>
    <w:tbl>
      <w:tblPr>
        <w:tblLayout w:type="fixed"/>
        <w:tblInd w:w="4580" w:type="dxa"/>
        <w:tblCellMar>
          <w:top w:w="0" w:type="dxa"/>
          <w:left w:w="0" w:type="dxa"/>
          <w:bottom w:w="0" w:type="dxa"/>
          <w:right w:w="0" w:type="dxa"/>
        </w:tblCellMar>
      </w:tblPr>
      <w:tr>
        <w:trPr>
          <w:trHeight w:val="161"/>
        </w:trPr>
        <w:tc>
          <w:tcPr>
            <w:tcW w:w="1020" w:type="dxa"/>
            <w:vAlign w:val="bottom"/>
          </w:tcPr>
          <w:p>
            <w:pPr>
              <w:jc w:val="center"/>
              <w:ind w:right="268"/>
              <w:spacing w:after="0"/>
              <w:rPr>
                <w:sz w:val="20"/>
                <w:szCs w:val="20"/>
                <w:color w:val="auto"/>
              </w:rPr>
            </w:pPr>
            <w:r>
              <w:rPr>
                <w:rFonts w:ascii="Arial" w:cs="Arial" w:eastAsia="Arial" w:hAnsi="Arial"/>
                <w:sz w:val="14"/>
                <w:szCs w:val="14"/>
                <w:b w:val="1"/>
                <w:bCs w:val="1"/>
                <w:color w:val="auto"/>
                <w:w w:val="97"/>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Aggregate</w:t>
            </w:r>
          </w:p>
        </w:tc>
      </w:tr>
      <w:tr>
        <w:trPr>
          <w:trHeight w:val="149"/>
        </w:trPr>
        <w:tc>
          <w:tcPr>
            <w:tcW w:w="102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85"/>
              </w:rPr>
              <w:t>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Intrinsic Value</w:t>
            </w:r>
          </w:p>
        </w:tc>
      </w:tr>
      <w:tr>
        <w:trPr>
          <w:trHeight w:val="149"/>
        </w:trPr>
        <w:tc>
          <w:tcPr>
            <w:tcW w:w="10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spacing w:after="0"/>
              <w:rPr>
                <w:sz w:val="12"/>
                <w:szCs w:val="12"/>
                <w:color w:val="auto"/>
              </w:rPr>
            </w:pPr>
          </w:p>
        </w:tc>
      </w:tr>
      <w:tr>
        <w:trPr>
          <w:trHeight w:val="186"/>
        </w:trPr>
        <w:tc>
          <w:tcPr>
            <w:tcW w:w="10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c>
          <w:tcPr>
            <w:tcW w:w="1280" w:type="dxa"/>
            <w:vAlign w:val="bottom"/>
          </w:tcPr>
          <w:p>
            <w:pPr>
              <w:spacing w:after="0"/>
              <w:rPr>
                <w:sz w:val="16"/>
                <w:szCs w:val="16"/>
                <w:color w:val="auto"/>
              </w:rPr>
            </w:pPr>
          </w:p>
        </w:tc>
      </w:tr>
    </w:tbl>
    <w:p>
      <w:pPr>
        <w:sectPr>
          <w:pgSz w:w="11900" w:h="16838" w:orient="portrait"/>
          <w:cols w:equalWidth="0" w:num="1">
            <w:col w:w="11440"/>
          </w:cols>
          <w:pgMar w:left="240" w:top="584" w:right="2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Term (in</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13,192,578</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450,511</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5.22</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(143,911)</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Options forfeited or expired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(709,964)</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2006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12,789,214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5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w:t>
            </w:r>
          </w:p>
        </w:tc>
        <w:tc>
          <w:tcPr>
            <w:tcW w:w="34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359,394.15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at March 31, 2006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9,331,813</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359,394.15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As of March 31, 2006, there was $8.9 million of unamortized compensation cost related to non-vested stock option awards, which is expected to be recognized over a remaining weighted-average vesting period of 3.1 years.</w:t>
      </w:r>
    </w:p>
    <w:p>
      <w:pPr>
        <w:spacing w:after="0" w:line="170"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For purposes of pro forma disclosures under SFAS 123 for the three months ended March 31, 2005, the estimated fair value of share-based awards was assumed to be amortized to expense over the vesting period of the award. There is no pro forma presentation for the three months ended March 31, 2006 as the Company adopted SFAS 123R as of January 1, 2006, as discussed above. The pro forma effects of recognizing estimated compensation expense under the fair value method on net income and earnings per common share were as follows (in millions, except per share data):</w:t>
      </w:r>
    </w:p>
    <w:p>
      <w:pPr>
        <w:sectPr>
          <w:pgSz w:w="11900" w:h="16838" w:orient="portrait"/>
          <w:cols w:equalWidth="0" w:num="1">
            <w:col w:w="11380"/>
          </w:cols>
          <w:pgMar w:left="240" w:top="104" w:right="279"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4286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Actual stock-based compensation expense included in net earnings</w:t>
      </w:r>
    </w:p>
    <w:p>
      <w:pPr>
        <w:spacing w:after="0" w:line="23" w:lineRule="exact"/>
        <w:rPr>
          <w:sz w:val="20"/>
          <w:szCs w:val="20"/>
          <w:color w:val="auto"/>
        </w:rPr>
      </w:pPr>
    </w:p>
    <w:p>
      <w:pPr>
        <w:ind w:left="840" w:hanging="179"/>
        <w:spacing w:after="0" w:line="250" w:lineRule="auto"/>
        <w:rPr>
          <w:sz w:val="20"/>
          <w:szCs w:val="20"/>
          <w:color w:val="auto"/>
        </w:rPr>
      </w:pPr>
      <w:r>
        <w:rPr>
          <w:rFonts w:ascii="Arial" w:cs="Arial" w:eastAsia="Arial" w:hAnsi="Arial"/>
          <w:sz w:val="18"/>
          <w:szCs w:val="18"/>
          <w:color w:val="auto"/>
        </w:rPr>
        <w:t>Total stock-based employee compensation expense determined under fair value based method for all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542861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22860</wp:posOffset>
            </wp:positionV>
            <wp:extent cx="54286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common share:</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Basic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4286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Basic – pro forma</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Diluted –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4286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Diluted – pro forma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4286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Basic – as reported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Basic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4286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Diluted – as reported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Diluted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4286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Accrual for Unused Office Space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43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217"/>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634"/>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4"/>
                <w:szCs w:val="24"/>
                <w:color w:val="auto"/>
              </w:rPr>
            </w:pPr>
          </w:p>
        </w:tc>
      </w:tr>
      <w:tr>
        <w:trPr>
          <w:trHeight w:val="216"/>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18"/>
                <w:szCs w:val="18"/>
                <w:color w:val="auto"/>
              </w:rPr>
            </w:pPr>
          </w:p>
        </w:tc>
      </w:tr>
      <w:tr>
        <w:trPr>
          <w:trHeight w:val="216"/>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18"/>
                <w:szCs w:val="18"/>
                <w:color w:val="auto"/>
              </w:rPr>
            </w:pPr>
          </w:p>
        </w:tc>
      </w:tr>
      <w:tr>
        <w:trPr>
          <w:trHeight w:val="230"/>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40" w:type="dxa"/>
            <w:vAlign w:val="bottom"/>
          </w:tcPr>
          <w:p>
            <w:pPr>
              <w:spacing w:after="0"/>
              <w:rPr>
                <w:sz w:val="20"/>
                <w:szCs w:val="20"/>
                <w:color w:val="auto"/>
              </w:rPr>
            </w:pPr>
          </w:p>
        </w:tc>
      </w:tr>
    </w:tbl>
    <w:p>
      <w:pPr>
        <w:ind w:left="1700"/>
        <w:spacing w:after="0"/>
        <w:rPr>
          <w:sz w:val="20"/>
          <w:szCs w:val="20"/>
          <w:color w:val="auto"/>
        </w:rPr>
      </w:pPr>
      <w:r>
        <w:rPr>
          <w:rFonts w:ascii="Arial" w:cs="Arial" w:eastAsia="Arial" w:hAnsi="Arial"/>
          <w:sz w:val="18"/>
          <w:szCs w:val="18"/>
          <w:color w:val="auto"/>
        </w:rPr>
        <w:t>75.9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75.9</w:t>
      </w:r>
    </w:p>
    <w:p>
      <w:pPr>
        <w:spacing w:after="0" w:line="617" w:lineRule="exact"/>
        <w:rPr>
          <w:sz w:val="20"/>
          <w:szCs w:val="20"/>
          <w:color w:val="auto"/>
        </w:rPr>
      </w:pPr>
    </w:p>
    <w:p>
      <w:pPr>
        <w:sectPr>
          <w:pgSz w:w="11900" w:h="16838" w:orient="portrait"/>
          <w:cols w:equalWidth="0" w:num="2">
            <w:col w:w="6380" w:space="640"/>
            <w:col w:w="4360"/>
          </w:cols>
          <w:pgMar w:left="240" w:top="104" w:right="279" w:bottom="104" w:gutter="0" w:footer="0" w:header="0"/>
          <w:type w:val="continuous"/>
        </w:sectPr>
      </w:pPr>
    </w:p>
    <w:p>
      <w:pPr>
        <w:spacing w:after="0" w:line="25" w:lineRule="exact"/>
        <w:rPr>
          <w:sz w:val="20"/>
          <w:szCs w:val="20"/>
          <w:color w:val="auto"/>
        </w:rPr>
      </w:pPr>
    </w:p>
    <w:p>
      <w:pPr>
        <w:jc w:val="both"/>
        <w:ind w:right="120" w:firstLine="259"/>
        <w:spacing w:after="0" w:line="312" w:lineRule="auto"/>
        <w:rPr>
          <w:sz w:val="20"/>
          <w:szCs w:val="20"/>
          <w:color w:val="auto"/>
        </w:rPr>
      </w:pPr>
      <w:r>
        <w:rPr>
          <w:rFonts w:ascii="Arial" w:cs="Arial" w:eastAsia="Arial" w:hAnsi="Arial"/>
          <w:sz w:val="16"/>
          <w:szCs w:val="16"/>
          <w:color w:val="auto"/>
        </w:rPr>
        <w:t>As a result of the Company’s operating results and the economic environment in the telecommunications industry, during 2002, the Company recorded a charge for unused office space. The accrual for loss on unused office space as of December 31, 2005 and March 31, 2006 was $1.7 million and $1.5 million, respectively. The Company estimates that the remaining accrual will be utilized through 2010, the term of the Company’s lease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Tax Contingencies</w:t>
      </w:r>
    </w:p>
    <w:p>
      <w:pPr>
        <w:spacing w:after="0" w:line="225"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The Company assesses tax uncertainties and exposure items after taking into consideration the probability of the tax contingencies being incurred. Accordingly, based upon the Company’s assessment of the probability of these tax contingencies,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it was determined that accruals of $0.8 million and $0.8 million were accrued for VAT tax contingencies and $1.0 million and $0.9 million were required for sales and use tax contingencies as of December 31, 2005 and March 31, 2006, respectively, related to contingencies for fiscal years 1998 through 2005 and through quarter ending March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Use of Estimates</w:t>
      </w:r>
    </w:p>
    <w:p>
      <w:pPr>
        <w:spacing w:after="0" w:line="225"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Reclassifications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The accompanying statements of cash flows separately reflect the operating and investing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ectPr>
          <w:pgSz w:w="11900" w:h="16838" w:orient="portrait"/>
          <w:cols w:equalWidth="0" w:num="1">
            <w:col w:w="11380"/>
          </w:cols>
          <w:pgMar w:left="240" w:top="104" w:right="279" w:bottom="104" w:gutter="0" w:footer="0" w:header="0"/>
          <w:type w:val="continuous"/>
        </w:sectPr>
      </w:pPr>
    </w:p>
    <w:bookmarkStart w:id="9" w:name="page10"/>
    <w:bookmarkEnd w:id="9"/>
    <w:p>
      <w:pPr>
        <w:ind w:right="80" w:firstLine="259"/>
        <w:spacing w:after="0" w:line="293"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follow either the transition guidance for the additional-paid-in-capital pool as prescribed in SFAS No. 123R, “Share-Based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 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16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In November 2005, the FASB issued FSP FAS115-1/124-1, “The Meaning of Other-Than-Temporary Impairment and Its Application to Certain Investments,”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We adopted this FSP during the three months ended March 31, 2006 and it did not have a material impact on our financial statements.</w:t>
      </w:r>
    </w:p>
    <w:p>
      <w:pPr>
        <w:spacing w:after="0" w:line="167"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w:t>
      </w:r>
    </w:p>
    <w:p>
      <w:pPr>
        <w:spacing w:after="0" w:line="169"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 for fiscal years beginning after September 15, 2006. This statement does not have a material impact on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Common Share</w:t>
      </w:r>
    </w:p>
    <w:p>
      <w:pPr>
        <w:spacing w:after="0" w:line="229" w:lineRule="exact"/>
        <w:rPr>
          <w:sz w:val="20"/>
          <w:szCs w:val="20"/>
          <w:color w:val="auto"/>
        </w:rPr>
      </w:pPr>
    </w:p>
    <w:p>
      <w:pPr>
        <w:ind w:right="120" w:firstLine="259"/>
        <w:spacing w:after="0" w:line="293" w:lineRule="auto"/>
        <w:rPr>
          <w:sz w:val="20"/>
          <w:szCs w:val="20"/>
          <w:color w:val="auto"/>
        </w:rPr>
      </w:pPr>
      <w:r>
        <w:rPr>
          <w:rFonts w:ascii="Arial" w:cs="Arial" w:eastAsia="Arial" w:hAnsi="Arial"/>
          <w:sz w:val="16"/>
          <w:szCs w:val="16"/>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2005.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For the Three</w:t>
      </w:r>
    </w:p>
    <w:p>
      <w:pPr>
        <w:ind w:left="8680"/>
        <w:spacing w:after="0" w:line="226" w:lineRule="auto"/>
        <w:rPr>
          <w:sz w:val="20"/>
          <w:szCs w:val="20"/>
          <w:color w:val="auto"/>
        </w:rPr>
      </w:pPr>
      <w:r>
        <w:rPr>
          <w:rFonts w:ascii="Arial" w:cs="Arial" w:eastAsia="Arial" w:hAnsi="Arial"/>
          <w:sz w:val="14"/>
          <w:szCs w:val="14"/>
          <w:b w:val="1"/>
          <w:bCs w:val="1"/>
          <w:color w:val="auto"/>
        </w:rPr>
        <w:t>Months Ended</w:t>
      </w:r>
    </w:p>
    <w:p>
      <w:pPr>
        <w:ind w:left="8940"/>
        <w:spacing w:after="0" w:line="232" w:lineRule="auto"/>
        <w:rPr>
          <w:sz w:val="20"/>
          <w:szCs w:val="20"/>
          <w:color w:val="auto"/>
        </w:rPr>
      </w:pPr>
      <w:r>
        <w:rPr>
          <w:rFonts w:ascii="Arial" w:cs="Arial" w:eastAsia="Arial" w:hAnsi="Arial"/>
          <w:sz w:val="14"/>
          <w:szCs w:val="14"/>
          <w:b w:val="1"/>
          <w:bCs w:val="1"/>
          <w:color w:val="auto"/>
        </w:rPr>
        <w:t>March</w:t>
      </w:r>
    </w:p>
    <w:tbl>
      <w:tblPr>
        <w:tblLayout w:type="fixed"/>
        <w:tblInd w:w="340" w:type="dxa"/>
        <w:tblCellMar>
          <w:top w:w="0" w:type="dxa"/>
          <w:left w:w="0" w:type="dxa"/>
          <w:bottom w:w="0" w:type="dxa"/>
          <w:right w:w="0" w:type="dxa"/>
        </w:tblCellMar>
      </w:tblPr>
      <w:tr>
        <w:trPr>
          <w:trHeight w:val="142"/>
        </w:trPr>
        <w:tc>
          <w:tcPr>
            <w:tcW w:w="64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6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basic per share amounts: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Dilutive weighted average shares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18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84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Anti-dilutive weighted shares from stock options excluded from calculation</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Average per share market value of common stock</w:t>
            </w:r>
          </w:p>
        </w:tc>
        <w:tc>
          <w:tcPr>
            <w:tcW w:w="18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 stock option price per share</w:t>
            </w:r>
          </w:p>
        </w:tc>
        <w:tc>
          <w:tcPr>
            <w:tcW w:w="1840" w:type="dxa"/>
            <w:vAlign w:val="bottom"/>
            <w:gridSpan w:val="2"/>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Significant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Discontinued Operations - Scandinavia</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second quarter of 2004, the Company made the decision to sell or otherwise divest its Network Management business in Scandinavia, which had previously been reported in its Wireless Network Services segment. WFI determined that this entity met the criteria to classify it as held for sale. Accordingly, WFI has reflected this operation as discontinued in accordance with SFAS No. 144, “Accounting for the Impairment or Disposal of Long-Lived Assets.” After actively marketing to sell this business for one quarter, the Company made the decision to wind-down this operation in the third quarter of 2004.</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2005 and March 31, 2006, there were zero assets of discontinued operations and $0.1 million and $0.05 million of liabilities of discontinued operations for December 31, 2005 and March 31, 2006, respectively.</w:t>
      </w:r>
    </w:p>
    <w:p>
      <w:pPr>
        <w:sectPr>
          <w:pgSz w:w="11900" w:h="16838" w:orient="portrait"/>
          <w:cols w:equalWidth="0" w:num="1">
            <w:col w:w="11420"/>
          </w:cols>
          <w:pgMar w:left="240" w:top="125" w:right="239" w:bottom="0" w:gutter="0" w:footer="0" w:header="0"/>
        </w:sectPr>
      </w:pPr>
    </w:p>
    <w:bookmarkStart w:id="10" w:name="page11"/>
    <w:bookmarkEnd w:id="10"/>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Discontinued Operations – Latin American Operations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December 2005, the Company’s Board of Directors made the decision to exit the Company’s Mexican operations and certain of its other deployment businesses in South America. Prior to this decision, these operations had been reported in its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South American operations were substantially shut down as of the end of December 2005.</w:t>
      </w:r>
    </w:p>
    <w:p>
      <w:pPr>
        <w:spacing w:after="0" w:line="188"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On February 17, 2006, the Company entered into an Equity Purchase Agreement to sell all of the stock of its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 Refer to Note 10 Related Party Transactions for further discussion of the purchaser, Sakoki, LLC.</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Equity Purchase Agreement provides that the Company will receive total approximate cash consideration of $18 million, subject to adjustment, with $1.5 million payable in cash on signing of the equity Purchase Agreement and $16.5 payable by means of a secured promissory note payable in installments through December 31, 2006, subject to adjustments. The note is secured by pledges of assets and a personal guaranty. The total consideration approximates the net book value of operations, including $13.2 million of contingent liabilities.</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closing balance sheet as of February 17, 2006 resulted in net asset adjustments aggregating to a total approximate $19.0 million consideration, $1.5 million which was paid on February 17, 2006, with the remaining $17.5 million payable by means of the promissory note in installments through December 31, 2006 with an interest rate of 7.5% per annum. The note receivable is reflected on the Company’s Consolidated Balance Sheet as of March 31, 2006. In April 2006, the Company presented the final net asset computation to the buyer, Sakoki, LLC, and the buyer is still in the review process of the computation, as provided in the Equity Purchase Agreement. The Company expects that the parties will reach final resolution of the net asset computation in the second quarter of 2006.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impact of the divestiture has been reflected in the consolidated balance sheets as of March 31, 2006. There was no gain or loss realized on the sale since the business was sold at its net carrying value.</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the quarter ended March 31, 2006, these operations had revenues of $5.9 million and net income of $0.2 million through the effective date of February 17, 2006. Included in the income from discontinued operations for the quarter ended March 31, 2006 is a pre-tax gain of approximately $0.1 million of accumulated foreign currency translation gain written off in the first quarter of 2006 in accordance with EITF Issue 01-05 “Application of FASB Statement No. 52 to an Investment Being Evaluated for Impairment that will be Disposed Of” (EITF 01-05).</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components of the current and non-current assets and liabilities for the Latin American operations are included in the accompanying balance sheet as discontinued operations as of December 31, 2005 and March 31, 2006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12/31/05</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3/31/06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Restricted cash</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Prepaid expenses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current assets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assets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Accrued expenses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contingencies</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Billings in excess of cost</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3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vMerge w:val="continue"/>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3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restricted cash of $0.6 million, is a one-year fixed account at zero interest as a result of a 2005 regulation in Argentina which requires the maintenance of cash balances as a percentage of foreign loans advanced by the Company to its foreign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Tactical Survey Group, Inc. (“TSG”)</w:t>
      </w:r>
    </w:p>
    <w:p>
      <w:pPr>
        <w:spacing w:after="0" w:line="225"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On February 23, 2004, the Company paid $1.0 million in cash to acquire an 11%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this investment is accounted for under the equity</w:t>
      </w:r>
    </w:p>
    <w:p>
      <w:pPr>
        <w:sectPr>
          <w:pgSz w:w="11900" w:h="16898" w:orient="portrait"/>
          <w:cols w:equalWidth="0" w:num="1">
            <w:col w:w="11420"/>
          </w:cols>
          <w:pgMar w:left="240" w:top="341" w:right="239" w:bottom="0" w:gutter="0" w:footer="0" w:header="0"/>
        </w:sectPr>
      </w:pPr>
    </w:p>
    <w:bookmarkStart w:id="11" w:name="page12"/>
    <w:bookmarkEnd w:id="11"/>
    <w:p>
      <w:pPr>
        <w:ind w:right="80"/>
        <w:spacing w:after="0" w:line="276" w:lineRule="auto"/>
        <w:rPr>
          <w:sz w:val="20"/>
          <w:szCs w:val="20"/>
          <w:color w:val="auto"/>
        </w:rPr>
      </w:pPr>
      <w:r>
        <w:rPr>
          <w:rFonts w:ascii="Arial" w:cs="Arial" w:eastAsia="Arial" w:hAnsi="Arial"/>
          <w:sz w:val="17"/>
          <w:szCs w:val="17"/>
          <w:color w:val="auto"/>
        </w:rPr>
        <w:t>method of accounting due to the presence of significant influence deemed to exist based on the significant number of contracts that the Company has entered into with TSG and the presence of a WFI employee on TSG’s board of directors. The equity in earnings from this investment is classified within Other income (expense) in the Company’s consolidated statements of operations. As of March 31, 2006, the Company has recorded zero equity earnings related to this investment. The balance of the Company’s investment in TSG at December 31, 2005 and March 31, 2006 totaled $1.2 million and has been classified on the consolidated balance sheet under the caption “Investments in unconsolidated affiliates.”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The Company has an investment in CommVerge Solutions, Inc., a privately-held wireless network planning and deployment company. The balance of the Company’s investment in CommVerge Solutions, Inc. at December 31, 2005 and March 31, 2006 totals $0.9 million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has been classified on the consolidated balance sheet under the caption “Investment in unconsolidated affiliates.” One of the Company’s directors is also a director of CommVerge Solutions,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TLA Associates</w:t>
      </w:r>
    </w:p>
    <w:p>
      <w:pPr>
        <w:spacing w:after="0" w:line="225"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On January 27, 2005, the Company acquired all of the issued and outstanding shares of capital stock of JMA Associates, Inc d/b/a TLA Associates (“TLA”) for $37.3 million in cash. TLA provides services including network engineering, network infrastructure support, information assurance, application development, and managed services, including network maintenance and monitoring, to government agencies. The acquisition was a continuation of the Company’s strategy to expand its government services business. The intangible assets consist of backlog of $1.3 million amortized over a 3 year period, customer relationships of $0.8 million amortized over a 10 year period and non-competion agreements executed by the sellers of TLA of $0.6 million amortized over a 3 year period.</w:t>
      </w:r>
    </w:p>
    <w:p>
      <w:pPr>
        <w:spacing w:after="0" w:line="193" w:lineRule="exact"/>
        <w:rPr>
          <w:sz w:val="20"/>
          <w:szCs w:val="20"/>
          <w:color w:val="auto"/>
        </w:rPr>
      </w:pPr>
    </w:p>
    <w:p>
      <w:pPr>
        <w:ind w:right="80" w:firstLine="247"/>
        <w:spacing w:after="0" w:line="277" w:lineRule="auto"/>
        <w:rPr>
          <w:sz w:val="20"/>
          <w:szCs w:val="20"/>
          <w:color w:val="auto"/>
        </w:rPr>
      </w:pPr>
      <w:r>
        <w:rPr>
          <w:rFonts w:ascii="Arial" w:cs="Arial" w:eastAsia="Arial" w:hAnsi="Arial"/>
          <w:sz w:val="18"/>
          <w:szCs w:val="18"/>
          <w:color w:val="auto"/>
        </w:rPr>
        <w:t>The following table summarizes the changes in the carrying amounts of goodwill and other indefinite and finite-life intangible assets for the three months ended March 31, 2006, are as follows (in millions):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Wireless</w:t>
            </w:r>
          </w:p>
        </w:tc>
        <w:tc>
          <w:tcPr>
            <w:tcW w:w="1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Enterprise</w:t>
            </w:r>
          </w:p>
        </w:tc>
        <w:tc>
          <w:tcPr>
            <w:tcW w:w="1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Government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Network</w:t>
            </w: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Network</w:t>
            </w:r>
          </w:p>
        </w:tc>
        <w:tc>
          <w:tcPr>
            <w:tcW w:w="1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Network</w:t>
            </w:r>
          </w:p>
        </w:tc>
        <w:tc>
          <w:tcPr>
            <w:tcW w:w="240" w:type="dxa"/>
            <w:vAlign w:val="bottom"/>
          </w:tcPr>
          <w:p>
            <w:pPr>
              <w:spacing w:after="0"/>
              <w:rPr>
                <w:sz w:val="12"/>
                <w:szCs w:val="12"/>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Accrual for contingent consideration</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intangibles,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2006</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goodwill and other intangibles,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Acquisition Consideration</w:t>
      </w:r>
    </w:p>
    <w:p>
      <w:pPr>
        <w:spacing w:after="0" w:line="229"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as of December 31, 2005 and March 31, 2006 is summarized in the table below.</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Suntech</w:t>
            </w:r>
          </w:p>
        </w:tc>
        <w:tc>
          <w:tcPr>
            <w:tcW w:w="600" w:type="dxa"/>
            <w:vAlign w:val="bottom"/>
          </w:tcPr>
          <w:p>
            <w:pPr>
              <w:ind w:left="280"/>
              <w:spacing w:after="0"/>
              <w:rPr>
                <w:sz w:val="20"/>
                <w:szCs w:val="20"/>
                <w:color w:val="auto"/>
              </w:rPr>
            </w:pPr>
            <w:r>
              <w:rPr>
                <w:rFonts w:ascii="Arial" w:cs="Arial" w:eastAsia="Arial" w:hAnsi="Arial"/>
                <w:sz w:val="14"/>
                <w:szCs w:val="14"/>
                <w:b w:val="1"/>
                <w:bCs w:val="1"/>
                <w:color w:val="auto"/>
                <w:w w:val="87"/>
              </w:rPr>
              <w:t>Enco</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320"/>
              <w:spacing w:after="0"/>
              <w:rPr>
                <w:sz w:val="20"/>
                <w:szCs w:val="20"/>
                <w:color w:val="auto"/>
              </w:rPr>
            </w:pPr>
            <w:r>
              <w:rPr>
                <w:rFonts w:ascii="Arial" w:cs="Arial" w:eastAsia="Arial" w:hAnsi="Arial"/>
                <w:sz w:val="14"/>
                <w:szCs w:val="14"/>
                <w:b w:val="1"/>
                <w:bCs w:val="1"/>
                <w:color w:val="auto"/>
                <w:w w:val="94"/>
              </w:rPr>
              <w:t>DSI</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 for contingent consideration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0.2</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600" w:type="dxa"/>
            <w:vAlign w:val="bottom"/>
          </w:tcPr>
          <w:p>
            <w:pPr>
              <w:spacing w:after="0"/>
              <w:rPr>
                <w:sz w:val="18"/>
                <w:szCs w:val="18"/>
                <w:color w:val="auto"/>
              </w:rPr>
            </w:pPr>
          </w:p>
        </w:tc>
        <w:tc>
          <w:tcPr>
            <w:tcW w:w="1020" w:type="dxa"/>
            <w:vAlign w:val="bottom"/>
            <w:gridSpan w:val="3"/>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Balance as of March 31, 2006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w:t>
            </w:r>
          </w:p>
        </w:tc>
        <w:tc>
          <w:tcPr>
            <w:tcW w:w="5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w:t>
      </w:r>
    </w:p>
    <w:p>
      <w:pPr>
        <w:spacing w:after="0" w:line="225"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During the quarter ended March 31, 2006, approximately $6.8 million was paid to certain shareholders of the companies acquired in ENS. This amount was accrued at December 31, 2005. The contingent acquisition accrual related to the Enterprise Network Services (“ENS”) acquisitions as of March 31, 2006 is $1.0 million. As of March 31, 2006, all earn-out performance periods have ended and there was no additional contingent consideration earned related to the ENS shareholders.</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2" w:name="page13"/>
    <w:bookmarkEnd w:id="12"/>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Systems, Incorporated</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connection with the Company’s acquisition of Defense Systems, Incorporated (“DSI”) in August 2004, additional consideration of up to $3.2 million can be earned by the former major stockholders of DSI over an 18 month period, based upon performance milestones related to certain specified contracts. As of March 31, 2006, approximately $2.8 million additional consideration has been earned related to the contract milestones achieved by DSI, of which $2.7 million has been paid and $0.1 million has been accrued as additional consideration based on the attainment of certain milestones as of March 31, 2006. The Company expects to pay this amount during the second quarter of 2006. As of March 31, 2006, the performance period has ended and no further contingent consideration can be earned.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Credit Agreement</w:t>
      </w:r>
    </w:p>
    <w:p>
      <w:pPr>
        <w:spacing w:after="0" w:line="229"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On March 16, 2005, the Company entered into a credit agreement with KeyBank National Association (“KeyBank”) to provide a $15.0 million senior credit facility. KeyBank is designated as the sole arranger and sole book manager. The facility has a 3-year term and can be expanded to a $60.0 million credit facility. The Company intends to use the facility for general corporate purposes and to fund future acquisitions. As of March 31, 2006, $7.0 million had been drawn to pay the contingent acquisition consideration payments due in the first quarter of 2006. Interest on amounts outstanding under the credit facility accrues at the applicable margin over LIBOR or KeyBank’s Prime Rate as determined by the credit agreement, 6.16% at the most recent borrowing date of April 18,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29"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The Company organized its business along service lines to include three reportable segments: Wireless Network Services, Enterprise Network Services and Government Network Services. Revenues and operating income generated by the Company’s reporting segments for the three months ended March 31, 2005 and 2006 are as follows (in millions).</w:t>
      </w:r>
    </w:p>
    <w:p>
      <w:pPr>
        <w:spacing w:after="0" w:line="17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Three months ended</w:t>
      </w:r>
    </w:p>
    <w:p>
      <w:pPr>
        <w:ind w:left="8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Wireless Network Services</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53.7</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1"/>
              </w:rPr>
              <w:t>51.0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Network Services</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17.1</w:t>
            </w: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Government Network Services</w:t>
            </w:r>
          </w:p>
        </w:tc>
        <w:tc>
          <w:tcPr>
            <w:tcW w:w="6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19.9</w:t>
            </w:r>
          </w:p>
        </w:tc>
        <w:tc>
          <w:tcPr>
            <w:tcW w:w="6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1"/>
              </w:rPr>
              <w:t>20.3</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Wireless Network Services</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Enterprise Network Services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Government Network Services</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income (loss)</w:t>
            </w: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9"/>
        </w:trPr>
        <w:tc>
          <w:tcPr>
            <w:tcW w:w="6940" w:type="dxa"/>
            <w:vAlign w:val="bottom"/>
            <w:gridSpan w:val="2"/>
          </w:tcPr>
          <w:p>
            <w:pPr>
              <w:spacing w:after="0"/>
              <w:rPr>
                <w:sz w:val="20"/>
                <w:szCs w:val="20"/>
                <w:color w:val="auto"/>
              </w:rPr>
            </w:pPr>
            <w:r>
              <w:rPr>
                <w:rFonts w:ascii="Arial" w:cs="Arial" w:eastAsia="Arial" w:hAnsi="Arial"/>
                <w:sz w:val="18"/>
                <w:szCs w:val="18"/>
                <w:color w:val="auto"/>
              </w:rPr>
              <w:t>Revenues derived by geographic region are as follows (in millions):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9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U.S.</w:t>
            </w: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81.2</w:t>
            </w:r>
          </w:p>
        </w:tc>
        <w:tc>
          <w:tcPr>
            <w:tcW w:w="680" w:type="dxa"/>
            <w:vAlign w:val="bottom"/>
          </w:tcPr>
          <w:p>
            <w:pPr>
              <w:jc w:val="right"/>
              <w:ind w:right="49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1"/>
              </w:rPr>
              <w:t>76.3</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EMEA</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had sales to one customer, which comprised $26.1 million (31.1%) of the Company’s total revenues for the quarter ended March 31, 2006.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sales to one customer, which comprised $21.6 million (23.8%) of the Company’s total revenues for the quarter ended March 31,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this customer are recorded in the wireless network services operating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ind w:right="40" w:firstLine="243"/>
        <w:spacing w:after="0" w:line="272" w:lineRule="auto"/>
        <w:rPr>
          <w:sz w:val="20"/>
          <w:szCs w:val="20"/>
          <w:color w:val="auto"/>
        </w:rPr>
      </w:pPr>
      <w:r>
        <w:rPr>
          <w:rFonts w:ascii="Arial" w:cs="Arial" w:eastAsia="Arial" w:hAnsi="Arial"/>
          <w:sz w:val="17"/>
          <w:szCs w:val="17"/>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 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4,000,000 shares of the Company’s Common Stock.</w:t>
      </w:r>
    </w:p>
    <w:p>
      <w:pPr>
        <w:spacing w:after="0" w:line="225"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Through March 31, 2006, the Company has received notices from the holders to convert an aggregate number of 64,517 shares of Series B Convertible Preferred Stock into an aggregate 6,451,700 shares of the Company’s Common Stock. On March 31, 2006, the total liquidated preference equaled $12.7 million.</w:t>
      </w:r>
    </w:p>
    <w:p>
      <w:pPr>
        <w:sectPr>
          <w:pgSz w:w="11900" w:h="16850" w:orient="portrait"/>
          <w:cols w:equalWidth="0" w:num="1">
            <w:col w:w="11400"/>
          </w:cols>
          <w:pgMar w:left="240" w:top="584" w:right="259" w:bottom="0" w:gutter="0" w:footer="0" w:header="0"/>
        </w:sectPr>
      </w:pPr>
    </w:p>
    <w:bookmarkStart w:id="13" w:name="page14"/>
    <w:bookmarkEnd w:id="13"/>
    <w:p>
      <w:pPr>
        <w:spacing w:after="0" w:line="13"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In 2003, in connection with two companies that the Company acquired in its ENS segment, the Company assumed certain facility lease obligations relating to facilities owned by the previous shareholders. The lease expense, which approximates $0.1 million for the quarters ended March 31, 2005 and 2006, is reflected in the statement of operations.</w:t>
      </w:r>
    </w:p>
    <w:p>
      <w:pPr>
        <w:spacing w:after="0" w:line="181" w:lineRule="exact"/>
        <w:rPr>
          <w:sz w:val="20"/>
          <w:szCs w:val="20"/>
          <w:color w:val="auto"/>
        </w:rPr>
      </w:pPr>
    </w:p>
    <w:p>
      <w:pPr>
        <w:jc w:val="both"/>
        <w:ind w:right="40" w:firstLine="259"/>
        <w:spacing w:after="0" w:line="342" w:lineRule="auto"/>
        <w:rPr>
          <w:sz w:val="20"/>
          <w:szCs w:val="20"/>
          <w:color w:val="auto"/>
        </w:rPr>
      </w:pPr>
      <w:r>
        <w:rPr>
          <w:rFonts w:ascii="Arial" w:cs="Arial" w:eastAsia="Arial" w:hAnsi="Arial"/>
          <w:sz w:val="16"/>
          <w:szCs w:val="16"/>
          <w:color w:val="auto"/>
        </w:rPr>
        <w:t>In connection with the Company’s acquisition of TLA in January 2005, the Company assumed certain facility lease obligations relating to facilities by the previous shareholders. The lease expense, which approximates $0.1 million for the quarter ended March 31, 2006, is reflected in the statement of operations.</w:t>
      </w:r>
    </w:p>
    <w:p>
      <w:pPr>
        <w:spacing w:after="0" w:line="124" w:lineRule="exact"/>
        <w:rPr>
          <w:sz w:val="20"/>
          <w:szCs w:val="20"/>
          <w:color w:val="auto"/>
        </w:rPr>
      </w:pPr>
    </w:p>
    <w:p>
      <w:pPr>
        <w:ind w:right="80" w:firstLine="259"/>
        <w:spacing w:after="0" w:line="270" w:lineRule="auto"/>
        <w:rPr>
          <w:sz w:val="20"/>
          <w:szCs w:val="20"/>
          <w:color w:val="auto"/>
        </w:rPr>
      </w:pPr>
      <w:r>
        <w:rPr>
          <w:rFonts w:ascii="Arial" w:cs="Arial" w:eastAsia="Arial" w:hAnsi="Arial"/>
          <w:sz w:val="17"/>
          <w:szCs w:val="17"/>
          <w:color w:val="auto"/>
        </w:rPr>
        <w:t>On March 28, 2005, the Company entered into Change in Control Agreements with the following employees: Deanna Lund, the Company’s Senior Vice President and Chief Financial Officer and James R. Edwards, the Company’s Senior Vice President and General Counsel. The Agreements provide that, among other things, upon a change of control each employee is entitled to (i) the immediate vesting of fifty percent (50%) of all stock options and stock appreciation rights granted to such employee as of the date of the change in control and (ii) the vesting of the remaining stock options and stock appreciation rights on the earlier of the one year anniversary date of the change of control or the resignation by such employee as a result of certain triggering events following the change in control. On March 28, 2006, these agreements were amended and restated to provide (i) a severance payment of two years of such employee’s base salary plus the employee’s maximum bonus amount for that period in the event of termination or resignation as a result of certain triggering events and (ii) a severance payment of one year of such employee’s base salary in the event the employee is terminated without cause, plus a vesting of all unvested stock options and stock appreciation rights.</w:t>
      </w:r>
    </w:p>
    <w:p>
      <w:pPr>
        <w:spacing w:after="0" w:line="182" w:lineRule="exact"/>
        <w:rPr>
          <w:sz w:val="20"/>
          <w:szCs w:val="20"/>
          <w:color w:val="auto"/>
        </w:rPr>
      </w:pPr>
    </w:p>
    <w:p>
      <w:pPr>
        <w:ind w:firstLine="288"/>
        <w:spacing w:after="0" w:line="289"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 million, with $1.5 million payable in cash on signing of the Equity Purchase Agreement and $16.5 million by means of a secured promissory note payable in installments through December 2006, subject to adjustment,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Massih Tayebi owns or controls approximately 11% of the total voting power of the Company’s capital stock. He is also the brother of Masood Tayebi, the Company’s current Chairman of the Board of Directors. Masood Tayebi has no personal financial interest in the transaction and will have no role with the entity that has purchased the Mexico Operations. The transaction was approved by the disinterested members of the Company’s Board of Directors after consideration of other expressions of interest and a valuation analysis by an independent audit firm.</w:t>
      </w:r>
    </w:p>
    <w:p>
      <w:pPr>
        <w:spacing w:after="0" w:line="167" w:lineRule="exact"/>
        <w:rPr>
          <w:sz w:val="20"/>
          <w:szCs w:val="20"/>
          <w:color w:val="auto"/>
        </w:rPr>
      </w:pPr>
    </w:p>
    <w:p>
      <w:pPr>
        <w:ind w:right="100" w:firstLine="270"/>
        <w:spacing w:after="0" w:line="297" w:lineRule="auto"/>
        <w:rPr>
          <w:sz w:val="20"/>
          <w:szCs w:val="20"/>
          <w:color w:val="auto"/>
        </w:rPr>
      </w:pPr>
      <w:r>
        <w:rPr>
          <w:rFonts w:ascii="Arial" w:cs="Arial" w:eastAsia="Arial" w:hAnsi="Arial"/>
          <w:sz w:val="16"/>
          <w:szCs w:val="16"/>
          <w:color w:val="auto"/>
        </w:rPr>
        <w:t>The closing balance sheet as of February 17, 2006 resulted in net asset adjustments aggregating to a total approximate $19.0 million consideration, $1.5 million which was paid on February 17, 2006, with the remaining $17.5 million payable by means of the promissory note in installments through December 31, 2006. The note receivable is reflected on the Company’s Consolidated Balance Sheet as of March 31, 2006. In April 2006, the Company presented the final net asset computation to the buyer, Sakoki, LLC, and the buyer is still in the review process of the computation, as provided in the Equity Purchase Agreement. The Company expects that the parties will reach final resolution of the net asset computation in the second quarter of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class action shareholder complaints filed in the U.S. District Court for the Southern District of New York, now consolidated into a single amended complaint captioned In re Buy.com, Inc. Initial Public Offering Securities Litigation, 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187"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 xml:space="preserve">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 </w:t>
      </w:r>
      <w:r>
        <w:rPr>
          <w:rFonts w:ascii="Arial" w:cs="Arial" w:eastAsia="Arial" w:hAnsi="Arial"/>
          <w:sz w:val="16"/>
          <w:szCs w:val="16"/>
          <w:color w:val="auto"/>
        </w:rPr>
        <w:t>On August 31, 2005, the Court reaffirmed class certification and preliminary approval of the modified settlement in a</w:t>
      </w:r>
      <w:r>
        <w:rPr>
          <w:rFonts w:ascii="Arial" w:cs="Arial" w:eastAsia="Arial" w:hAnsi="Arial"/>
          <w:sz w:val="17"/>
          <w:szCs w:val="17"/>
          <w:color w:val="auto"/>
        </w:rPr>
        <w:t xml:space="preserve"> </w:t>
      </w:r>
      <w:r>
        <w:rPr>
          <w:rFonts w:ascii="Arial" w:cs="Arial" w:eastAsia="Arial" w:hAnsi="Arial"/>
          <w:sz w:val="16"/>
          <w:szCs w:val="16"/>
          <w:color w:val="auto"/>
        </w:rPr>
        <w:t xml:space="preserve">comprehensive Order. In addition, the Court approved the form of Notice to be sent to members of the settlement classes, which was published and mailed beginning November 15, 2005. </w:t>
      </w:r>
      <w:r>
        <w:rPr>
          <w:rFonts w:ascii="Arial" w:cs="Arial" w:eastAsia="Arial" w:hAnsi="Arial"/>
          <w:sz w:val="17"/>
          <w:szCs w:val="17"/>
          <w:color w:val="auto"/>
        </w:rPr>
        <w:t>On February 24, 2006, the Court dismissed litigation filed against certain underwriters in connection with the claims to be</w:t>
      </w:r>
      <w:r>
        <w:rPr>
          <w:rFonts w:ascii="Arial" w:cs="Arial" w:eastAsia="Arial" w:hAnsi="Arial"/>
          <w:sz w:val="16"/>
          <w:szCs w:val="16"/>
          <w:color w:val="auto"/>
        </w:rPr>
        <w:t xml:space="preserve"> </w:t>
      </w:r>
      <w:r>
        <w:rPr>
          <w:rFonts w:ascii="Arial" w:cs="Arial" w:eastAsia="Arial" w:hAnsi="Arial"/>
          <w:sz w:val="17"/>
          <w:szCs w:val="17"/>
          <w:color w:val="auto"/>
        </w:rPr>
        <w:t>assigned to the plaintiffs under the settlement. The Court held a Final Settlement Fairness Hearing on the settlement on April 24, 2006. The final ruling is expected mid-2006. The Company does not expect the settlement to have a material impact on its operations or cash flow. In addition, the settlement is still subject to statutory notice requirements as well as final judicial approval.</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6"/>
          <w:szCs w:val="16"/>
          <w:i w:val="1"/>
          <w:iCs w:val="1"/>
          <w:color w:val="auto"/>
        </w:rPr>
        <w:t>In re Wireless Facilities, Inc.</w:t>
      </w:r>
    </w:p>
    <w:p>
      <w:pPr>
        <w:sectPr>
          <w:pgSz w:w="11900" w:h="16851" w:orient="portrait"/>
          <w:cols w:equalWidth="0" w:num="1">
            <w:col w:w="11380"/>
          </w:cols>
          <w:pgMar w:left="240" w:top="341" w:right="279" w:bottom="0" w:gutter="0" w:footer="0" w:header="0"/>
        </w:sectPr>
      </w:pPr>
    </w:p>
    <w:bookmarkStart w:id="14" w:name="page15"/>
    <w:bookmarkEnd w:id="14"/>
    <w:p>
      <w:pPr>
        <w:spacing w:after="0" w:line="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Master File No. 04CV1589-JAH. The plaintiffs filed their consolidated complaint in January 2005 and did not name the Company a</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Under the current proposed briefing schedule, Defendants anticipate filing a motion to dismiss this complaint on or before June 8, 2006. Plaintiffs’ opposition would be due on or before July 12, 2006, and Defendants’ reply would be due on or before August 2, 2006. The hearing on the motion to dismiss would take place no less than two weeks after the reply brief is filed.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have been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is scheduled to be completed by June 14, 2006. Defendants’ motion to dismiss the complaint against the non-California resident defendants will be due on or before July 14, 2006. After the court rules on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8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Arial" w:cs="Arial" w:eastAsia="Arial" w:hAnsi="Arial"/>
          <w:sz w:val="16"/>
          <w:szCs w:val="16"/>
          <w:i w:val="1"/>
          <w:iCs w:val="1"/>
          <w:color w:val="auto"/>
        </w:rPr>
        <w:t>In re Wireless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Facilities, Inc. Derivative Litigation, </w:t>
      </w:r>
      <w:r>
        <w:rPr>
          <w:rFonts w:ascii="Arial" w:cs="Arial" w:eastAsia="Arial" w:hAnsi="Arial"/>
          <w:sz w:val="16"/>
          <w:szCs w:val="16"/>
          <w:color w:val="auto"/>
        </w:rPr>
        <w:t>California Superior Court, San Diego County, Lead Case No. GIC 834253. The plaintiffs filed a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Derivative Complaint on October 14, 2004. This action has been stayed pending a decision in federal court on a motion to dismiss the federal derivative lawsuits and there will be a hearing in October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was claiming he was entitled to approximately $5.0 million. The arbitration occurred in April 2006 and a decision was handed down on May 8, 2006, resulting in an award to the selling shareholder of $0.9 million, including contingent consideration, arbitration costs and attorney’s fees. The Company has accrued approximately $0.9 million as of March 31, 2006 and, pursuant to the terms of the arbitration award, will pay the amount due during the second quarter of 2006. See Note 7 for discussion regarding contingent acquisition consideration.</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259"/>
        <w:spacing w:after="0" w:line="300" w:lineRule="auto"/>
        <w:rPr>
          <w:sz w:val="20"/>
          <w:szCs w:val="20"/>
          <w:color w:val="auto"/>
        </w:rPr>
      </w:pPr>
      <w:r>
        <w:rPr>
          <w:rFonts w:ascii="Arial" w:cs="Arial" w:eastAsia="Arial" w:hAnsi="Arial"/>
          <w:sz w:val="16"/>
          <w:szCs w:val="16"/>
          <w:i w:val="1"/>
          <w:iCs w:val="1"/>
          <w:color w:val="auto"/>
        </w:rPr>
        <w:t xml:space="preserve">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w:t>
      </w:r>
      <w:r>
        <w:rPr>
          <w:rFonts w:ascii="Arial" w:cs="Arial" w:eastAsia="Arial" w:hAnsi="Arial"/>
          <w:sz w:val="15"/>
          <w:szCs w:val="15"/>
          <w:i w:val="1"/>
          <w:iCs w:val="1"/>
          <w:color w:val="auto"/>
        </w:rPr>
        <w:t>Factors that may cause our results to differ include, but are not limited to: changes in the scope or timing of our projects; changes or</w:t>
      </w:r>
      <w:r>
        <w:rPr>
          <w:rFonts w:ascii="Arial" w:cs="Arial" w:eastAsia="Arial" w:hAnsi="Arial"/>
          <w:sz w:val="16"/>
          <w:szCs w:val="16"/>
          <w:i w:val="1"/>
          <w:iCs w:val="1"/>
          <w:color w:val="auto"/>
        </w:rPr>
        <w:t xml:space="preserve"> </w:t>
      </w:r>
      <w:r>
        <w:rPr>
          <w:rFonts w:ascii="Arial" w:cs="Arial" w:eastAsia="Arial" w:hAnsi="Arial"/>
          <w:sz w:val="15"/>
          <w:szCs w:val="15"/>
          <w:i w:val="1"/>
          <w:iCs w:val="1"/>
          <w:color w:val="auto"/>
        </w:rPr>
        <w:t>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w:t>
      </w:r>
    </w:p>
    <w:p>
      <w:pPr>
        <w:sectPr>
          <w:pgSz w:w="11900" w:h="16911" w:orient="portrait"/>
          <w:cols w:equalWidth="0" w:num="1">
            <w:col w:w="11420"/>
          </w:cols>
          <w:pgMar w:left="240" w:top="125" w:right="239" w:bottom="0" w:gutter="0" w:footer="0" w:header="0"/>
        </w:sectPr>
      </w:pPr>
    </w:p>
    <w:bookmarkStart w:id="15" w:name="page16"/>
    <w:bookmarkEnd w:id="15"/>
    <w:p>
      <w:pPr>
        <w:spacing w:after="0" w:line="5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timing, rescheduling or cancellation of significant customer contracts and agreements, or consolidation by or the loss of key customers; failure to successfully consummate acquisitions or integrate acquired operations; the rate of adoption of telecom outsourcing by network carriers and equipment suppliers; the rate of growth of adoption of WLAN and wireless security systems by enterprises; and competition in the marketplace which could reduce revenues and profit margins.</w:t>
      </w:r>
    </w:p>
    <w:p>
      <w:pPr>
        <w:spacing w:after="0" w:line="155"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87" w:lineRule="exact"/>
        <w:rPr>
          <w:sz w:val="20"/>
          <w:szCs w:val="20"/>
          <w:color w:val="auto"/>
        </w:rPr>
      </w:pPr>
    </w:p>
    <w:p>
      <w:pPr>
        <w:ind w:right="260" w:firstLine="259"/>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2005 and other reports and filings made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 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Our work for the federal government primarily involves systems engineering, systems integration, and the outsourcing of technical services such as operational test and evaluation and program management. Our work for enterprise customers primarily involves the design, deployment and integration of security and other in-building systems including access control and intrusion detection and is focused on opportunities to integrate wireless technology into enterprise networks, especially physical and electronic security systems and voice and data networks.</w:t>
      </w:r>
    </w:p>
    <w:p>
      <w:pPr>
        <w:spacing w:after="0" w:line="17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December 2005, our Board of Directors made the decision to exit our Mexican operations and certain of our other deployment businesses in South America. Prior to this decision, these operations had been reported in our Wireless Network Services segment. We determined that these operations meet the criteria to be classified s held for sale. Accordingly, we have reflected these operations as discontinued in accordance with SFAS No. 144, “Accounting for the Impairment of Disposal of Long-Lived Assets.” Our South American deployment operations were substantially shut down as of the end of 2005. Accordingly, all results for these operations for all periods presented have been reflected as discontinued operations. All operating results discussed in results of operations relate to our continuing operations.</w:t>
      </w:r>
    </w:p>
    <w:p>
      <w:pPr>
        <w:spacing w:after="0" w:line="193"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On February 17, 2006, we entered into a definitive agreement to divest all of our operations in Mexico for total cash consideration, which approximates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is secured by pledges of assets and a personal guaranty.</w:t>
      </w:r>
    </w:p>
    <w:p>
      <w:pPr>
        <w:spacing w:after="0" w:line="154" w:lineRule="exact"/>
        <w:rPr>
          <w:sz w:val="20"/>
          <w:szCs w:val="20"/>
          <w:color w:val="auto"/>
        </w:rPr>
      </w:pPr>
    </w:p>
    <w:p>
      <w:pPr>
        <w:ind w:right="100" w:firstLine="270"/>
        <w:spacing w:after="0" w:line="276" w:lineRule="auto"/>
        <w:rPr>
          <w:sz w:val="20"/>
          <w:szCs w:val="20"/>
          <w:color w:val="auto"/>
        </w:rPr>
      </w:pPr>
      <w:r>
        <w:rPr>
          <w:rFonts w:ascii="Arial" w:cs="Arial" w:eastAsia="Arial" w:hAnsi="Arial"/>
          <w:sz w:val="17"/>
          <w:szCs w:val="17"/>
          <w:color w:val="auto"/>
        </w:rPr>
        <w:t>The closing balance sheet as of February 17, 2006 resulted in net asset adjustments aggregating to a total approximate $19.0 million consideration, $1.5 million of which was paid on February 17, 2006, with the remaining $17.5 million payable by means of the promissory note in installments through December 31, 2006. The note receivable is reflected on our Consolidated Balance Sheet as of March 31, 2006. In April 2006, we presented the final net asset computation to the buyer, Sakoki, LLC, and the buyer is still in the review process of the computation, as provided in the Equity Purchase Agreement. We expect that the parties will reach final resolution of the net asset computation in the second quarter of 2006.</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purchaser, Sakoki LLC, is a newly-formed entity controlled by Massih Tayebi. Although Massih Tayebi has no current role with us, he was one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co-founders and served as our Chief Executive Officer from inception in 1994 through September 2000, and as a director from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2002. In addition, Massih Tayebi owns or controls approximately 11% of the total voting power of our capital stock. He is also the brother of Masood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Tayebi, our Chairman of the Board of Directors. Masood Tayebi has no personal financial interest in the transaction and will have no role with the entity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purchasing the Mexico operations.</w:t>
      </w:r>
    </w:p>
    <w:p>
      <w:pPr>
        <w:spacing w:after="0" w:line="211"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Wireless Network Services contracts are primarily fixed price contracts whereby revenue is recognized using the percentage-of-completion method of accounting under the provisions of Statement of Position (SOP) 81-1, “Accounting for Performance of Construction Type and Certain Production Type Contracts.” For contracts offered on a time and expense basis, we recognize revenues as services are performed. We 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 price or time and materials contracts. Cost reimbursable contracts for the government provide for reimbursement of costs plus the payment of a fee. Some cost-reimbursable contracts include incentive fees that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181"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154"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w:t>
      </w:r>
    </w:p>
    <w:p>
      <w:pPr>
        <w:sectPr>
          <w:pgSz w:w="11900" w:h="16894" w:orient="portrait"/>
          <w:cols w:equalWidth="0" w:num="1">
            <w:col w:w="11420"/>
          </w:cols>
          <w:pgMar w:left="240" w:top="131" w:right="239" w:bottom="0" w:gutter="0" w:footer="0" w:header="0"/>
        </w:sectPr>
      </w:pPr>
    </w:p>
    <w:bookmarkStart w:id="16" w:name="page17"/>
    <w:bookmarkEnd w:id="16"/>
    <w:p>
      <w:pPr>
        <w:jc w:val="both"/>
        <w:ind w:right="160"/>
        <w:spacing w:after="0" w:line="312" w:lineRule="auto"/>
        <w:rPr>
          <w:sz w:val="20"/>
          <w:szCs w:val="20"/>
          <w:color w:val="auto"/>
        </w:rPr>
      </w:pPr>
      <w:r>
        <w:rPr>
          <w:rFonts w:ascii="Arial" w:cs="Arial" w:eastAsia="Arial" w:hAnsi="Arial"/>
          <w:sz w:val="16"/>
          <w:szCs w:val="16"/>
          <w:color w:val="auto"/>
        </w:rPr>
        <w:t>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47"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these factors do not indicate collection is reasonably assured, revenue is deferred until it become reasonably assured, which is generally upon receipt of cash.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$1.2 million at March 31, 2006.</w:t>
      </w:r>
    </w:p>
    <w:p>
      <w:pPr>
        <w:spacing w:after="0" w:line="182"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197" w:lineRule="exact"/>
        <w:rPr>
          <w:sz w:val="20"/>
          <w:szCs w:val="20"/>
          <w:color w:val="auto"/>
        </w:rPr>
      </w:pPr>
    </w:p>
    <w:p>
      <w:pPr>
        <w:ind w:left="660" w:right="440" w:hanging="250"/>
        <w:spacing w:after="0" w:line="256" w:lineRule="auto"/>
        <w:tabs>
          <w:tab w:leader="none" w:pos="651" w:val="left"/>
        </w:tabs>
        <w:numPr>
          <w:ilvl w:val="0"/>
          <w:numId w:val="6"/>
        </w:numPr>
        <w:rPr>
          <w:rFonts w:ascii="Arial" w:cs="Arial" w:eastAsia="Arial" w:hAnsi="Arial"/>
          <w:sz w:val="21"/>
          <w:szCs w:val="21"/>
          <w:color w:val="auto"/>
        </w:rPr>
      </w:pPr>
      <w:r>
        <w:rPr>
          <w:rFonts w:ascii="Arial" w:cs="Arial" w:eastAsia="Arial" w:hAnsi="Arial"/>
          <w:sz w:val="17"/>
          <w:szCs w:val="17"/>
          <w:color w:val="auto"/>
        </w:rPr>
        <w:t>We believe there remain opportunities for us to grow our Wireless Network Services business in Land Mobile Radio (LMR), IP Fixed and Core Networks and in-building networks. We also see opportunities in spectrum clearing and frequency realignment activities related to the Federal Communication Commission’s recent action on the reallocation of licenses in the 800 megahertz frequencies.</w:t>
      </w:r>
    </w:p>
    <w:p>
      <w:pPr>
        <w:spacing w:after="0" w:line="216" w:lineRule="exact"/>
        <w:rPr>
          <w:rFonts w:ascii="Arial" w:cs="Arial" w:eastAsia="Arial" w:hAnsi="Arial"/>
          <w:sz w:val="21"/>
          <w:szCs w:val="21"/>
          <w:color w:val="auto"/>
        </w:rPr>
      </w:pPr>
    </w:p>
    <w:p>
      <w:pPr>
        <w:ind w:left="660" w:right="40" w:hanging="250"/>
        <w:spacing w:after="0" w:line="256" w:lineRule="auto"/>
        <w:tabs>
          <w:tab w:leader="none" w:pos="651" w:val="left"/>
        </w:tabs>
        <w:numPr>
          <w:ilvl w:val="0"/>
          <w:numId w:val="6"/>
        </w:numPr>
        <w:rPr>
          <w:rFonts w:ascii="Arial" w:cs="Arial" w:eastAsia="Arial" w:hAnsi="Arial"/>
          <w:sz w:val="21"/>
          <w:szCs w:val="21"/>
          <w:color w:val="auto"/>
        </w:rPr>
      </w:pPr>
      <w:r>
        <w:rPr>
          <w:rFonts w:ascii="Arial" w:cs="Arial" w:eastAsia="Arial" w:hAnsi="Arial"/>
          <w:sz w:val="17"/>
          <w:szCs w:val="17"/>
          <w:color w:val="auto"/>
        </w:rPr>
        <w:t>We believe that our Government Network Services segment will build and expand our customer relationships within the U.S. Departments of Defense and Homeland Security by taking advantage of the significant opportunities for companies with substantial expertise in wireless technology. We believe we will experience continued growth in revenues and operating income from this new operating segment.</w:t>
      </w:r>
    </w:p>
    <w:p>
      <w:pPr>
        <w:spacing w:after="0" w:line="216" w:lineRule="exact"/>
        <w:rPr>
          <w:rFonts w:ascii="Arial" w:cs="Arial" w:eastAsia="Arial" w:hAnsi="Arial"/>
          <w:sz w:val="21"/>
          <w:szCs w:val="21"/>
          <w:color w:val="auto"/>
        </w:rPr>
      </w:pPr>
    </w:p>
    <w:p>
      <w:pPr>
        <w:ind w:left="660" w:right="220" w:hanging="250"/>
        <w:spacing w:after="0" w:line="238" w:lineRule="auto"/>
        <w:tabs>
          <w:tab w:leader="none" w:pos="651"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also believe that despite project delays and set backs in the first quarter our Enterprise Network Services segment will grow. We continue to be optimistic about the opportunity to integrate wireless technology into municipality and enterprise networks, especially physical and electronic security systems, and voice and data networks.</w:t>
      </w:r>
    </w:p>
    <w:p>
      <w:pPr>
        <w:spacing w:after="0" w:line="229" w:lineRule="exact"/>
        <w:rPr>
          <w:rFonts w:ascii="Arial" w:cs="Arial" w:eastAsia="Arial" w:hAnsi="Arial"/>
          <w:sz w:val="22"/>
          <w:szCs w:val="22"/>
          <w:color w:val="auto"/>
        </w:rPr>
      </w:pPr>
    </w:p>
    <w:p>
      <w:pPr>
        <w:ind w:left="660" w:right="20" w:hanging="250"/>
        <w:spacing w:after="0" w:line="261" w:lineRule="auto"/>
        <w:tabs>
          <w:tab w:leader="none" w:pos="669" w:val="left"/>
        </w:tabs>
        <w:numPr>
          <w:ilvl w:val="0"/>
          <w:numId w:val="6"/>
        </w:numPr>
        <w:rPr>
          <w:rFonts w:ascii="Arial" w:cs="Arial" w:eastAsia="Arial" w:hAnsi="Arial"/>
          <w:sz w:val="21"/>
          <w:szCs w:val="21"/>
          <w:color w:val="auto"/>
        </w:rPr>
      </w:pPr>
      <w:r>
        <w:rPr>
          <w:rFonts w:ascii="Arial" w:cs="Arial" w:eastAsia="Arial" w:hAnsi="Arial"/>
          <w:sz w:val="17"/>
          <w:szCs w:val="17"/>
          <w:color w:val="auto"/>
        </w:rPr>
        <w:t>As of the quarter ended March 31, 2006, we have estimated our annual effective tax rate to be 77% for the year ending December 31, 2006. The rate differs for from the federal and state statuary rates primarily because of nondeductible permanent tax items, tax reserves, and an increase to our valuation allowance for originating deductible differences. The benefit recorded for the quarter of 29% is lower than our estimated annual effective tax rate because of discrete tax expense items relating to tax reserves and our valuation allowance recorded during the quarter. To the extent our projections may change, which may impact our judgement regarding the realizability of our deferred tax assets and required valuation allowance, our annual effective tax rate for 2006 could change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100" w:firstLine="259"/>
        <w:spacing w:after="0" w:line="289"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unaudited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6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derive a significant percentage of our revenue from long-term contracts and account for these contracts under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 price contracts accounted for approximately 65.5% of our revenues for the quarter ended March 31, 2006. Revenue on fixed price contracts is recognized using the percentage-of-completion method based on the ratio of total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pacing w:after="0" w:line="172"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A cancellation, schedule delay, or modification of a fixed price contract which is accounted for using the percentage-of-completion method may adversely affect our gross margins for the period in which the contract is modified or cancelled. Under certain circumstances, a cancellation or negative modification</w:t>
      </w:r>
    </w:p>
    <w:p>
      <w:pPr>
        <w:sectPr>
          <w:pgSz w:w="11900" w:h="16838" w:orient="portrait"/>
          <w:cols w:equalWidth="0" w:num="1">
            <w:col w:w="11420"/>
          </w:cols>
          <w:pgMar w:left="240" w:top="125" w:right="239" w:bottom="0" w:gutter="0" w:footer="0" w:header="0"/>
        </w:sectPr>
      </w:pPr>
    </w:p>
    <w:bookmarkStart w:id="17" w:name="page18"/>
    <w:bookmarkEnd w:id="17"/>
    <w:p>
      <w:pPr>
        <w:ind w:right="280"/>
        <w:spacing w:after="0" w:line="312" w:lineRule="auto"/>
        <w:rPr>
          <w:sz w:val="20"/>
          <w:szCs w:val="20"/>
          <w:color w:val="auto"/>
        </w:rPr>
      </w:pPr>
      <w:r>
        <w:rPr>
          <w:rFonts w:ascii="Arial" w:cs="Arial" w:eastAsia="Arial" w:hAnsi="Arial"/>
          <w:sz w:val="16"/>
          <w:szCs w:val="16"/>
          <w:color w:val="auto"/>
        </w:rPr>
        <w:t>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During the reporting periods contained herein, we did experience revenue and margin adjustments of certain projects based on the aforementioned factors.</w:t>
      </w:r>
    </w:p>
    <w:p>
      <w:pPr>
        <w:spacing w:after="0" w:line="248"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i w:val="1"/>
          <w:iCs w:val="1"/>
          <w:color w:val="auto"/>
        </w:rPr>
        <w:t>Allowance for doubtful accounts</w:t>
      </w:r>
      <w:r>
        <w:rPr>
          <w:rFonts w:ascii="Arial" w:cs="Arial" w:eastAsia="Arial" w:hAnsi="Arial"/>
          <w:sz w:val="17"/>
          <w:szCs w:val="17"/>
          <w:color w:val="auto"/>
        </w:rPr>
        <w:t>. We maintain an allowance for doubtful accounts for estimated losses resulting from the potential inability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2"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i w:val="1"/>
          <w:iCs w:val="1"/>
          <w:color w:val="auto"/>
        </w:rPr>
        <w:t>Valuation of long-lived assets including intangible assets and goodwill</w:t>
      </w:r>
      <w:r>
        <w:rPr>
          <w:rFonts w:ascii="Arial" w:cs="Arial" w:eastAsia="Arial" w:hAnsi="Arial"/>
          <w:sz w:val="17"/>
          <w:szCs w:val="17"/>
          <w:color w:val="auto"/>
        </w:rPr>
        <w:t>. We recorded goodwill and finite-life intangible assets resulting from the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176" w:lineRule="exact"/>
        <w:rPr>
          <w:sz w:val="20"/>
          <w:szCs w:val="20"/>
          <w:color w:val="auto"/>
        </w:rPr>
      </w:pPr>
    </w:p>
    <w:p>
      <w:pPr>
        <w:ind w:left="780" w:hanging="318"/>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18"/>
          <w:szCs w:val="18"/>
          <w:color w:val="auto"/>
        </w:rPr>
        <w:t>significant underperformance relative to historical or projected future operating results;</w:t>
      </w:r>
    </w:p>
    <w:p>
      <w:pPr>
        <w:spacing w:after="0" w:line="206" w:lineRule="exact"/>
        <w:rPr>
          <w:rFonts w:ascii="Arial" w:cs="Arial" w:eastAsia="Arial" w:hAnsi="Arial"/>
          <w:sz w:val="22"/>
          <w:szCs w:val="22"/>
          <w:color w:val="auto"/>
        </w:rPr>
      </w:pPr>
    </w:p>
    <w:p>
      <w:pPr>
        <w:ind w:left="780" w:hanging="318"/>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206" w:lineRule="exact"/>
        <w:rPr>
          <w:rFonts w:ascii="Arial" w:cs="Arial" w:eastAsia="Arial" w:hAnsi="Arial"/>
          <w:sz w:val="22"/>
          <w:szCs w:val="22"/>
          <w:color w:val="auto"/>
        </w:rPr>
      </w:pPr>
    </w:p>
    <w:p>
      <w:pPr>
        <w:ind w:left="780" w:hanging="318"/>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18"/>
          <w:szCs w:val="18"/>
          <w:color w:val="auto"/>
        </w:rPr>
        <w:t>significant negative industry or economic trends;</w:t>
      </w:r>
    </w:p>
    <w:p>
      <w:pPr>
        <w:spacing w:after="0" w:line="206" w:lineRule="exact"/>
        <w:rPr>
          <w:rFonts w:ascii="Arial" w:cs="Arial" w:eastAsia="Arial" w:hAnsi="Arial"/>
          <w:sz w:val="22"/>
          <w:szCs w:val="22"/>
          <w:color w:val="auto"/>
        </w:rPr>
      </w:pPr>
    </w:p>
    <w:p>
      <w:pPr>
        <w:ind w:left="780" w:hanging="318"/>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18"/>
          <w:szCs w:val="18"/>
          <w:color w:val="auto"/>
        </w:rPr>
        <w:t>significant decline in our stock price for a sustained period; and</w:t>
      </w:r>
    </w:p>
    <w:p>
      <w:pPr>
        <w:spacing w:after="0" w:line="206" w:lineRule="exact"/>
        <w:rPr>
          <w:rFonts w:ascii="Arial" w:cs="Arial" w:eastAsia="Arial" w:hAnsi="Arial"/>
          <w:sz w:val="22"/>
          <w:szCs w:val="22"/>
          <w:color w:val="auto"/>
        </w:rPr>
      </w:pPr>
    </w:p>
    <w:p>
      <w:pPr>
        <w:ind w:left="780" w:hanging="318"/>
        <w:spacing w:after="0"/>
        <w:tabs>
          <w:tab w:leader="none" w:pos="78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market capitalization relative to net book value.</w:t>
      </w:r>
    </w:p>
    <w:p>
      <w:pPr>
        <w:spacing w:after="0" w:line="202"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$143.8 million as of March 31, 2006.</w:t>
      </w:r>
    </w:p>
    <w:p>
      <w:pPr>
        <w:spacing w:after="0" w:line="188"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In accordance with Statement of Financial Accounting Standards (SFAS) No. 142, we do not amortize goodwill and indefinite lived intangible assets. In lieu of amortization, we are required to perform, at a minimum, an annual impairment review unless specific evidence identified as a triggering event would warrant an accelerated review of our goodwill and intangible assets with indefinite lives. The first step of the goodwill impairment test requires the Company to determine and compare the fair value of its defined reporting units to their carrying values as of the evaluation date. The fair value for each reporting unit is determined using an undiscounted cash flow valuation analysis. The carrying values of each reporting unit are determined by specifically identifying and allocating the assets and liabilities of the Company to each reporting unit based on headcount, relative revenues or costs, or other methods as deemed appropriate by management. If the estimated fair values exceed the carrying values for each reporting unit, there is no indication of impairment. Consequently, the second step of the impairment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test will not be required.</w:t>
      </w:r>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Since the last annual impairment test as of December 31, 2005, there has been no indication of a triggering event that would warrant an accelerated review of our goodwill and intangible assets with indefinite lives.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Accounting for income taxes and tax contingencies</w:t>
      </w:r>
      <w:r>
        <w:rPr>
          <w:rFonts w:ascii="Arial" w:cs="Arial" w:eastAsia="Arial" w:hAnsi="Arial"/>
          <w:sz w:val="17"/>
          <w:szCs w:val="17"/>
          <w:color w:val="auto"/>
        </w:rPr>
        <w:t>. As part of the process of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probable, a valuation allowance is established to mitigate such risk resulting in an additional related provision for income taxes during the period. If we are required to further increase the valuation allowance in the future, it could have an adverse impact on our results of operations.</w:t>
      </w:r>
    </w:p>
    <w:p>
      <w:pPr>
        <w:spacing w:after="0" w:line="179" w:lineRule="exact"/>
        <w:rPr>
          <w:sz w:val="20"/>
          <w:szCs w:val="20"/>
          <w:color w:val="auto"/>
        </w:rPr>
      </w:pPr>
    </w:p>
    <w:p>
      <w:pPr>
        <w:ind w:right="120" w:firstLine="259"/>
        <w:spacing w:after="0" w:line="291"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 We have a valuation allowance at March 31, 2006, due to management’s overall assessment of risks and uncertainties related to our future ability to realize and, hence, utilize certain deferred tax assets, primarily consisting of net operating losses, carryforward temporary differences and future tax deductions resulting from certain types of stock option exercises, before they expire. The assessed adequacy of valuation allowance is based on our current estimates of adjusted taxable income by each tax</w:t>
      </w:r>
    </w:p>
    <w:p>
      <w:pPr>
        <w:sectPr>
          <w:pgSz w:w="11900" w:h="16838" w:orient="portrait"/>
          <w:cols w:equalWidth="0" w:num="1">
            <w:col w:w="11400"/>
          </w:cols>
          <w:pgMar w:left="240" w:top="125" w:right="259" w:bottom="0" w:gutter="0" w:footer="0" w:header="0"/>
        </w:sectPr>
      </w:pPr>
    </w:p>
    <w:bookmarkStart w:id="18" w:name="page19"/>
    <w:bookmarkEnd w:id="18"/>
    <w:p>
      <w:pPr>
        <w:ind w:right="120"/>
        <w:spacing w:after="0" w:line="264" w:lineRule="auto"/>
        <w:rPr>
          <w:sz w:val="20"/>
          <w:szCs w:val="20"/>
          <w:color w:val="auto"/>
        </w:rPr>
      </w:pPr>
      <w:r>
        <w:rPr>
          <w:rFonts w:ascii="Arial" w:cs="Arial" w:eastAsia="Arial" w:hAnsi="Arial"/>
          <w:sz w:val="18"/>
          <w:szCs w:val="18"/>
          <w:color w:val="auto"/>
        </w:rPr>
        <w:t>jurisdiction in which we operate and the period over which our 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March 31, 2006 is properly stated.</w:t>
      </w:r>
    </w:p>
    <w:p>
      <w:pPr>
        <w:spacing w:after="0" w:line="181"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2006 effective tax rate for annual and interim reporting periods could be impacted if certain tax items that are reserved for at March 31, 2006 are resolved at an amount which differs from our estimate. Finally, during 2006, if we are impacted by a change in the valuation allowance as of March 31, 2006 resulting from a change in judgment regarding the realizability of deferred tax assets beyond December 31, 2006, such effect will be recognized in the interim period in which the change occurs.</w:t>
      </w:r>
    </w:p>
    <w:p>
      <w:pPr>
        <w:spacing w:after="0" w:line="18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i w:val="1"/>
          <w:iCs w:val="1"/>
          <w:color w:val="auto"/>
        </w:rPr>
        <w:t>Accrual for partial self-insurance</w:t>
      </w:r>
      <w:r>
        <w:rPr>
          <w:rFonts w:ascii="Arial" w:cs="Arial" w:eastAsia="Arial" w:hAnsi="Arial"/>
          <w:sz w:val="17"/>
          <w:szCs w:val="17"/>
          <w:color w:val="auto"/>
        </w:rPr>
        <w:t>. We maintain an accrual for our health and workers compensation partial self-insurance, which is a component of total</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March 31, 2006, the accrual for our partial self-insurance programs approximated $2.6 million. We also carry stop-loss insurance that provides coverage limiting our total exposure related to each medical and workers compensation claim incurred, as defined in the applicable insurance policies. The medical and workers compensation limits per claim are $150,000 and $250,000, respectively.</w:t>
      </w:r>
    </w:p>
    <w:p>
      <w:pPr>
        <w:spacing w:after="0" w:line="17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i w:val="1"/>
          <w:iCs w:val="1"/>
          <w:color w:val="auto"/>
        </w:rPr>
        <w:t>Contingencies and litigation</w:t>
      </w:r>
      <w:r>
        <w:rPr>
          <w:rFonts w:ascii="Arial" w:cs="Arial" w:eastAsia="Arial" w:hAnsi="Arial"/>
          <w:sz w:val="17"/>
          <w:szCs w:val="17"/>
          <w:color w:val="auto"/>
        </w:rPr>
        <w:t>. We are currently involved in certain legal proceedings. We estimate a range of liability related to pending litigation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 See Part II, Item 1 “Legal Proceedings” for additional information.</w:t>
      </w:r>
    </w:p>
    <w:p>
      <w:pPr>
        <w:spacing w:after="0" w:line="17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i w:val="1"/>
          <w:iCs w:val="1"/>
          <w:color w:val="auto"/>
        </w:rPr>
        <w:t xml:space="preserve">Contingent Acquisition Consideration. </w:t>
      </w:r>
      <w:r>
        <w:rPr>
          <w:rFonts w:ascii="Arial" w:cs="Arial" w:eastAsia="Arial" w:hAnsi="Arial"/>
          <w:sz w:val="18"/>
          <w:szCs w:val="18"/>
          <w:color w:val="auto"/>
        </w:rPr>
        <w:t>From time to time, in connection with business acquisitions, we agree to make additional future payments to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upon achievement of specific performance-based milestones by the acquired entities. Pursuant to the provisions of SFAS No. 141, such amounts are accrued, and therefore, recorded by us as liabilities when the contingency is determinable beyond a reasonable doubt and, hence, the additional consideration becomes payable. As of March 31, 2006, a contingent consideration accrual related to these arrangements totaling $1.0 million was recorded on our consolidated balance sheet.</w:t>
      </w:r>
    </w:p>
    <w:p>
      <w:pPr>
        <w:spacing w:after="0" w:line="188" w:lineRule="exact"/>
        <w:rPr>
          <w:sz w:val="20"/>
          <w:szCs w:val="20"/>
          <w:color w:val="auto"/>
        </w:rPr>
      </w:pPr>
    </w:p>
    <w:p>
      <w:pPr>
        <w:ind w:right="280" w:firstLine="259"/>
        <w:spacing w:after="0" w:line="293"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Beginning in fiscal year 2006, we account for share-based compensation arrangements in accordance with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Accounting Standards No. 123R (“SFAS 123R”) “Share-Based Payments,” which requires the measurement and recognition of compensation expense for all share-based payment awards to employees and directors based on estimated fair values. Prior to adoption of SFAS 123R, we accounted for share-based compensation using the intrinsic value-based method in accordance with Accounting Principles Board (APB) Opinion No. 25, “Accounting for Stock Issued to Employees.” Under the intrinsic method, no share-based compensation expense related to stock option awards granted to employees had been recognized in our Consolidated Statement of Operations. We adopted SFAS 123R using the modified prospective transition method.</w:t>
      </w:r>
    </w:p>
    <w:p>
      <w:pPr>
        <w:spacing w:after="0" w:line="165"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Under the modified prospective application, which we used, prior periods are not revised for comparative purposes.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the expected life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 If actual results are not consistent with our assumptions and judgments used in estimating the key assumptions, we may be required to increase or decrease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2005 to the Three Months Ended March 31, 2006</w:t>
      </w:r>
    </w:p>
    <w:p>
      <w:pPr>
        <w:spacing w:after="0" w:line="225" w:lineRule="exact"/>
        <w:rPr>
          <w:sz w:val="20"/>
          <w:szCs w:val="20"/>
          <w:color w:val="auto"/>
        </w:rPr>
      </w:pPr>
    </w:p>
    <w:p>
      <w:pPr>
        <w:ind w:right="160" w:firstLine="259"/>
        <w:spacing w:after="0" w:line="342"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decreased $6.8 million from $90.7 million for the quarter ended March 31, 2005 to $83.9 million for the quarter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2006. The $6.8 million decrease was attributable to a decrease in domestic revenues of $4.9 million and a decrease in international revenues of $1.9 million.</w:t>
      </w:r>
    </w:p>
    <w:p>
      <w:pPr>
        <w:spacing w:after="0" w:line="124"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Our domestic revenue decline is primarily attributed to our Enterprise Network Services segment, primarily as a result of customer delays and the impact of personnel turnover and other related activities that occurred immediately following the completion of the earn-out period in one of the acquired entities. Aggregate international revenues decreased by $1.9 million from the prior year period, which represented the primary decline in the Wireless Network Services segment, primarily due to the completion of a significant project in EMEA in 2005, as well as due to the impact of increased pricing pressures in the same international market resulting in reduced revenues of $3.6 million in EMEA, offset partially by increased revenues in our Brazilian operation of $1.7 million.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by operating segment for the quarters ended March 31, 2005 and 2006 are as follows (in millions):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7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9" w:name="page20"/>
    <w:bookmarkEnd w:id="19"/>
    <w:p>
      <w:pPr>
        <w:ind w:left="1340"/>
        <w:spacing w:after="0"/>
        <w:tabs>
          <w:tab w:leader="none" w:pos="4880" w:val="left"/>
          <w:tab w:leader="none" w:pos="5720" w:val="left"/>
          <w:tab w:leader="none" w:pos="6220" w:val="left"/>
          <w:tab w:leader="none" w:pos="7040" w:val="left"/>
          <w:tab w:leader="none" w:pos="7560" w:val="left"/>
          <w:tab w:leader="none" w:pos="8400" w:val="left"/>
          <w:tab w:leader="none" w:pos="9520" w:val="left"/>
        </w:tabs>
        <w:rPr>
          <w:sz w:val="20"/>
          <w:szCs w:val="20"/>
          <w:color w:val="auto"/>
        </w:rPr>
      </w:pPr>
      <w:r>
        <w:rPr>
          <w:rFonts w:ascii="Arial" w:cs="Arial" w:eastAsia="Arial" w:hAnsi="Arial"/>
          <w:sz w:val="18"/>
          <w:szCs w:val="18"/>
          <w:color w:val="auto"/>
        </w:rPr>
        <w:t>Total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90.7</w:t>
        <w:tab/>
        <w:t>$</w:t>
      </w:r>
      <w:r>
        <w:rPr>
          <w:sz w:val="20"/>
          <w:szCs w:val="20"/>
          <w:color w:val="auto"/>
        </w:rPr>
        <w:tab/>
      </w:r>
      <w:r>
        <w:rPr>
          <w:rFonts w:ascii="Arial" w:cs="Arial" w:eastAsia="Arial" w:hAnsi="Arial"/>
          <w:sz w:val="18"/>
          <w:szCs w:val="18"/>
          <w:color w:val="auto"/>
        </w:rPr>
        <w:t>83.9</w:t>
        <w:tab/>
        <w:t>$</w:t>
      </w:r>
      <w:r>
        <w:rPr>
          <w:sz w:val="20"/>
          <w:szCs w:val="20"/>
          <w:color w:val="auto"/>
        </w:rPr>
        <w:tab/>
      </w: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23495</wp:posOffset>
            </wp:positionV>
            <wp:extent cx="31299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3129915" cy="17145"/>
                    </a:xfrm>
                    <a:prstGeom prst="rect">
                      <a:avLst/>
                    </a:prstGeom>
                    <a:noFill/>
                  </pic:spPr>
                </pic:pic>
              </a:graphicData>
            </a:graphic>
          </wp:anchor>
        </w:drawing>
      </w:r>
    </w:p>
    <w:p>
      <w:pPr>
        <w:spacing w:after="0" w:line="2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generated by geographic segment for the quarters ended March 31, 2005 and 2006 are as follows (in millions):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81.2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EMEA</w:t>
            </w: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90.7</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jc w:val="right"/>
              <w:spacing w:after="0"/>
              <w:rPr>
                <w:sz w:val="20"/>
                <w:szCs w:val="20"/>
                <w:color w:val="auto"/>
              </w:rPr>
            </w:pPr>
            <w:r>
              <w:rPr>
                <w:rFonts w:ascii="Arial" w:cs="Arial" w:eastAsia="Arial" w:hAnsi="Arial"/>
                <w:sz w:val="18"/>
                <w:szCs w:val="18"/>
                <w:color w:val="auto"/>
                <w:w w:val="72"/>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As described in the section ”Critical Accounting Principles and Estimates” and in the footnotes to our unaudited consolidated financial statements, a significant portion of our revenue is derived from fixed 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8"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i w:val="1"/>
          <w:iCs w:val="1"/>
          <w:color w:val="auto"/>
        </w:rPr>
        <w:t>Cost of Revenues</w:t>
      </w:r>
      <w:r>
        <w:rPr>
          <w:rFonts w:ascii="Arial" w:cs="Arial" w:eastAsia="Arial" w:hAnsi="Arial"/>
          <w:sz w:val="16"/>
          <w:szCs w:val="16"/>
          <w:color w:val="auto"/>
        </w:rPr>
        <w:t>. Cost of revenues decreased slightly from $70.0 million for the quarter ended March 31, 2005 to $69.7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2006. The decrease in cost of revenues includes $0.4 million of stock-based compensation in the first quarter of 2006 as a result of the adoption of SFAS 123R. There was no stock-based compensation expense recorded in 2005. Gross margin during the quarter ended March 31, 2006 decreased from</w:t>
      </w:r>
    </w:p>
    <w:p>
      <w:pPr>
        <w:ind w:right="100"/>
        <w:spacing w:after="0" w:line="302" w:lineRule="auto"/>
        <w:rPr>
          <w:sz w:val="20"/>
          <w:szCs w:val="20"/>
          <w:color w:val="auto"/>
        </w:rPr>
      </w:pPr>
      <w:r>
        <w:rPr>
          <w:rFonts w:ascii="Arial" w:cs="Arial" w:eastAsia="Arial" w:hAnsi="Arial"/>
          <w:sz w:val="16"/>
          <w:szCs w:val="16"/>
          <w:color w:val="auto"/>
        </w:rPr>
        <w:t>22.8% to 16.9% of total revenues compared to the quarter ended March 31, 2005. The decrease in gross margin primarily resulted from project cost overruns and execution issues, including in particular, re-work required because of substandard subcontract work, as well as the impact of our customers’ delayed building of previously scheduled sites under certain domestic deployment contracts for which we will not be compensated for the impact of delays.</w:t>
      </w:r>
    </w:p>
    <w:p>
      <w:pPr>
        <w:spacing w:after="0" w:line="155"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increased as a percentage of revenue from 18.1% to 18.7%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quarters ended March 31, 2005 and 2006, respectively, primarily due to our adoption of SFAS No. 123R, which resulted in $0.5 million stock-based compensation expense in the first quarter of 2006. There was no stock-based compensation expense recorded in 2005.</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Net other income remained consistent at $0.1 million for the quarters ended March 31, 2005 and 2006.</w:t>
      </w:r>
    </w:p>
    <w:p>
      <w:pPr>
        <w:spacing w:after="0" w:line="225" w:lineRule="exact"/>
        <w:rPr>
          <w:sz w:val="20"/>
          <w:szCs w:val="20"/>
          <w:color w:val="auto"/>
        </w:rPr>
      </w:pPr>
    </w:p>
    <w:p>
      <w:pPr>
        <w:ind w:right="300" w:firstLine="259"/>
        <w:spacing w:after="0" w:line="28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income tax rate for the quarter ended March 31, 2005 was 39% compared to a benefit of 29% for the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2006. The effective tax benefit rate for the quarter ended March 31, 2006 is lower than federal and state statutory rates primarily due to nondeductible permanent tax items which were more than offset by the realization of tax expense through the increase in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 and an increase in the income tax reserve.</w:t>
      </w:r>
    </w:p>
    <w:p>
      <w:pPr>
        <w:spacing w:after="0" w:line="225"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Income from discontinued operations decreased from $0.9 million for the three months ended March 31, 2005 to</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for the three months ended March 31, 2006. The decrease of $0.7 million resulted from the wind-down of operations in the Latin American operations at the end of 2005 and the sale of the Mexico operation effective on February 17,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sources of liquidity include cash and cash equivalents and short-term investments, cash from operations and other external sources of funds. As of March 31, 2006, we had cash and cash equivalents totaling $10.0 million.</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pacing w:after="0" w:line="18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Cash from continuing operations is primarily derived from our customer contracts in progress and associated changes in working capital components. Cash provided by continuing operations was $10.4 million for the three months ended March 31, 2005 whereas cash used in operations was $3.5 million for the three months ended March 31, 2006. The decrease between periods is primarily due to the increase in the days to collect our trade receivables The days sales outstanding increased from 96 days to 116 days for the three months ending March 31, 2005 and 2006, respectively, and increased from 105 days to 116 days from December 31, 2005 to March 31, 2006, respectively. The increase in days sales outstanding is a result of the timing of achieving production milestones on our large turn key deployment projects, for which we have not met the contractual milestones and are therefore unable to invoice our customers. We expect to achieve certain of these milestones in the second quarter.</w:t>
      </w:r>
    </w:p>
    <w:p>
      <w:pPr>
        <w:spacing w:after="0" w:line="178"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Cash used in investing activities from continuing operations was $30.3 million and $7.2 million for the three months ended March 31, 2005 and 2006, respectively. During the three months ended March 31, 2006, investing activities represented capital expenditures of $1.4 million, cash paid of $7.3 million for contingent consideration related to prior acquisitions and cash received on the sale of operations of $1.5 million. During the three months ended March 31, 2005, investing activities represented cash paid of $33.4 million, net of cash received for the acquisition of TLA, capital expenditures of $1.6 million; cash paid totaling $1.0 million for contingent consideration related to prior acquisitions and cash received on the sale of short term investments of $5.7 million. See Note 6 to our unaudited consolidated financial statements for further discussion of our acquisitions.</w:t>
      </w:r>
    </w:p>
    <w:p>
      <w:pPr>
        <w:spacing w:after="0" w:line="178"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Cash provided by financing activities was $7.4 million for the three months ended March 31, 2006. The positive cash flow from financing for this period consisted primarily of proceeds from the issuance of common stock totaling $0.5 million associated with exercises of employee stock options and borrowings on the line of credit totaling $7.0 million offset partially by repayment of capital lease obligations of $0.1 million. Cash provided by financing activities was $1.0 million for the three months ended March 31, 2005. The positive cash flow from financing activities for this period consisted primarily of proceeds from</w:t>
      </w:r>
    </w:p>
    <w:p>
      <w:pPr>
        <w:sectPr>
          <w:pgSz w:w="11900" w:h="16838" w:orient="portrait"/>
          <w:cols w:equalWidth="0" w:num="1">
            <w:col w:w="11420"/>
          </w:cols>
          <w:pgMar w:left="240" w:top="125" w:right="239" w:bottom="0" w:gutter="0" w:footer="0" w:header="0"/>
        </w:sectPr>
      </w:pPr>
    </w:p>
    <w:bookmarkStart w:id="20" w:name="page21"/>
    <w:bookmarkEnd w:id="20"/>
    <w:p>
      <w:pPr>
        <w:spacing w:after="0" w:line="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issuance of common stock totaling $1.1 million associated with exercises of employee stock options and purchases under our Employee Stock Purchase Plan, offset partially by the repayment of capital lease obligations of $0.1 million.</w:t>
      </w:r>
    </w:p>
    <w:p>
      <w:pPr>
        <w:spacing w:after="0" w:line="170"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Cash used in discontinued operations was $0.6 million for the three months ended March 31, 2006 and included cash used in operations of $0.2 million and cash used in investing activities of $0.4 million. Cash provided by discontinued operations was $2.2 million for the three months ended March 31, 2005 and was generated from operating cash flows.</w:t>
      </w:r>
    </w:p>
    <w:p>
      <w:pPr>
        <w:spacing w:after="0" w:line="181"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We believe that our cash and cash equivalent balances and our credit facility will be sufficient to satisfy cash requirements for at least the next twelve months.</w:t>
      </w:r>
    </w:p>
    <w:p>
      <w:pPr>
        <w:spacing w:after="0" w:line="170"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the wireless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March 16, 2005, we entered into a credit agreement with KeyBank National Association (“KeyBank”) to provide a $15.0 million senior credit facility. KeyBank is designated as the sole arranger and sole book manager. The facility has a three-year term and can be expanded to a $60.0 million facility. The Company intends to use the facility for general corporate purposes and to fund acquisitions. As part of our acquisition strategy, we may choose to expand our new credit facility up to $60 million to fund future acquisitions. As of March 31, 2006, we had drawn $7.0 million on the facility with a cash balance of $10.0 million. As of May 4, 2006, we had drawn $12.0 million and had a cash balance of $12.0 million. The amounts drawn on the credit facility primarily relate to amounts paid to satisfy the Company’s final earn-out consideration in the first quarter due on its ENS acquisitions.</w:t>
      </w:r>
    </w:p>
    <w:p>
      <w:pPr>
        <w:spacing w:after="0" w:line="178"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Our normal recurring trade payables, expense accruals, and operating and capital leases which are currently 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as discussed in Note 1 (j) of our consolidated financial statements and potential future acquisitions. We continue to evaluate and use new technology including electronic equipment and software in our business operations. Additional capital expenditure may be required as deemed necessary, in order to stay competitive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effectively service our customers.</w:t>
      </w:r>
    </w:p>
    <w:p>
      <w:pPr>
        <w:spacing w:after="0" w:line="22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following table summarizes our currently existing contractual obligations and other commitments at March 31, 2006, and the effect such obligations could have on our liquidity and cash flow in future periods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Less than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right"/>
              <w:ind w:right="518"/>
              <w:spacing w:after="0" w:line="119" w:lineRule="exact"/>
              <w:rPr>
                <w:sz w:val="20"/>
                <w:szCs w:val="20"/>
                <w:color w:val="auto"/>
              </w:rPr>
            </w:pPr>
            <w:r>
              <w:rPr>
                <w:rFonts w:ascii="Arial" w:cs="Arial" w:eastAsia="Arial" w:hAnsi="Arial"/>
                <w:sz w:val="13"/>
                <w:szCs w:val="13"/>
                <w:b w:val="1"/>
                <w:bCs w:val="1"/>
                <w:color w:val="auto"/>
              </w:rPr>
              <w:t>1-3</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right"/>
              <w:ind w:right="498"/>
              <w:spacing w:after="0" w:line="119"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Operating leases</w:t>
            </w:r>
          </w:p>
        </w:tc>
        <w:tc>
          <w:tcPr>
            <w:tcW w:w="9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detailed information regarding related party transactions, see Note 10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259"/>
        <w:spacing w:after="0" w:line="293"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follw either the transition guidance for the additional-paid-in-capital pool as prescribed in SFAS No. 123R, “Share-Based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 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16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In November 2005, the FASB issued FSP FAS115-1/124-1, “The Meaning of Other-Than-Temporary Impairment and Its Application to Certain Investments,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We adopted this FSP during the three months ended March 31, 2006 and it did not have a material impact on our financial statements.</w:t>
      </w:r>
    </w:p>
    <w:p>
      <w:pPr>
        <w:spacing w:after="0" w:line="167"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w:t>
      </w:r>
    </w:p>
    <w:p>
      <w:pPr>
        <w:sectPr>
          <w:pgSz w:w="11900" w:h="16905" w:orient="portrait"/>
          <w:cols w:equalWidth="0" w:num="1">
            <w:col w:w="11420"/>
          </w:cols>
          <w:pgMar w:left="240" w:top="125" w:right="239" w:bottom="0" w:gutter="0" w:footer="0" w:header="0"/>
        </w:sectPr>
      </w:pPr>
    </w:p>
    <w:bookmarkStart w:id="21" w:name="page22"/>
    <w:bookmarkEnd w:id="21"/>
    <w:p>
      <w:pPr>
        <w:ind w:right="220"/>
        <w:spacing w:after="0" w:line="312" w:lineRule="auto"/>
        <w:rPr>
          <w:sz w:val="20"/>
          <w:szCs w:val="20"/>
          <w:color w:val="auto"/>
        </w:rPr>
      </w:pPr>
      <w:r>
        <w:rPr>
          <w:rFonts w:ascii="Arial" w:cs="Arial" w:eastAsia="Arial" w:hAnsi="Arial"/>
          <w:sz w:val="16"/>
          <w:szCs w:val="16"/>
          <w:color w:val="auto"/>
        </w:rPr>
        <w:t>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w:t>
      </w:r>
    </w:p>
    <w:p>
      <w:pPr>
        <w:spacing w:after="0" w:line="147" w:lineRule="exact"/>
        <w:rPr>
          <w:sz w:val="20"/>
          <w:szCs w:val="20"/>
          <w:color w:val="auto"/>
        </w:rPr>
      </w:pPr>
    </w:p>
    <w:p>
      <w:pPr>
        <w:ind w:right="240" w:firstLine="270"/>
        <w:spacing w:after="0" w:line="257"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 for fiscal years beginning after September 15, 2006. This statement does not have a material impact on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We are exposed to foreign currency risks due to both transactions and translations between functional and reporting currencies primarily in our Brazilian and European foreign subsidiaries. We are exposed to the impact of foreign currency fluctuations due to the operations of and net monetary asset and liability positions in our Brazil and European foreign subsidiaries. Significant monetary assets and liabilities expected to be realized in the foreseeable future include trade receivables, trade payables and certain intercompany payables that are not denominated in their local functional currencies. As of March 31, 2006, our Brazilian and European subsidiaries were in average net liability positions (i.e., monetary liabilities were greater than monetary assets subject to foreign currency risk) of approximately $16.6 million and $11.5 million, respectively. The potential foreign currency translation losses from a hypothetical 10% adverse change in the exchange rates from the net liability positions at March 31, 2006 were approximately $1.7 million and $1.1 million for the Brazil and European subsidiaries, respectively. In the event that the functional currency of our operations in China does not continue to be based on the U.S. dollar, we may be exposed to foreign currency fluctuations due to the activities of our corporate resource center in China.</w:t>
      </w:r>
    </w:p>
    <w:p>
      <w:pPr>
        <w:spacing w:after="0" w:line="16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addition, we estimate that an immediate 10% change in foreign exchange rates would impact reported net income by approximately $0.1 million for the quarter ended March 31, 2006. This was estimated using a 10% deterioration factor to the average monthly exchange rates applied to net income or loss for each of the related subsidiaries in the respective period.</w:t>
      </w:r>
    </w:p>
    <w:p>
      <w:pPr>
        <w:spacing w:after="0" w:line="181" w:lineRule="exact"/>
        <w:rPr>
          <w:sz w:val="20"/>
          <w:szCs w:val="20"/>
          <w:color w:val="auto"/>
        </w:rPr>
      </w:pPr>
    </w:p>
    <w:p>
      <w:pPr>
        <w:ind w:right="320" w:firstLine="259"/>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 as of March 31, 2006 were $10.0 million and are primarily invested in money market interest bearing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hypothetical 10% adverse change in the average interest rate on our money market cash investments and short-term investments would have had an immaterial effect on net income for the quarter ended March 31, 2006. We currently do not utilize any derivative financial instruments to hedge interest rate risks.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 r, as appropriate to allow timely 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18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previously disclosed in Item 9A of our Annual Report on Form 10-K for the fiscal year ended December 31, 2005, we determined that, as of December 31, 2005, there were two material weaknesses affecting our internal control over financial reporting and, as a result of those weaknesses, the Company’s disclosure controls and procedures were not effective. As descr ibed below, we are still in the process of remediating one of the two material weaknesses. Consequently, based on the evaluation described above, our Principal Executive Officer and Principal Financial Officer have concluded that, as of March 31, 2006, the Company’s disclosure controls and procedures were not effective.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our Annual Report on Form 10-K for the fiscal year ended December 31, 2005, management identified material weaknesses in internal control over financial reporting related to entity level internal controls at the Mexico subsidiary and the inability to recruit and retain a sufficient number of Accounting and Finance Personnel to support compliance with our financial reporting requirements. Accordingly, management concluded that our internal control over financial reporting was not effective as of December 31, 2005. Subsequent to December 31, 2005, the Company has sold the Mexico subsidiary and undertaken, and will continue to undertake, extensive work on remediation initiatives.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Mexico Subsidiary Entity Level Controls</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As a result of all the measures undertaken by the Company to remediate the third and fourth quarter deficiencies as discussed in Item 9A of our Annual Report on Form 10-K for the year ended December 31, 2005, as well as the additional analysis and other post-closing procedures performed by management and our external consultants in connection with the sale of the Mexico subsidiary during the quarter ended March 31, 2006 we do not expect that the type of material weakness that existed at December 31, 2005 related to our Mexico operations will recur and we have concluded that this material weakness was fully remediated during the quarter ended March 31,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Insufficient Accounting/Finance Personnel</w:t>
      </w:r>
    </w:p>
    <w:p>
      <w:pPr>
        <w:sectPr>
          <w:pgSz w:w="11900" w:h="16838" w:orient="portrait"/>
          <w:cols w:equalWidth="0" w:num="1">
            <w:col w:w="11400"/>
          </w:cols>
          <w:pgMar w:left="240" w:top="125" w:right="259" w:bottom="113" w:gutter="0" w:footer="0" w:header="0"/>
        </w:sectPr>
      </w:pPr>
    </w:p>
    <w:bookmarkStart w:id="22" w:name="page23"/>
    <w:bookmarkEnd w:id="22"/>
    <w:p>
      <w:pPr>
        <w:ind w:right="40" w:firstLine="360"/>
        <w:spacing w:after="0" w:line="276" w:lineRule="auto"/>
        <w:rPr>
          <w:sz w:val="20"/>
          <w:szCs w:val="20"/>
          <w:color w:val="auto"/>
        </w:rPr>
      </w:pPr>
      <w:r>
        <w:rPr>
          <w:rFonts w:ascii="Arial" w:cs="Arial" w:eastAsia="Arial" w:hAnsi="Arial"/>
          <w:sz w:val="17"/>
          <w:szCs w:val="17"/>
          <w:color w:val="auto"/>
        </w:rPr>
        <w:t>In order to address and correct the material weakness that existed at December 31, 2005 related to our ability to retain and recruit sufficient finance and accounting personnel to support compliance with all of our financial reporting requirements, we are actively recruiting to fill open positions and are in the process of reorganizing the Corporate accounting and finance group to improve the distribution of responsibilities. We have succeeded in permanently filling the Corporate Controller position and are actively recruiting additional personnel. Management is committed to remediating this weakness as expeditiously as possible and will continue to devote significant time and resources to the remediation effort.</w:t>
      </w:r>
    </w:p>
    <w:p>
      <w:pPr>
        <w:spacing w:after="0" w:line="173"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Except as described above, there was no change in our internal control over financial reporting (as defined in Rules 13a-15(f) and 15d-15(f) of the Exchange Act) during the fiscal quarter ended March 31, 2006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class action shareholder complaints filed in the U.S. District Court for the Southern District of New York, now consolidated into a single amended complaint captioned In re Buy.com, Inc. Initial Public Offering Securities Litigation,</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Case No. 01-CV-6323. In the amended complaint, filed in April 2002, the plaintiffs allege that the Company, the Individuals, and the underwriters of the Company’s initial public offering (“IPO”) violated Section 11 of the Securities Act of 1933 and Section 10(b) of the Exchange Act of 1934 based on allegations that the Company’s registration statement and prospectus failed to disclose material facts regarding the compensation to be received by, and the stock allocation practices of, the IPO underwriters. The complaint also contains claims against the Individuals for control person liability under Securities Act Section 15 and Exchange Act Section 20. The plaintiffs sought unspecified monetary damages and other relief. Similar complaints were filed in the same Court against hundreds of other public companies (“Issuers”) and the underwriters (“Underwriters”) that conducted IPOs of the Issuers’ common stock in the late 1990s or in the year 2000 (the “IPO Cases”).</w:t>
      </w:r>
    </w:p>
    <w:p>
      <w:pPr>
        <w:spacing w:after="0" w:line="193" w:lineRule="exact"/>
        <w:rPr>
          <w:sz w:val="20"/>
          <w:szCs w:val="20"/>
          <w:color w:val="auto"/>
        </w:rPr>
      </w:pPr>
    </w:p>
    <w:p>
      <w:pPr>
        <w:ind w:right="120" w:firstLine="259"/>
        <w:spacing w:after="0" w:line="276" w:lineRule="auto"/>
        <w:rPr>
          <w:sz w:val="20"/>
          <w:szCs w:val="20"/>
          <w:color w:val="auto"/>
        </w:rPr>
      </w:pPr>
      <w:r>
        <w:rPr>
          <w:rFonts w:ascii="Arial" w:cs="Arial" w:eastAsia="Arial" w:hAnsi="Arial"/>
          <w:sz w:val="17"/>
          <w:szCs w:val="17"/>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and Exchange Act Section 11 claims against the Company and the Securities and Exchange Act Section 10(b) claims against the Company.</w:t>
      </w:r>
    </w:p>
    <w:p>
      <w:pPr>
        <w:spacing w:after="0" w:line="173"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held a Final Settlement Fairness Hearing on the settlement on April 24, 2006. The final ruling is expected in mid-2006. The Company does not expect the settlement to have a material impact on its operations or cash flow.</w:t>
      </w:r>
    </w:p>
    <w:p>
      <w:pPr>
        <w:spacing w:after="0" w:line="169" w:lineRule="exact"/>
        <w:rPr>
          <w:sz w:val="20"/>
          <w:szCs w:val="20"/>
          <w:color w:val="auto"/>
        </w:rPr>
      </w:pPr>
    </w:p>
    <w:p>
      <w:pPr>
        <w:ind w:firstLine="259"/>
        <w:spacing w:after="0" w:line="285" w:lineRule="auto"/>
        <w:rPr>
          <w:sz w:val="20"/>
          <w:szCs w:val="20"/>
          <w:color w:val="auto"/>
        </w:rPr>
      </w:pPr>
      <w:r>
        <w:rPr>
          <w:rFonts w:ascii="Arial" w:cs="Arial" w:eastAsia="Arial" w:hAnsi="Arial"/>
          <w:sz w:val="16"/>
          <w:szCs w:val="16"/>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In re Wireless Facilities, Inc. Securities Litigation, Master File No. 04CV1589-JAH. The plaintiffs filed their consolidated complaint in January 2005 and did not name the Company a 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the plaintiffs were granted the right to amend their complaint within 45 days and subsequently filed their Third Amended Consolidated Class Action Complaint on April 24, 2006. Under the current proposed briefing schedule, Defendants anticipate filing a motion to dismiss this complaint on or before June 8, 2006. Plaintiffs’ opposition would be due on or before July 12, 2006, and Defendants’ reply would be due on or before August 2, 2006. The hearing on the motion to dismiss would take place no less than two weeks after the reply brief is filed.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384"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Two derivative lawsuits have been filed in the United States District Court for the Southern District of California against certain of the Company’s current and former officers and directors: Pedicini v. Wireless Facilities, Inc., Case No. 04CV1663; and Roth v. Wireless Facilities, Inc., Case No. 04CV1810. These actions have been consolidated into a single action in In re Wireless Facilities, Inc. Derivative Litigation, Lead Case No 04CV1663-JAH. The factual allegations in these lawsuits are substantially similar to those in the class action lawsuits, but the plaintiffs in these lawsuits assert claims for breach of fiduciary duty, gross mismanagement, abuse of control, waste of corporate assets,</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is scheduled to be completed by June 14, 2006. Defendants’ motion to dismiss the complaint against the non-California resident defendants will be due on or before July 14, 2006. After the court rules on this 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69"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in 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and there will be a hearing in April 2006 to evaluate the status of this case.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January 19, 2005, the Company and a selling shareholder in a Company subsidiary in the ENS division initiated an arbitration proceeding regarding the termination of employment of that individual from ENS. The amount in controversy was approximately $1.8 million. On April 20, 2005, the arbitrator, upon motion by the selling shareholder, permitted the arbitration proceeding to expand to allow the selling shareholder to seek early payment of the sums which may be due under the selling shareholder’s earn-out agreement. In this arbitration proceeding, the selling shareholder is claiming he is entitled to approximately $5.0 million. The arbitration occurred in April 2006 and a decision was handed down on May 8, 2006, resulting in an award to the selling shareholder of $0.9 million, including contingent consideration, arbitration costs and attorney’s fees. The Company has accrued approximately $0.9 million as of March 31, 2006 and, pursuant to the terms of the arbitration award, will pay the amount due during the second quarter of 2006. See Note 7 for discussion regarding contingent acquisition consideration.</w:t>
      </w:r>
    </w:p>
    <w:p>
      <w:pPr>
        <w:spacing w:after="0" w:line="179" w:lineRule="exact"/>
        <w:rPr>
          <w:sz w:val="20"/>
          <w:szCs w:val="20"/>
          <w:color w:val="auto"/>
        </w:rPr>
      </w:pPr>
    </w:p>
    <w:p>
      <w:pPr>
        <w:ind w:right="20" w:firstLine="304"/>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and all other information contained herein as well as the information included in our Annual Report on Form 10-K, for the year ended December 31, 2005,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8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success is dependent in part on new growth in the deployment of wireless networks, and to the extent that such growth slows, our business may be harmed.</w:t>
      </w:r>
    </w:p>
    <w:p>
      <w:pPr>
        <w:spacing w:after="0" w:line="166"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The wireless telecommunications industry has historically experienced a dramatic rate of growth both in the United States and internationally. In recent years, however, many telecommunications carriers have re-evaluated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That trend has only recently begun to change as several large carriers in the U.S. and Latin America have started to once again focus on network expansion. If the rate of growth slows or carriers reduce their capital investments in wireless infrastructure or fail to expand into new geographic areas,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may be significantly harmed.</w:t>
      </w:r>
    </w:p>
    <w:p>
      <w:pPr>
        <w:spacing w:after="0" w:line="225"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uncertainty associated with rapidly changing telecommunications technologies may also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perceive that the rate of acceptance of next generation telecommunications products will grow more slowly than previously expected, they may, as a result,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wireless carriers, network equipment vendors and enterprises do not outsource their network services, our business will suffer.</w:t>
      </w:r>
    </w:p>
    <w:p>
      <w:pPr>
        <w:sectPr>
          <w:pgSz w:w="11900" w:h="16838" w:orient="portrait"/>
          <w:cols w:equalWidth="0" w:num="1">
            <w:col w:w="11420"/>
          </w:cols>
          <w:pgMar w:left="240" w:top="584" w:right="239" w:bottom="90" w:gutter="0" w:footer="0" w:header="0"/>
        </w:sectPr>
      </w:pPr>
    </w:p>
    <w:bookmarkStart w:id="24" w:name="page25"/>
    <w:bookmarkEnd w:id="24"/>
    <w:p>
      <w:pPr>
        <w:ind w:right="100" w:firstLine="259"/>
        <w:spacing w:after="0" w:line="264" w:lineRule="auto"/>
        <w:rPr>
          <w:sz w:val="20"/>
          <w:szCs w:val="20"/>
          <w:color w:val="auto"/>
        </w:rPr>
      </w:pPr>
      <w:r>
        <w:rPr>
          <w:rFonts w:ascii="Arial" w:cs="Arial" w:eastAsia="Arial" w:hAnsi="Arial"/>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enterprise customers do not invest in security systems and other new in-building technologies such as wireless local area networks, our business will suffer.</w:t>
      </w:r>
    </w:p>
    <w:p>
      <w:pPr>
        <w:spacing w:after="0" w:line="166"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spacing w:after="0" w:line="166"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 — or if we are a subcontractor, that the prime contractor — will win any particular bid, or that we will be able to replace business lost upon expiration or completion of a contract.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anticipate that our Government Network Services segment will also be sensitive to changes in national and international defense and budget priorities.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Demand for our services may decline if conflicts in the Middle East and other high-risk areas subside, or if U.S. defense budget appropriations are reduced.</w:t>
      </w:r>
    </w:p>
    <w:p>
      <w:pPr>
        <w:spacing w:after="0" w:line="23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are subject to extensive government regulation, and our failure or inability to comply with these regulations could subject us to penalties or restrict our ability to operate our business, which could adversely affect our revenues.</w:t>
      </w:r>
    </w:p>
    <w:p>
      <w:pPr>
        <w:spacing w:after="0" w:line="166"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The wireless networks that we design, deploy and manage are subject to various regulations issued by the U.S. Federal Communications Commission (“FCC”) and other regulatory bodies in the U.S. FCC regulations and other countries require that these networks meet certain radio frequency emission standards, not create unallowable interference to other services, and in some cases accept interference from other services. These networks are also subject to government regulations and requirements of local standards bodies in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197"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which may result in additional cost to us or restrict our current business operations, which could have a harmful effect our operating results, liquidity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a significant portion of our revenues from a limited number of customers.</w:t>
      </w:r>
    </w:p>
    <w:p>
      <w:pPr>
        <w:spacing w:after="0" w:line="229"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quarter ended March 31, 2006, one customer comprised approximately 31.1% of our revenues, and our five largest customers accounted for approximately 52.3%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166"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We have completed several acquisitions of complimentary business in recent years, and we continually evaluate opportunities to acquire new businesses as part of our ongoing strategy. Our integration of historic and future acquisitions will require significant management time and financial resources because we will need to integrate dispersed operations with distinct corporate cultures. We also may continue to expand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 In February 2004, we filed an acquisition shelf registration statement on Form S-4 that, subject to the rules and regulations of the Securities and Exchange Commission, will enable us to issue up to $200 million shares of our newly issued common stock in one or more acquisition transactions. In addition, we currently have a $15 million senior credit facility with KeyBank National Association, which can be expanded to a $60 million facility to fund future acquisitions.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consolidation of equipment vendors or carriers could adversely impact our business.</w:t>
      </w:r>
    </w:p>
    <w:p>
      <w:pPr>
        <w:spacing w:after="0" w:line="162"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Recently, the wireless telecommunications industry has been characterized by significant consolidation activity including Cingular’s acquisition of AT&amp;T Wireless, both of whom are significant customers of ours, the merger between Alltel and Western Wireless and the merger between Sprint and Nextel Communications. The consolidation of carriers could reduce the number of our current or potential customers and increase the bargaining power of our remaining customers, any or all of which may adversely impact our business.</w:t>
      </w:r>
    </w:p>
    <w:p>
      <w:pPr>
        <w:sectPr>
          <w:pgSz w:w="11900" w:h="16838" w:orient="portrait"/>
          <w:cols w:equalWidth="0" w:num="1">
            <w:col w:w="11380"/>
          </w:cols>
          <w:pgMar w:left="240" w:top="125" w:right="279" w:bottom="0" w:gutter="0" w:footer="0" w:header="0"/>
        </w:sectPr>
      </w:pPr>
    </w:p>
    <w:bookmarkStart w:id="25" w:name="page26"/>
    <w:bookmarkEnd w:id="25"/>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customers do not receive sufficient financing or fail to pay us for services performed, our business may be harmed.</w:t>
      </w:r>
    </w:p>
    <w:p>
      <w:pPr>
        <w:spacing w:after="0" w:line="162"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114"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1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are in highly competitive markets, face competition from large, well–established competitors with significant resources, and may not be able to compete effectively.</w:t>
      </w:r>
    </w:p>
    <w:p>
      <w:pPr>
        <w:spacing w:after="0" w:line="98"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114"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fluctuate and may cause our stock price to decline.</w:t>
      </w:r>
    </w:p>
    <w:p>
      <w:pPr>
        <w:spacing w:after="0" w:line="162"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Our quarterly operating results have fluctuated in the past and will likely fluctuate in the future. As a result, we believe that period-to-period comparisons of our results of operations are not a good indication of our future performance. A number of factors, many of which are outside of our control, are likely to cause these fluctuations. Some of these factors include:</w:t>
      </w:r>
    </w:p>
    <w:p>
      <w:pPr>
        <w:spacing w:after="0" w:line="118" w:lineRule="exact"/>
        <w:rPr>
          <w:sz w:val="20"/>
          <w:szCs w:val="20"/>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telecommunications market conditions and economic conditions generally;</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and size of network deployments and technology upgrades by our carrier customers;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fluctuations in demand for outsourced network services;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of expansion into new markets, both domestically and internationally;</w:t>
      </w:r>
    </w:p>
    <w:p>
      <w:pPr>
        <w:spacing w:after="0" w:line="161" w:lineRule="exact"/>
        <w:rPr>
          <w:rFonts w:ascii="Arial" w:cs="Arial" w:eastAsia="Arial" w:hAnsi="Arial"/>
          <w:sz w:val="22"/>
          <w:szCs w:val="22"/>
          <w:color w:val="auto"/>
        </w:rPr>
      </w:pPr>
    </w:p>
    <w:p>
      <w:pPr>
        <w:ind w:left="820" w:right="20" w:hanging="326"/>
        <w:spacing w:after="0" w:line="232" w:lineRule="auto"/>
        <w:tabs>
          <w:tab w:leader="none" w:pos="814"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w:t>
      </w:r>
    </w:p>
    <w:p>
      <w:pPr>
        <w:spacing w:after="0" w:line="140"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length of sales cycles;</w:t>
      </w:r>
    </w:p>
    <w:p>
      <w:pPr>
        <w:spacing w:after="0" w:line="161" w:lineRule="exact"/>
        <w:rPr>
          <w:rFonts w:ascii="Arial" w:cs="Arial" w:eastAsia="Arial" w:hAnsi="Arial"/>
          <w:sz w:val="22"/>
          <w:szCs w:val="22"/>
          <w:color w:val="auto"/>
        </w:rPr>
      </w:pPr>
    </w:p>
    <w:p>
      <w:pPr>
        <w:ind w:left="820" w:right="160" w:hanging="326"/>
        <w:spacing w:after="0" w:line="232" w:lineRule="auto"/>
        <w:tabs>
          <w:tab w:leader="none" w:pos="814"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140"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reductions in the prices of services offered by our competitors;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success in bidding on and winning new business;</w:t>
      </w:r>
    </w:p>
    <w:p>
      <w:pPr>
        <w:spacing w:after="0" w:line="161" w:lineRule="exact"/>
        <w:rPr>
          <w:rFonts w:ascii="Arial" w:cs="Arial" w:eastAsia="Arial" w:hAnsi="Arial"/>
          <w:sz w:val="22"/>
          <w:szCs w:val="22"/>
          <w:color w:val="auto"/>
        </w:rPr>
      </w:pPr>
    </w:p>
    <w:p>
      <w:pPr>
        <w:ind w:left="820" w:right="600" w:hanging="326"/>
        <w:spacing w:after="0" w:line="232" w:lineRule="auto"/>
        <w:tabs>
          <w:tab w:leader="none" w:pos="814"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140" w:lineRule="exact"/>
        <w:rPr>
          <w:rFonts w:ascii="Arial" w:cs="Arial" w:eastAsia="Arial" w:hAnsi="Arial"/>
          <w:sz w:val="22"/>
          <w:szCs w:val="22"/>
          <w:color w:val="auto"/>
        </w:rPr>
      </w:pPr>
    </w:p>
    <w:p>
      <w:pPr>
        <w:ind w:left="820" w:hanging="320"/>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sales, marketing, and administrative cost structure; and</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costs of integrating businesses that we acquire.</w:t>
      </w:r>
    </w:p>
    <w:p>
      <w:pPr>
        <w:spacing w:after="0" w:line="134"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upon our ability to keep pace with the latest technological changes.</w:t>
      </w:r>
    </w:p>
    <w:p>
      <w:pPr>
        <w:spacing w:after="0" w:line="229"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properly manage projects may result in costs or claims.</w:t>
      </w:r>
    </w:p>
    <w:p>
      <w:pPr>
        <w:spacing w:after="0" w:line="229"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w:t>
      </w:r>
    </w:p>
    <w:p>
      <w:pPr>
        <w:sectPr>
          <w:pgSz w:w="11900" w:h="16840" w:orient="portrait"/>
          <w:cols w:equalWidth="0" w:num="1">
            <w:col w:w="11400"/>
          </w:cols>
          <w:pgMar w:left="240" w:top="121" w:right="259" w:bottom="0" w:gutter="0" w:footer="0" w:header="0"/>
        </w:sectPr>
      </w:pPr>
    </w:p>
    <w:bookmarkStart w:id="26" w:name="page27"/>
    <w:bookmarkEnd w:id="26"/>
    <w:p>
      <w:pPr>
        <w:jc w:val="both"/>
        <w:ind w:right="20"/>
        <w:spacing w:after="0" w:line="264" w:lineRule="auto"/>
        <w:rPr>
          <w:sz w:val="20"/>
          <w:szCs w:val="20"/>
          <w:color w:val="auto"/>
        </w:rPr>
      </w:pPr>
      <w:r>
        <w:rPr>
          <w:rFonts w:ascii="Arial" w:cs="Arial" w:eastAsia="Arial" w:hAnsi="Arial"/>
          <w:sz w:val="18"/>
          <w:szCs w:val="18"/>
          <w:color w:val="auto"/>
        </w:rPr>
        <w:t>performance standards. If the project or network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81"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 addition, a majority of our enterprise businesses and additional significant deployment projects are located in southeastern United States, an area which is susceptible to hurricanes. In late summer 2005, Hurricane Katrina and Hurricane Rita struck the Gulf Coast region of the United States, resulting in labor and material shortages in the area. Although we expect certain delays and increased cost estimates in our deployment business for both carriers and enterprise customers as a result of the rebuilding effort in the wake of the 2005 hurricanes, we are unable to predict with certainty the extent of the impact on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attract and retain key managerial, technical, selling and marketing personnel could adversely affect our business.</w:t>
      </w:r>
    </w:p>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181"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appropriate staffing levels could adversely affect our business.</w:t>
      </w:r>
    </w:p>
    <w:p>
      <w:pPr>
        <w:spacing w:after="0" w:line="229"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could restrict our ability to hire employees or to utilize employees effectively.</w:t>
      </w:r>
    </w:p>
    <w:p>
      <w:pPr>
        <w:spacing w:after="0" w:line="229" w:lineRule="exact"/>
        <w:rPr>
          <w:sz w:val="20"/>
          <w:szCs w:val="20"/>
          <w:color w:val="auto"/>
        </w:rPr>
      </w:pPr>
    </w:p>
    <w:p>
      <w:pPr>
        <w:ind w:right="80" w:firstLine="270"/>
        <w:spacing w:after="0" w:line="286" w:lineRule="auto"/>
        <w:rPr>
          <w:sz w:val="20"/>
          <w:szCs w:val="20"/>
          <w:color w:val="auto"/>
        </w:rPr>
      </w:pPr>
      <w:r>
        <w:rPr>
          <w:rFonts w:ascii="Arial" w:cs="Arial" w:eastAsia="Arial" w:hAnsi="Arial"/>
          <w:sz w:val="16"/>
          <w:szCs w:val="16"/>
          <w:color w:val="auto"/>
        </w:rPr>
        <w:t xml:space="preserve">As of March 31, 2006, approximately 167 or 7%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w:t>
      </w:r>
      <w:r>
        <w:rPr>
          <w:rFonts w:ascii="Arial" w:cs="Arial" w:eastAsia="Arial" w:hAnsi="Arial"/>
          <w:sz w:val="15"/>
          <w:szCs w:val="15"/>
          <w:color w:val="auto"/>
        </w:rPr>
        <w:t>plus 20,000 additional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numbers for the U.S. advanced degree exception through 2005.</w:t>
      </w:r>
    </w:p>
    <w:p>
      <w:pPr>
        <w:spacing w:after="0" w:line="211"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uncertainties and fluctuations in the value of foreign currencies could harm our profitability.</w:t>
      </w:r>
    </w:p>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We currently have international operations, including offices in Brazil, China, India, the United Kingdom, Sweden and Turkey. For the quarter ended March 31, 2006, international operations accounted for approximately 9% of our total revenues. Our international business operations are subject to a number of material risks, including, but not limited to:</w:t>
      </w:r>
    </w:p>
    <w:p>
      <w:pPr>
        <w:spacing w:after="0" w:line="186" w:lineRule="exact"/>
        <w:rPr>
          <w:sz w:val="20"/>
          <w:szCs w:val="20"/>
          <w:color w:val="auto"/>
        </w:rPr>
      </w:pPr>
    </w:p>
    <w:p>
      <w:pPr>
        <w:ind w:left="820" w:hanging="326"/>
        <w:spacing w:after="0"/>
        <w:tabs>
          <w:tab w:leader="none" w:pos="82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difficulties in building and managing foreign operations;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20" w:right="100" w:hanging="326"/>
        <w:spacing w:after="0" w:line="232" w:lineRule="auto"/>
        <w:tabs>
          <w:tab w:leader="none" w:pos="814"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regulatory uncertainties in foreign countries, including changing regulations and delays in licensing carriers to build out their networks in various locations;</w:t>
      </w:r>
    </w:p>
    <w:p>
      <w:pPr>
        <w:spacing w:after="0" w:line="140"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difficulties in enforcing agreements and collecting receivables through foreign legal systems and addressing other legal issues;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longer payment cycles;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foreign and U.S. taxation issues;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potential weaknesses in foreign economies, particularly in Europe and Latin and South America;</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fluctuations in the value of foreign currencies;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general economic and political conditions in the markets in which we operate; and</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unexpected domestic and international regulatory, economic or political changes.</w:t>
      </w:r>
    </w:p>
    <w:p>
      <w:pPr>
        <w:spacing w:after="0" w:line="13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significant international subsidiaries (i.e., in Brazil and the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w:t>
      </w:r>
    </w:p>
    <w:p>
      <w:pPr>
        <w:sectPr>
          <w:pgSz w:w="11900" w:h="16838" w:orient="portrait"/>
          <w:cols w:equalWidth="0" w:num="1">
            <w:col w:w="11380"/>
          </w:cols>
          <w:pgMar w:left="240" w:top="125" w:right="279" w:bottom="0" w:gutter="0" w:footer="0" w:header="0"/>
        </w:sectPr>
      </w:pPr>
    </w:p>
    <w:bookmarkStart w:id="27" w:name="page28"/>
    <w:bookmarkEnd w:id="27"/>
    <w:p>
      <w:pPr>
        <w:ind w:right="160"/>
        <w:spacing w:after="0" w:line="264" w:lineRule="auto"/>
        <w:rPr>
          <w:sz w:val="20"/>
          <w:szCs w:val="20"/>
          <w:color w:val="auto"/>
        </w:rPr>
      </w:pPr>
      <w:r>
        <w:rPr>
          <w:rFonts w:ascii="Arial" w:cs="Arial" w:eastAsia="Arial" w:hAnsi="Arial"/>
          <w:sz w:val="18"/>
          <w:szCs w:val="18"/>
          <w:color w:val="auto"/>
        </w:rPr>
        <w:t>Pound Sterling, Chinese Renminbi, Indian Rupee, Euro, Swedish Krona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11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Payment for the sale of our operations in Mexico was made in part by promissory note, which could be placed into default in the event of non-payment by the buyer.</w:t>
      </w:r>
    </w:p>
    <w:p>
      <w:pPr>
        <w:spacing w:after="0" w:line="98" w:lineRule="exact"/>
        <w:rPr>
          <w:sz w:val="20"/>
          <w:szCs w:val="20"/>
          <w:color w:val="auto"/>
        </w:rPr>
      </w:pPr>
    </w:p>
    <w:p>
      <w:pPr>
        <w:ind w:right="140" w:firstLine="272"/>
        <w:spacing w:after="0" w:line="259" w:lineRule="auto"/>
        <w:rPr>
          <w:sz w:val="20"/>
          <w:szCs w:val="20"/>
          <w:color w:val="auto"/>
        </w:rPr>
      </w:pPr>
      <w:r>
        <w:rPr>
          <w:rFonts w:ascii="Arial" w:cs="Arial" w:eastAsia="Arial" w:hAnsi="Arial"/>
          <w:sz w:val="18"/>
          <w:szCs w:val="18"/>
          <w:color w:val="auto"/>
        </w:rPr>
        <w:t>As part of the sales price of the Company’s subsidiaries in Mexico, the Company received a $16.5 million promissory note from the buyer, which is subject to adjustments which have been computed by the Company to be $1.0 million. Although the note is secured by a pledge of assets and a personal guaranty, the buyer could default on the note. If upon the execution of the pledges on the assets and the personal guaranty, there were insufficient funds for a full payment of the note, the Company would incur a loss on the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or prevent fraud.</w:t>
      </w:r>
    </w:p>
    <w:p>
      <w:pPr>
        <w:spacing w:after="0" w:line="24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As described in Item 9A of our annual report on Form 10-K for the year ended December 31, 2005, we restated our previously issued financial statements for the quarters ended July 1, 2005 and September 30, 2005 to reflect the accounting impact of the cancellation of sites by one of our customers in Mexico in those periods. In addition, as described in Item 4 of this Report, we are still in the process of remediating one of the two material weaknesses identified in Item 9A of our annual report on Form 10-K for the year ended December 31, 2005 and as a result, management was unable to conclude that our disclosure controls and procedures were effective as of March 31, 2006. We have implemented, and continue to implement, actions to address this weakness and to enhance the reliability and effectiveness of our internal controls and operations, however, we cannot assure you that the measures we have taken to date or any future measures will remediate the material weakness discussed in this Report.</w:t>
      </w:r>
    </w:p>
    <w:p>
      <w:pPr>
        <w:spacing w:after="0" w:line="178" w:lineRule="exact"/>
        <w:rPr>
          <w:sz w:val="20"/>
          <w:szCs w:val="20"/>
          <w:color w:val="auto"/>
        </w:rPr>
      </w:pPr>
    </w:p>
    <w:p>
      <w:pPr>
        <w:ind w:firstLine="363"/>
        <w:spacing w:after="0" w:line="255" w:lineRule="auto"/>
        <w:rPr>
          <w:sz w:val="20"/>
          <w:szCs w:val="20"/>
          <w:color w:val="auto"/>
        </w:rPr>
      </w:pPr>
      <w:r>
        <w:rPr>
          <w:rFonts w:ascii="Arial" w:cs="Arial" w:eastAsia="Arial" w:hAnsi="Arial"/>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 Because of these and other inherent limitations of control systems, there can be no assurance that any design will succeed in achieving its stated goals under all potential future conditions.</w:t>
      </w:r>
    </w:p>
    <w:p>
      <w:pPr>
        <w:spacing w:after="0" w:line="193" w:lineRule="exact"/>
        <w:rPr>
          <w:sz w:val="20"/>
          <w:szCs w:val="20"/>
          <w:color w:val="auto"/>
        </w:rPr>
      </w:pPr>
    </w:p>
    <w:p>
      <w:pPr>
        <w:ind w:right="180" w:firstLine="363"/>
        <w:spacing w:after="0" w:line="255" w:lineRule="auto"/>
        <w:rPr>
          <w:sz w:val="20"/>
          <w:szCs w:val="20"/>
          <w:color w:val="auto"/>
        </w:rPr>
      </w:pPr>
      <w:r>
        <w:rPr>
          <w:rFonts w:ascii="Arial" w:cs="Arial" w:eastAsia="Arial" w:hAnsi="Arial"/>
          <w:sz w:val="18"/>
          <w:szCs w:val="18"/>
          <w:color w:val="auto"/>
        </w:rPr>
        <w:t>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w:t>
      </w:r>
    </w:p>
    <w:p>
      <w:pPr>
        <w:spacing w:after="0" w:line="229"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and this investment has resulted in and may continue to result in increased general and administrative expenses and a diversion of management time and attention from revenue-generating activities to compliance activities.</w:t>
      </w:r>
    </w:p>
    <w:p>
      <w:pPr>
        <w:spacing w:after="0" w:line="18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interests of other stockholders.</w:t>
      </w:r>
    </w:p>
    <w:p>
      <w:pPr>
        <w:spacing w:after="0" w:line="166"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As of March 31, 2006, our executive officers and directors and their affiliates beneficially owned, in the aggregate, approximately 42.2% of our outstanding common stock, after giving effect to the conversion of Series B Convertible Preferred Stock. In particular, our current Chairman, Masood K. Tayebi, beneficially owned approximately 9.6% of our outstanding common stock. 12.3% of our outstanding common stock is beneficially owned by certain of our other officers and directors and their affiliates. The remaining 20.3% is beneficially owned by other members of the Tayebi family. As a result, the executive officers, directors and their affiliates are able to collectively exercise significant influence over matters requiring stockholder approval, such as the election of directors and the approval of significant corporate transactions. The interests of this group of stockholders may not always coincide with our interests or the interests of other stockholders, and they may act in a manner that advances their best interests and not necessarily those of other stockholders. As a result of their actions or inactions, our stock price may decline.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to fund the growth of our business, and financing may not be available.</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We currently anticipate that our available capital resources and operating income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or we may expand our current $15 million senior credit facility up to $60 million to fund future acquisitions and for general corporate purposes. We also filed a universal shelf registration statement on Form S-3.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may harm our business or otherwise distract our management.</w:t>
      </w:r>
    </w:p>
    <w:p>
      <w:pPr>
        <w:sectPr>
          <w:pgSz w:w="11900" w:h="16838" w:orient="portrait"/>
          <w:cols w:equalWidth="0" w:num="1">
            <w:col w:w="11420"/>
          </w:cols>
          <w:pgMar w:left="240" w:top="125" w:right="239" w:bottom="104" w:gutter="0" w:footer="0" w:header="0"/>
        </w:sectPr>
      </w:pPr>
    </w:p>
    <w:bookmarkStart w:id="28" w:name="page29"/>
    <w:bookmarkEnd w:id="28"/>
    <w:p>
      <w:pPr>
        <w:jc w:val="both"/>
        <w:ind w:right="60" w:firstLine="259"/>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166"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trade secrets could aid our competitors</w:t>
      </w:r>
      <w:r>
        <w:rPr>
          <w:rFonts w:ascii="Arial" w:cs="Arial" w:eastAsia="Arial" w:hAnsi="Arial"/>
          <w:sz w:val="18"/>
          <w:szCs w:val="18"/>
          <w:color w:val="auto"/>
        </w:rPr>
        <w:t>.</w:t>
      </w:r>
    </w:p>
    <w:p>
      <w:pPr>
        <w:spacing w:after="0" w:line="229"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which may result in lawsuits against us and our officers and directors.</w:t>
      </w:r>
    </w:p>
    <w:p>
      <w:pPr>
        <w:spacing w:after="0" w:line="229"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quarterly variations in operating results;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announcements of new services by us or our competitors;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gain or loss of significant customers;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changes in analysts’ earnings estimates;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rumors or dissemination of false information;</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pricing pressures;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short selling of our common stock;</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impact of litigation;</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conditions in the market;</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political and/or military events associated with current worldwide conflicts; and</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events affecting other companies that investors deem comparable to us.</w:t>
      </w:r>
    </w:p>
    <w:p>
      <w:pPr>
        <w:spacing w:after="0" w:line="134" w:lineRule="exact"/>
        <w:rPr>
          <w:sz w:val="20"/>
          <w:szCs w:val="20"/>
          <w:color w:val="auto"/>
        </w:rPr>
      </w:pPr>
    </w:p>
    <w:p>
      <w:pPr>
        <w:ind w:right="180" w:firstLine="259"/>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deter potential acquirers and may depress our stock price.</w:t>
      </w:r>
    </w:p>
    <w:p>
      <w:pPr>
        <w:spacing w:after="0" w:line="162"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07"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authorizing the board of directors to issue preferred stock;</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prohibiting cumulative voting in the election of directors;</w:t>
      </w:r>
    </w:p>
    <w:p>
      <w:pPr>
        <w:spacing w:after="0" w:line="138" w:lineRule="exact"/>
        <w:rPr>
          <w:rFonts w:ascii="Arial" w:cs="Arial" w:eastAsia="Arial" w:hAnsi="Arial"/>
          <w:sz w:val="22"/>
          <w:szCs w:val="22"/>
          <w:color w:val="auto"/>
        </w:rPr>
      </w:pPr>
    </w:p>
    <w:p>
      <w:pPr>
        <w:ind w:left="820" w:hanging="326"/>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prohibiting stockholder action by written consent;</w:t>
      </w:r>
    </w:p>
    <w:p>
      <w:pPr>
        <w:spacing w:after="0" w:line="161" w:lineRule="exact"/>
        <w:rPr>
          <w:rFonts w:ascii="Arial" w:cs="Arial" w:eastAsia="Arial" w:hAnsi="Arial"/>
          <w:sz w:val="22"/>
          <w:szCs w:val="22"/>
          <w:color w:val="auto"/>
        </w:rPr>
      </w:pPr>
    </w:p>
    <w:p>
      <w:pPr>
        <w:ind w:left="820" w:right="260" w:hanging="326"/>
        <w:spacing w:after="0" w:line="232" w:lineRule="auto"/>
        <w:tabs>
          <w:tab w:leader="none" w:pos="814" w:val="left"/>
        </w:tabs>
        <w:numPr>
          <w:ilvl w:val="0"/>
          <w:numId w:val="12"/>
        </w:numPr>
        <w:rPr>
          <w:rFonts w:ascii="Arial" w:cs="Arial" w:eastAsia="Arial" w:hAnsi="Arial"/>
          <w:sz w:val="22"/>
          <w:szCs w:val="22"/>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63" w:lineRule="exact"/>
        <w:rPr>
          <w:rFonts w:ascii="Arial" w:cs="Arial" w:eastAsia="Arial" w:hAnsi="Arial"/>
          <w:sz w:val="22"/>
          <w:szCs w:val="22"/>
          <w:color w:val="auto"/>
        </w:rPr>
      </w:pPr>
    </w:p>
    <w:p>
      <w:pPr>
        <w:ind w:left="820" w:hanging="326"/>
        <w:spacing w:after="0" w:line="232" w:lineRule="auto"/>
        <w:tabs>
          <w:tab w:leader="none" w:pos="814" w:val="left"/>
        </w:tabs>
        <w:numPr>
          <w:ilvl w:val="0"/>
          <w:numId w:val="12"/>
        </w:numPr>
        <w:rPr>
          <w:rFonts w:ascii="Arial" w:cs="Arial" w:eastAsia="Arial" w:hAnsi="Arial"/>
          <w:sz w:val="22"/>
          <w:szCs w:val="22"/>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52" w:lineRule="exact"/>
        <w:rPr>
          <w:rFonts w:ascii="Arial" w:cs="Arial" w:eastAsia="Arial" w:hAnsi="Arial"/>
          <w:sz w:val="22"/>
          <w:szCs w:val="22"/>
          <w:color w:val="auto"/>
        </w:rPr>
      </w:pPr>
    </w:p>
    <w:p>
      <w:pPr>
        <w:ind w:left="820" w:hanging="326"/>
        <w:spacing w:after="0"/>
        <w:tabs>
          <w:tab w:leader="none" w:pos="820" w:val="left"/>
        </w:tabs>
        <w:numPr>
          <w:ilvl w:val="0"/>
          <w:numId w:val="12"/>
        </w:numPr>
        <w:rPr>
          <w:rFonts w:ascii="Arial" w:cs="Arial" w:eastAsia="Arial" w:hAnsi="Arial"/>
          <w:sz w:val="21"/>
          <w:szCs w:val="21"/>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134" w:lineRule="exact"/>
        <w:rPr>
          <w:sz w:val="20"/>
          <w:szCs w:val="20"/>
          <w:color w:val="auto"/>
        </w:rPr>
      </w:pPr>
    </w:p>
    <w:p>
      <w:pPr>
        <w:ind w:right="80" w:firstLine="259"/>
        <w:spacing w:after="0" w:line="293" w:lineRule="auto"/>
        <w:rPr>
          <w:sz w:val="20"/>
          <w:szCs w:val="20"/>
          <w:color w:val="auto"/>
        </w:rPr>
      </w:pPr>
      <w:r>
        <w:rPr>
          <w:rFonts w:ascii="Arial" w:cs="Arial" w:eastAsia="Arial" w:hAnsi="Arial"/>
          <w:sz w:val="16"/>
          <w:szCs w:val="16"/>
          <w:color w:val="auto"/>
        </w:rPr>
        <w:t xml:space="preserve">In addition, on December 16, 2004, we adopted a stockholder rights plan (“Rights Plan”). Pursuant to the Rights Plan, our Board of Directors declared a dividend distribution of one preferred share purchase 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w:t>
      </w:r>
      <w:r>
        <w:rPr>
          <w:rFonts w:ascii="Arial" w:cs="Arial" w:eastAsia="Arial" w:hAnsi="Arial"/>
          <w:sz w:val="15"/>
          <w:szCs w:val="15"/>
          <w:color w:val="auto"/>
        </w:rPr>
        <w:t>price, a number of the acquiring</w:t>
      </w:r>
    </w:p>
    <w:p>
      <w:pPr>
        <w:sectPr>
          <w:pgSz w:w="11900" w:h="16838" w:orient="portrait"/>
          <w:cols w:equalWidth="0" w:num="1">
            <w:col w:w="11380"/>
          </w:cols>
          <w:pgMar w:left="240" w:top="125" w:right="279" w:bottom="0" w:gutter="0" w:footer="0" w:header="0"/>
        </w:sectPr>
      </w:pPr>
    </w:p>
    <w:bookmarkStart w:id="29" w:name="page30"/>
    <w:bookmarkEnd w:id="29"/>
    <w:p>
      <w:pPr>
        <w:jc w:val="both"/>
        <w:ind w:right="200"/>
        <w:spacing w:after="0" w:line="264" w:lineRule="auto"/>
        <w:rPr>
          <w:sz w:val="20"/>
          <w:szCs w:val="20"/>
          <w:color w:val="auto"/>
        </w:rPr>
      </w:pPr>
      <w:r>
        <w:rPr>
          <w:rFonts w:ascii="Arial" w:cs="Arial" w:eastAsia="Arial" w:hAnsi="Arial"/>
          <w:sz w:val="18"/>
          <w:szCs w:val="18"/>
          <w:color w:val="auto"/>
        </w:rPr>
        <w:t>company’s common shares having a market value at the time of twice the Rights exercise price. These provisions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10" w:lineRule="exact"/>
        <w:rPr>
          <w:sz w:val="20"/>
          <w:szCs w:val="20"/>
          <w:color w:val="auto"/>
        </w:rPr>
      </w:pPr>
    </w:p>
    <w:p>
      <w:pPr>
        <w:jc w:val="right"/>
        <w:ind w:right="10200"/>
        <w:spacing w:after="0"/>
        <w:rPr>
          <w:sz w:val="20"/>
          <w:szCs w:val="20"/>
          <w:color w:val="auto"/>
        </w:rPr>
      </w:pPr>
      <w:r>
        <w:rPr>
          <w:rFonts w:ascii="Arial" w:cs="Arial" w:eastAsia="Arial" w:hAnsi="Arial"/>
          <w:sz w:val="16"/>
          <w:szCs w:val="16"/>
          <w:b w:val="1"/>
          <w:bCs w:val="1"/>
          <w:color w:val="auto"/>
        </w:rPr>
        <w:t>Item 6. Exhibits</w:t>
      </w:r>
    </w:p>
    <w:p>
      <w:pPr>
        <w:spacing w:after="0" w:line="185" w:lineRule="exact"/>
        <w:rPr>
          <w:sz w:val="20"/>
          <w:szCs w:val="20"/>
          <w:color w:val="auto"/>
        </w:rPr>
      </w:pPr>
    </w:p>
    <w:p>
      <w:pPr>
        <w:jc w:val="right"/>
        <w:ind w:right="101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340"/>
              <w:spacing w:after="0"/>
              <w:rPr>
                <w:sz w:val="20"/>
                <w:szCs w:val="20"/>
                <w:color w:val="auto"/>
              </w:rPr>
            </w:pPr>
            <w:r>
              <w:rPr>
                <w:rFonts w:ascii="Arial" w:cs="Arial" w:eastAsia="Arial" w:hAnsi="Arial"/>
                <w:sz w:val="18"/>
                <w:szCs w:val="18"/>
                <w:color w:val="auto"/>
              </w:rPr>
              <w:t>2.1</w:t>
            </w:r>
          </w:p>
        </w:tc>
        <w:tc>
          <w:tcPr>
            <w:tcW w:w="10480" w:type="dxa"/>
            <w:vAlign w:val="bottom"/>
          </w:tcPr>
          <w:p>
            <w:pPr>
              <w:ind w:left="300"/>
              <w:spacing w:after="0"/>
              <w:rPr>
                <w:sz w:val="20"/>
                <w:szCs w:val="20"/>
                <w:color w:val="auto"/>
              </w:rPr>
            </w:pPr>
            <w:r>
              <w:rPr>
                <w:rFonts w:ascii="Arial" w:cs="Arial" w:eastAsia="Arial" w:hAnsi="Arial"/>
                <w:sz w:val="18"/>
                <w:szCs w:val="18"/>
                <w:color w:val="auto"/>
              </w:rPr>
              <w:t>Stock Purchase Agreement by and among the Company, JMA Associates, Inc. d/b/a TLA Associates and the Stockholders of</w:t>
            </w:r>
          </w:p>
        </w:tc>
      </w:tr>
      <w:tr>
        <w:trPr>
          <w:trHeight w:val="216"/>
        </w:trPr>
        <w:tc>
          <w:tcPr>
            <w:tcW w:w="96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JMA Associates, Inc. dated as of January 27, 2005. (1)</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2.2</w:t>
            </w:r>
          </w:p>
        </w:tc>
        <w:tc>
          <w:tcPr>
            <w:tcW w:w="10480" w:type="dxa"/>
            <w:vAlign w:val="bottom"/>
          </w:tcPr>
          <w:p>
            <w:pPr>
              <w:ind w:left="300"/>
              <w:spacing w:after="0"/>
              <w:rPr>
                <w:sz w:val="20"/>
                <w:szCs w:val="20"/>
                <w:color w:val="auto"/>
              </w:rPr>
            </w:pPr>
            <w:r>
              <w:rPr>
                <w:rFonts w:ascii="Arial" w:cs="Arial" w:eastAsia="Arial" w:hAnsi="Arial"/>
                <w:sz w:val="18"/>
                <w:szCs w:val="18"/>
                <w:color w:val="auto"/>
              </w:rPr>
              <w:t>Equity Purchase Agreement, dated February 17, 2006, by and between Sakoki LLC and the Company. (6)</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3.1</w:t>
            </w:r>
          </w:p>
        </w:tc>
        <w:tc>
          <w:tcPr>
            <w:tcW w:w="10480" w:type="dxa"/>
            <w:vAlign w:val="bottom"/>
          </w:tcPr>
          <w:p>
            <w:pPr>
              <w:ind w:left="300"/>
              <w:spacing w:after="0"/>
              <w:rPr>
                <w:sz w:val="20"/>
                <w:szCs w:val="20"/>
                <w:color w:val="auto"/>
              </w:rPr>
            </w:pPr>
            <w:r>
              <w:rPr>
                <w:rFonts w:ascii="Arial" w:cs="Arial" w:eastAsia="Arial" w:hAnsi="Arial"/>
                <w:sz w:val="18"/>
                <w:szCs w:val="18"/>
                <w:color w:val="auto"/>
              </w:rPr>
              <w:t>Amended and Restated Certificate of Incorporation. (2)</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3.2</w:t>
            </w:r>
          </w:p>
        </w:tc>
        <w:tc>
          <w:tcPr>
            <w:tcW w:w="10480" w:type="dxa"/>
            <w:vAlign w:val="bottom"/>
          </w:tcPr>
          <w:p>
            <w:pPr>
              <w:ind w:left="300"/>
              <w:spacing w:after="0"/>
              <w:rPr>
                <w:sz w:val="20"/>
                <w:szCs w:val="20"/>
                <w:color w:val="auto"/>
              </w:rPr>
            </w:pPr>
            <w:r>
              <w:rPr>
                <w:rFonts w:ascii="Arial" w:cs="Arial" w:eastAsia="Arial" w:hAnsi="Arial"/>
                <w:sz w:val="18"/>
                <w:szCs w:val="18"/>
                <w:color w:val="auto"/>
              </w:rPr>
              <w:t>Bylaws in effect since November 5, 1999.(3)</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3.3</w:t>
            </w:r>
          </w:p>
        </w:tc>
        <w:tc>
          <w:tcPr>
            <w:tcW w:w="10480" w:type="dxa"/>
            <w:vAlign w:val="bottom"/>
          </w:tcPr>
          <w:p>
            <w:pPr>
              <w:ind w:left="300"/>
              <w:spacing w:after="0"/>
              <w:rPr>
                <w:sz w:val="20"/>
                <w:szCs w:val="20"/>
                <w:color w:val="auto"/>
              </w:rPr>
            </w:pPr>
            <w:r>
              <w:rPr>
                <w:rFonts w:ascii="Arial" w:cs="Arial" w:eastAsia="Arial" w:hAnsi="Arial"/>
                <w:sz w:val="18"/>
                <w:szCs w:val="18"/>
                <w:color w:val="auto"/>
              </w:rPr>
              <w:t>Certificate of Designations, Preferences and Rights of Series B Preferred Stock.(4)</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3.4</w:t>
            </w:r>
          </w:p>
        </w:tc>
        <w:tc>
          <w:tcPr>
            <w:tcW w:w="10480" w:type="dxa"/>
            <w:vAlign w:val="bottom"/>
          </w:tcPr>
          <w:p>
            <w:pPr>
              <w:ind w:left="300"/>
              <w:spacing w:after="0"/>
              <w:rPr>
                <w:sz w:val="20"/>
                <w:szCs w:val="20"/>
                <w:color w:val="auto"/>
              </w:rPr>
            </w:pPr>
            <w:r>
              <w:rPr>
                <w:rFonts w:ascii="Arial" w:cs="Arial" w:eastAsia="Arial" w:hAnsi="Arial"/>
                <w:sz w:val="18"/>
                <w:szCs w:val="18"/>
                <w:color w:val="auto"/>
              </w:rPr>
              <w:t>Certificate of Designation of Series C Preferred Stock. (5)</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4.1</w:t>
            </w:r>
          </w:p>
        </w:tc>
        <w:tc>
          <w:tcPr>
            <w:tcW w:w="10480" w:type="dxa"/>
            <w:vAlign w:val="bottom"/>
          </w:tcPr>
          <w:p>
            <w:pPr>
              <w:ind w:left="300"/>
              <w:spacing w:after="0"/>
              <w:rPr>
                <w:sz w:val="20"/>
                <w:szCs w:val="20"/>
                <w:color w:val="auto"/>
              </w:rPr>
            </w:pPr>
            <w:r>
              <w:rPr>
                <w:rFonts w:ascii="Arial" w:cs="Arial" w:eastAsia="Arial" w:hAnsi="Arial"/>
                <w:sz w:val="18"/>
                <w:szCs w:val="18"/>
                <w:color w:val="auto"/>
              </w:rPr>
              <w:t>Reference is made to Exhibits 3.1, 3.2, 3.3 and 3.4.</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4.2</w:t>
            </w:r>
          </w:p>
        </w:tc>
        <w:tc>
          <w:tcPr>
            <w:tcW w:w="10480" w:type="dxa"/>
            <w:vAlign w:val="bottom"/>
          </w:tcPr>
          <w:p>
            <w:pPr>
              <w:ind w:left="300"/>
              <w:spacing w:after="0"/>
              <w:rPr>
                <w:sz w:val="20"/>
                <w:szCs w:val="20"/>
                <w:color w:val="auto"/>
              </w:rPr>
            </w:pPr>
            <w:r>
              <w:rPr>
                <w:rFonts w:ascii="Arial" w:cs="Arial" w:eastAsia="Arial" w:hAnsi="Arial"/>
                <w:sz w:val="18"/>
                <w:szCs w:val="18"/>
                <w:color w:val="auto"/>
              </w:rPr>
              <w:t>Specimen Stock Certificate.(1)</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4.3</w:t>
            </w:r>
          </w:p>
        </w:tc>
        <w:tc>
          <w:tcPr>
            <w:tcW w:w="10480" w:type="dxa"/>
            <w:vAlign w:val="bottom"/>
          </w:tcPr>
          <w:p>
            <w:pPr>
              <w:ind w:left="300"/>
              <w:spacing w:after="0"/>
              <w:rPr>
                <w:sz w:val="20"/>
                <w:szCs w:val="20"/>
                <w:color w:val="auto"/>
              </w:rPr>
            </w:pPr>
            <w:r>
              <w:rPr>
                <w:rFonts w:ascii="Arial" w:cs="Arial" w:eastAsia="Arial" w:hAnsi="Arial"/>
                <w:sz w:val="18"/>
                <w:szCs w:val="18"/>
                <w:color w:val="auto"/>
              </w:rPr>
              <w:t>Rights Agreement, dated as of December 16, 2004, between the Company and Wells Fargo, N.A.(5)</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31.1</w:t>
            </w:r>
          </w:p>
        </w:tc>
        <w:tc>
          <w:tcPr>
            <w:tcW w:w="10480" w:type="dxa"/>
            <w:vAlign w:val="bottom"/>
          </w:tcPr>
          <w:p>
            <w:pPr>
              <w:ind w:left="300"/>
              <w:spacing w:after="0"/>
              <w:rPr>
                <w:sz w:val="20"/>
                <w:szCs w:val="20"/>
                <w:color w:val="auto"/>
              </w:rPr>
            </w:pPr>
            <w:r>
              <w:rPr>
                <w:rFonts w:ascii="Arial" w:cs="Arial" w:eastAsia="Arial" w:hAnsi="Arial"/>
                <w:sz w:val="18"/>
                <w:szCs w:val="18"/>
                <w:color w:val="auto"/>
              </w:rPr>
              <w:t>Periodic Report Certification by Chief Executive Officer of Quarterly Report on Form 10-Q for the quarterly period ended</w:t>
            </w:r>
          </w:p>
        </w:tc>
      </w:tr>
      <w:tr>
        <w:trPr>
          <w:trHeight w:val="216"/>
        </w:trPr>
        <w:tc>
          <w:tcPr>
            <w:tcW w:w="96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March 31, 2006, pursuant to Section 302 of the Sarbanes-Oxley Act of 2002.*</w:t>
            </w:r>
          </w:p>
        </w:tc>
      </w:tr>
      <w:tr>
        <w:trPr>
          <w:trHeight w:val="230"/>
        </w:trPr>
        <w:tc>
          <w:tcPr>
            <w:tcW w:w="960" w:type="dxa"/>
            <w:vAlign w:val="bottom"/>
          </w:tcPr>
          <w:p>
            <w:pPr>
              <w:ind w:left="340"/>
              <w:spacing w:after="0"/>
              <w:rPr>
                <w:sz w:val="20"/>
                <w:szCs w:val="20"/>
                <w:color w:val="auto"/>
              </w:rPr>
            </w:pPr>
            <w:r>
              <w:rPr>
                <w:rFonts w:ascii="Arial" w:cs="Arial" w:eastAsia="Arial" w:hAnsi="Arial"/>
                <w:sz w:val="18"/>
                <w:szCs w:val="18"/>
                <w:color w:val="auto"/>
              </w:rPr>
              <w:t>31.2</w:t>
            </w:r>
          </w:p>
        </w:tc>
        <w:tc>
          <w:tcPr>
            <w:tcW w:w="10480" w:type="dxa"/>
            <w:vAlign w:val="bottom"/>
          </w:tcPr>
          <w:p>
            <w:pPr>
              <w:ind w:left="300"/>
              <w:spacing w:after="0"/>
              <w:rPr>
                <w:sz w:val="20"/>
                <w:szCs w:val="20"/>
                <w:color w:val="auto"/>
              </w:rPr>
            </w:pPr>
            <w:r>
              <w:rPr>
                <w:rFonts w:ascii="Arial" w:cs="Arial" w:eastAsia="Arial" w:hAnsi="Arial"/>
                <w:sz w:val="18"/>
                <w:szCs w:val="18"/>
                <w:color w:val="auto"/>
              </w:rPr>
              <w:t>Periodic Report Certification by Chief Financial Officer of Quarterly Report on Form 10-Q for the quarterly</w:t>
            </w:r>
          </w:p>
        </w:tc>
      </w:tr>
      <w:tr>
        <w:trPr>
          <w:trHeight w:val="365"/>
        </w:trPr>
        <w:tc>
          <w:tcPr>
            <w:tcW w:w="96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36</w:t>
            </w:r>
          </w:p>
        </w:tc>
      </w:tr>
      <w:tr>
        <w:trPr>
          <w:trHeight w:val="118"/>
        </w:trPr>
        <w:tc>
          <w:tcPr>
            <w:tcW w:w="96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tcPr>
          <w:p>
            <w:pPr>
              <w:spacing w:after="0"/>
              <w:rPr>
                <w:sz w:val="10"/>
                <w:szCs w:val="10"/>
                <w:color w:val="auto"/>
              </w:rPr>
            </w:pPr>
          </w:p>
        </w:tc>
      </w:tr>
      <w:tr>
        <w:trPr>
          <w:trHeight w:val="766"/>
        </w:trPr>
        <w:tc>
          <w:tcPr>
            <w:tcW w:w="960" w:type="dxa"/>
            <w:vAlign w:val="bottom"/>
          </w:tcPr>
          <w:p>
            <w:pPr>
              <w:spacing w:after="0"/>
              <w:rPr>
                <w:sz w:val="24"/>
                <w:szCs w:val="24"/>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period ended March 31, 2006, pursuant to Section 302 of the Sarbanes-Oxley Act of 2002.*</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32.1</w:t>
            </w:r>
          </w:p>
        </w:tc>
        <w:tc>
          <w:tcPr>
            <w:tcW w:w="10480" w:type="dxa"/>
            <w:vAlign w:val="bottom"/>
          </w:tcPr>
          <w:p>
            <w:pPr>
              <w:ind w:left="300"/>
              <w:spacing w:after="0"/>
              <w:rPr>
                <w:sz w:val="20"/>
                <w:szCs w:val="20"/>
                <w:color w:val="auto"/>
              </w:rPr>
            </w:pPr>
            <w:r>
              <w:rPr>
                <w:rFonts w:ascii="Arial" w:cs="Arial" w:eastAsia="Arial" w:hAnsi="Arial"/>
                <w:sz w:val="18"/>
                <w:szCs w:val="18"/>
                <w:color w:val="auto"/>
              </w:rPr>
              <w:t>Periodic Report Certification by Chief Executive Officer of Quarterly Report on Form 10-Q for the quarterly period ended</w:t>
            </w:r>
          </w:p>
        </w:tc>
      </w:tr>
      <w:tr>
        <w:trPr>
          <w:trHeight w:val="216"/>
        </w:trPr>
        <w:tc>
          <w:tcPr>
            <w:tcW w:w="960" w:type="dxa"/>
            <w:vAlign w:val="bottom"/>
          </w:tcPr>
          <w:p>
            <w:pPr>
              <w:spacing w:after="0"/>
              <w:rPr>
                <w:sz w:val="18"/>
                <w:szCs w:val="18"/>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March 31, 2006, pursuant to Section 906 of the Sarbanes-Oxley Act of 2002.*</w:t>
            </w:r>
          </w:p>
        </w:tc>
      </w:tr>
      <w:tr>
        <w:trPr>
          <w:trHeight w:val="216"/>
        </w:trPr>
        <w:tc>
          <w:tcPr>
            <w:tcW w:w="960" w:type="dxa"/>
            <w:vAlign w:val="bottom"/>
          </w:tcPr>
          <w:p>
            <w:pPr>
              <w:ind w:left="340"/>
              <w:spacing w:after="0"/>
              <w:rPr>
                <w:sz w:val="20"/>
                <w:szCs w:val="20"/>
                <w:color w:val="auto"/>
              </w:rPr>
            </w:pPr>
            <w:r>
              <w:rPr>
                <w:rFonts w:ascii="Arial" w:cs="Arial" w:eastAsia="Arial" w:hAnsi="Arial"/>
                <w:sz w:val="18"/>
                <w:szCs w:val="18"/>
                <w:color w:val="auto"/>
              </w:rPr>
              <w:t>32.2</w:t>
            </w:r>
          </w:p>
        </w:tc>
        <w:tc>
          <w:tcPr>
            <w:tcW w:w="10480" w:type="dxa"/>
            <w:vAlign w:val="bottom"/>
          </w:tcPr>
          <w:p>
            <w:pPr>
              <w:ind w:left="300"/>
              <w:spacing w:after="0"/>
              <w:rPr>
                <w:sz w:val="20"/>
                <w:szCs w:val="20"/>
                <w:color w:val="auto"/>
              </w:rPr>
            </w:pPr>
            <w:r>
              <w:rPr>
                <w:rFonts w:ascii="Arial" w:cs="Arial" w:eastAsia="Arial" w:hAnsi="Arial"/>
                <w:sz w:val="18"/>
                <w:szCs w:val="18"/>
                <w:color w:val="auto"/>
              </w:rPr>
              <w:t>Periodic Report Certification by Chief Financial Officer of Quarterly Report on Form 10-Q for the quarterly period ended</w:t>
            </w:r>
          </w:p>
        </w:tc>
      </w:tr>
      <w:tr>
        <w:trPr>
          <w:trHeight w:val="230"/>
        </w:trPr>
        <w:tc>
          <w:tcPr>
            <w:tcW w:w="96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March 31, 2006,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-1058545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-1058545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January 16, 2004 and incorporated herein by reference.</w:t>
      </w:r>
    </w:p>
    <w:p>
      <w:pPr>
        <w:spacing w:after="0" w:line="9" w:lineRule="exact"/>
        <w:rPr>
          <w:rFonts w:ascii="Arial" w:cs="Arial" w:eastAsia="Arial" w:hAnsi="Arial"/>
          <w:sz w:val="18"/>
          <w:szCs w:val="18"/>
          <w:color w:val="auto"/>
        </w:rPr>
      </w:pPr>
    </w:p>
    <w:p>
      <w:pPr>
        <w:ind w:left="640" w:right="220" w:hanging="632"/>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September 28, 2001, filed on November 13, 2001 and incorporated herein by reference.</w:t>
      </w: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333-85515), and incorporated herein by reference.</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8-K/A filed on June 5, 2002, and incorporated herein by reference.</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Form 8-K filed on December 17, 2004 and incorporated herein by reference.</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February 23, 2006 and incorporated herein by reference.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WIRELESS FACILITIES, INC.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1"/>
        </w:trPr>
        <w:tc>
          <w:tcPr>
            <w:tcW w:w="56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Eric M. DeMarco</w:t>
            </w:r>
          </w:p>
        </w:tc>
      </w:tr>
      <w:tr>
        <w:trPr>
          <w:trHeight w:val="234"/>
        </w:trPr>
        <w:tc>
          <w:tcPr>
            <w:tcW w:w="5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President</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191"/>
        </w:trPr>
        <w:tc>
          <w:tcPr>
            <w:tcW w:w="56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Deanna H. Lund</w:t>
            </w:r>
          </w:p>
        </w:tc>
      </w:tr>
      <w:tr>
        <w:trPr>
          <w:trHeight w:val="234"/>
        </w:trPr>
        <w:tc>
          <w:tcPr>
            <w:tcW w:w="5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Chief Financial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LAURA L. SIEGAL</w:t>
            </w:r>
          </w:p>
        </w:tc>
      </w:tr>
      <w:tr>
        <w:trPr>
          <w:trHeight w:val="191"/>
        </w:trPr>
        <w:tc>
          <w:tcPr>
            <w:tcW w:w="560" w:type="dxa"/>
            <w:vAlign w:val="bottom"/>
          </w:tcPr>
          <w:p>
            <w:pPr>
              <w:spacing w:after="0"/>
              <w:rPr>
                <w:sz w:val="16"/>
                <w:szCs w:val="16"/>
                <w:color w:val="auto"/>
              </w:rPr>
            </w:pPr>
          </w:p>
        </w:tc>
        <w:tc>
          <w:tcPr>
            <w:tcW w:w="5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Laura L. Siegal</w:t>
            </w:r>
          </w:p>
        </w:tc>
      </w:tr>
      <w:tr>
        <w:trPr>
          <w:trHeight w:val="216"/>
        </w:trPr>
        <w:tc>
          <w:tcPr>
            <w:tcW w:w="5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1"/>
              </w:rPr>
              <w:t>Vice President, Corporate Controller and</w:t>
            </w:r>
          </w:p>
        </w:tc>
      </w:tr>
      <w:tr>
        <w:trPr>
          <w:trHeight w:val="234"/>
        </w:trPr>
        <w:tc>
          <w:tcPr>
            <w:tcW w:w="56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Accounting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ectPr>
          <w:pgSz w:w="11900" w:h="16838" w:orient="portrait"/>
          <w:cols w:equalWidth="0" w:num="1">
            <w:col w:w="11440"/>
          </w:cols>
          <w:pgMar w:left="240" w:top="125" w:right="219" w:bottom="879"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879"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60"/>
        <w:spacing w:after="0" w:line="264" w:lineRule="auto"/>
        <w:tabs>
          <w:tab w:leader="none" w:pos="12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720"/>
        <w:spacing w:after="0" w:line="308" w:lineRule="auto"/>
        <w:tabs>
          <w:tab w:leader="none" w:pos="121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00"/>
        <w:spacing w:after="0" w:line="277" w:lineRule="auto"/>
        <w:tabs>
          <w:tab w:leader="none" w:pos="12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May 10, 2006</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361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60"/>
        <w:spacing w:after="0" w:line="264" w:lineRule="auto"/>
        <w:tabs>
          <w:tab w:leader="none" w:pos="12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328"/>
        <w:spacing w:after="0" w:line="277"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720"/>
        <w:spacing w:after="0" w:line="308" w:lineRule="auto"/>
        <w:tabs>
          <w:tab w:leader="none" w:pos="121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400"/>
        <w:spacing w:after="0" w:line="277" w:lineRule="auto"/>
        <w:tabs>
          <w:tab w:leader="none" w:pos="12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 (18 U.S.C. SECTION 1350)</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March 31, 2006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Eric M. DeMarco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955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 (18 U.S.C. SECTION 1350)</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the accompanying Quarterly Report of Wireless Facilities, Inc. (the “Company”) on Form 10-Q for the quarter ended March 31, 2006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Deanna H. Lund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955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7"/>
    </w:lvl>
  </w:abstractNum>
  <w:abstractNum w:abstractNumId="3">
    <w:nsid w:val="1F16E9E8"/>
    <w:multiLevelType w:val="hybridMultilevel"/>
    <w:lvl w:ilvl="0">
      <w:lvlJc w:val="left"/>
      <w:lvlText w:val="%1"/>
      <w:numFmt w:val="lowerRoman"/>
      <w:start w:val="1"/>
    </w:lvl>
    <w:lvl w:ilvl="1">
      <w:lvlJc w:val="left"/>
      <w:lvlText w:val="(%2)"/>
      <w:numFmt w:val="decimal"/>
      <w:start w:val="1"/>
    </w:lvl>
  </w:abstractNum>
  <w:abstractNum w:abstractNumId="4">
    <w:nsid w:val="1190CDE7"/>
    <w:multiLevelType w:val="hybridMultilevel"/>
    <w:lvl w:ilvl="0">
      <w:lvlJc w:val="left"/>
      <w:lvlText w:val="(%1)"/>
      <w:numFmt w:val="lowerRoman"/>
      <w:start w:val="1"/>
    </w:lvl>
    <w:lvl w:ilvl="1">
      <w:lvlJc w:val="left"/>
      <w:lvlText w:val="%2"/>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16" Type="http://schemas.openxmlformats.org/officeDocument/2006/relationships/hyperlink" Target="file:///data/convert/a06-9464_110q.htm#Item2_ManagementsDiscussionAndAna_045522" TargetMode="External"/><Relationship Id="rId17" Type="http://schemas.openxmlformats.org/officeDocument/2006/relationships/hyperlink" Target="file:///data/convert/a06-9464_110q.htm#Item3_QuantitativeAndQualitativeD_050111" TargetMode="External"/><Relationship Id="rId18" Type="http://schemas.openxmlformats.org/officeDocument/2006/relationships/hyperlink" Target="file:///data/convert/a06-9464_110q.htm#Item4_ControlsAndProcedures_050120" TargetMode="External"/><Relationship Id="rId19" Type="http://schemas.openxmlformats.org/officeDocument/2006/relationships/hyperlink" Target="file:///data/convert/a06-9464_110q.htm#Partii_OtherInformation_050140" TargetMode="External"/><Relationship Id="rId20" Type="http://schemas.openxmlformats.org/officeDocument/2006/relationships/hyperlink" Target="file:///data/convert/a06-9464_110q.htm#Item1_LegalProceedings_050144" TargetMode="External"/><Relationship Id="rId21" Type="http://schemas.openxmlformats.org/officeDocument/2006/relationships/hyperlink" Target="file:///data/convert/a06-9464_110q.htm#Item1a_RiskFactors_050153" TargetMode="External"/><Relationship Id="rId22" Type="http://schemas.openxmlformats.org/officeDocument/2006/relationships/hyperlink" Target="file:///data/convert/a06-9464_110q.htm#Item6_Exhibits_050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2019-12-14T20:24:17Z</dcterms:created>
  <dcterms:modified xsi:type="dcterms:W3CDTF">2019-12-14T20:24:17Z</dcterms:modified>
</cp:coreProperties>
</file>