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7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920" w:right="360" w:hanging="635"/>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2008</w:t>
      </w:r>
    </w:p>
    <w:p>
      <w:pPr>
        <w:spacing w:after="0" w:line="239" w:lineRule="exact"/>
        <w:rPr>
          <w:sz w:val="24"/>
          <w:szCs w:val="24"/>
          <w:color w:val="auto"/>
        </w:rPr>
      </w:pPr>
    </w:p>
    <w:p>
      <w:pPr>
        <w:ind w:left="920" w:right="340" w:hanging="595"/>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980" w:type="dxa"/>
        <w:tblCellMar>
          <w:top w:w="0" w:type="dxa"/>
          <w:left w:w="0" w:type="dxa"/>
          <w:bottom w:w="0" w:type="dxa"/>
          <w:right w:w="0" w:type="dxa"/>
        </w:tblCellMar>
      </w:tblPr>
      <w:tr>
        <w:trPr>
          <w:trHeight w:val="222"/>
        </w:trPr>
        <w:tc>
          <w:tcPr>
            <w:tcW w:w="294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Delaware</w:t>
            </w:r>
          </w:p>
        </w:tc>
        <w:tc>
          <w:tcPr>
            <w:tcW w:w="212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13-3818604</w:t>
            </w:r>
          </w:p>
        </w:tc>
      </w:tr>
      <w:tr>
        <w:trPr>
          <w:trHeight w:val="216"/>
        </w:trPr>
        <w:tc>
          <w:tcPr>
            <w:tcW w:w="294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w:t>
            </w:r>
          </w:p>
        </w:tc>
        <w:tc>
          <w:tcPr>
            <w:tcW w:w="2120" w:type="dxa"/>
            <w:vAlign w:val="bottom"/>
          </w:tcPr>
          <w:p>
            <w:pPr>
              <w:jc w:val="center"/>
              <w:ind w:left="712"/>
              <w:spacing w:after="0"/>
              <w:rPr>
                <w:sz w:val="20"/>
                <w:szCs w:val="20"/>
                <w:color w:val="auto"/>
              </w:rPr>
            </w:pPr>
            <w:r>
              <w:rPr>
                <w:rFonts w:ascii="Arial" w:cs="Arial" w:eastAsia="Arial" w:hAnsi="Arial"/>
                <w:sz w:val="18"/>
                <w:szCs w:val="18"/>
                <w:color w:val="auto"/>
                <w:w w:val="90"/>
              </w:rPr>
              <w:t>(I.R.S. Employer</w:t>
            </w:r>
          </w:p>
        </w:tc>
      </w:tr>
      <w:tr>
        <w:trPr>
          <w:trHeight w:val="222"/>
        </w:trPr>
        <w:tc>
          <w:tcPr>
            <w:tcW w:w="2940" w:type="dxa"/>
            <w:vAlign w:val="bottom"/>
          </w:tcPr>
          <w:p>
            <w:pPr>
              <w:jc w:val="center"/>
              <w:ind w:right="732"/>
              <w:spacing w:after="0"/>
              <w:rPr>
                <w:sz w:val="20"/>
                <w:szCs w:val="20"/>
                <w:color w:val="auto"/>
              </w:rPr>
            </w:pPr>
            <w:r>
              <w:rPr>
                <w:rFonts w:ascii="Arial" w:cs="Arial" w:eastAsia="Arial" w:hAnsi="Arial"/>
                <w:sz w:val="18"/>
                <w:szCs w:val="18"/>
                <w:color w:val="auto"/>
                <w:w w:val="90"/>
              </w:rPr>
              <w:t>incorporation or organization)</w:t>
            </w:r>
          </w:p>
        </w:tc>
        <w:tc>
          <w:tcPr>
            <w:tcW w:w="2120" w:type="dxa"/>
            <w:vAlign w:val="bottom"/>
          </w:tcPr>
          <w:p>
            <w:pPr>
              <w:jc w:val="center"/>
              <w:ind w:left="712"/>
              <w:spacing w:after="0"/>
              <w:rPr>
                <w:sz w:val="20"/>
                <w:szCs w:val="20"/>
                <w:color w:val="auto"/>
              </w:rPr>
            </w:pPr>
            <w:r>
              <w:rPr>
                <w:rFonts w:ascii="Arial" w:cs="Arial" w:eastAsia="Arial" w:hAnsi="Arial"/>
                <w:sz w:val="18"/>
                <w:szCs w:val="18"/>
                <w:color w:val="auto"/>
                <w:w w:val="94"/>
              </w:rPr>
              <w:t>Identification No.)</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3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60"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filer"and"smaller reporting company" in Rule 12b-2 of the Exchange Act (Check one):</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2480" w:type="dxa"/>
            <w:vAlign w:val="bottom"/>
          </w:tcPr>
          <w:p>
            <w:pPr>
              <w:ind w:left="380"/>
              <w:spacing w:after="0"/>
              <w:rPr>
                <w:sz w:val="20"/>
                <w:szCs w:val="20"/>
                <w:color w:val="auto"/>
              </w:rPr>
            </w:pPr>
            <w:r>
              <w:rPr>
                <w:rFonts w:ascii="Arial" w:cs="Arial" w:eastAsia="Arial" w:hAnsi="Arial"/>
                <w:sz w:val="18"/>
                <w:szCs w:val="18"/>
                <w:color w:val="auto"/>
              </w:rPr>
              <w:t>Large accelerated filer o</w:t>
            </w:r>
          </w:p>
        </w:tc>
        <w:tc>
          <w:tcPr>
            <w:tcW w:w="2300" w:type="dxa"/>
            <w:vAlign w:val="bottom"/>
          </w:tcPr>
          <w:p>
            <w:pPr>
              <w:ind w:left="4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060" w:type="dxa"/>
            <w:vAlign w:val="bottom"/>
          </w:tcPr>
          <w:p>
            <w:pPr>
              <w:jc w:val="center"/>
              <w:ind w:right="482"/>
              <w:spacing w:after="0"/>
              <w:rPr>
                <w:sz w:val="20"/>
                <w:szCs w:val="20"/>
                <w:color w:val="auto"/>
              </w:rPr>
            </w:pPr>
            <w:r>
              <w:rPr>
                <w:rFonts w:ascii="Arial" w:cs="Arial" w:eastAsia="Arial" w:hAnsi="Arial"/>
                <w:sz w:val="18"/>
                <w:szCs w:val="18"/>
                <w:color w:val="auto"/>
                <w:w w:val="89"/>
              </w:rPr>
              <w:t>Non-accelerated filer o</w:t>
            </w:r>
          </w:p>
        </w:tc>
        <w:tc>
          <w:tcPr>
            <w:tcW w:w="2580" w:type="dxa"/>
            <w:vAlign w:val="bottom"/>
          </w:tcPr>
          <w:p>
            <w:pPr>
              <w:ind w:left="80"/>
              <w:spacing w:after="0"/>
              <w:rPr>
                <w:sz w:val="20"/>
                <w:szCs w:val="20"/>
                <w:color w:val="auto"/>
              </w:rPr>
            </w:pPr>
            <w:r>
              <w:rPr>
                <w:rFonts w:ascii="Arial" w:cs="Arial" w:eastAsia="Arial" w:hAnsi="Arial"/>
                <w:sz w:val="18"/>
                <w:szCs w:val="18"/>
                <w:color w:val="auto"/>
              </w:rPr>
              <w:t>Smaller reporting company o</w:t>
            </w:r>
          </w:p>
        </w:tc>
      </w:tr>
      <w:tr>
        <w:trPr>
          <w:trHeight w:val="172"/>
        </w:trPr>
        <w:tc>
          <w:tcPr>
            <w:tcW w:w="2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60" w:type="dxa"/>
            <w:vAlign w:val="bottom"/>
          </w:tcPr>
          <w:p>
            <w:pPr>
              <w:jc w:val="center"/>
              <w:ind w:right="502"/>
              <w:spacing w:after="0"/>
              <w:rPr>
                <w:sz w:val="20"/>
                <w:szCs w:val="20"/>
                <w:color w:val="auto"/>
              </w:rPr>
            </w:pPr>
            <w:r>
              <w:rPr>
                <w:rFonts w:ascii="Arial" w:cs="Arial" w:eastAsia="Arial" w:hAnsi="Arial"/>
                <w:sz w:val="14"/>
                <w:szCs w:val="14"/>
                <w:color w:val="auto"/>
                <w:w w:val="89"/>
              </w:rPr>
              <w:t>(Do not check if a smaller reporting company)</w:t>
            </w:r>
          </w:p>
        </w:tc>
        <w:tc>
          <w:tcPr>
            <w:tcW w:w="2580" w:type="dxa"/>
            <w:vAlign w:val="bottom"/>
          </w:tcPr>
          <w:p>
            <w:pPr>
              <w:spacing w:after="0"/>
              <w:rPr>
                <w:sz w:val="14"/>
                <w:szCs w:val="14"/>
                <w:color w:val="auto"/>
              </w:rPr>
            </w:pPr>
          </w:p>
        </w:tc>
      </w:tr>
      <w:tr>
        <w:trPr>
          <w:trHeight w:val="437"/>
        </w:trPr>
        <w:tc>
          <w:tcPr>
            <w:tcW w:w="8840" w:type="dxa"/>
            <w:vAlign w:val="bottom"/>
            <w:gridSpan w:val="3"/>
          </w:tcPr>
          <w:p>
            <w:pPr>
              <w:ind w:left="3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 Yes o</w:t>
            </w:r>
          </w:p>
        </w:tc>
        <w:tc>
          <w:tcPr>
            <w:tcW w:w="25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2"/>
        </w:trPr>
        <w:tc>
          <w:tcPr>
            <w:tcW w:w="8840" w:type="dxa"/>
            <w:vAlign w:val="bottom"/>
            <w:gridSpan w:val="3"/>
          </w:tcPr>
          <w:p>
            <w:pPr>
              <w:ind w:left="340"/>
              <w:spacing w:after="0"/>
              <w:rPr>
                <w:sz w:val="20"/>
                <w:szCs w:val="20"/>
                <w:color w:val="auto"/>
              </w:rPr>
            </w:pPr>
            <w:r>
              <w:rPr>
                <w:rFonts w:ascii="Arial" w:cs="Arial" w:eastAsia="Arial" w:hAnsi="Arial"/>
                <w:sz w:val="18"/>
                <w:szCs w:val="18"/>
                <w:color w:val="auto"/>
              </w:rPr>
              <w:t>As of July 31, 2008 104,955,373 shares of the registrant's common stock were outstanding</w:t>
            </w:r>
          </w:p>
        </w:tc>
        <w:tc>
          <w:tcPr>
            <w:tcW w:w="2580" w:type="dxa"/>
            <w:vAlign w:val="bottom"/>
          </w:tcPr>
          <w:p>
            <w:pPr>
              <w:spacing w:after="0"/>
              <w:rPr>
                <w:sz w:val="24"/>
                <w:szCs w:val="24"/>
                <w:color w:val="auto"/>
              </w:rPr>
            </w:pPr>
          </w:p>
        </w:tc>
      </w:tr>
      <w:tr>
        <w:trPr>
          <w:trHeight w:val="218"/>
        </w:trPr>
        <w:tc>
          <w:tcPr>
            <w:tcW w:w="24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r>
      <w:tr>
        <w:trPr>
          <w:trHeight w:val="41"/>
        </w:trPr>
        <w:tc>
          <w:tcPr>
            <w:tcW w:w="24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26"/>
        </w:trPr>
        <w:tc>
          <w:tcPr>
            <w:tcW w:w="248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29,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9000" w:type="dxa"/>
            <w:vAlign w:val="bottom"/>
            <w:vMerge w:val="restart"/>
          </w:tcPr>
          <w:p>
            <w:pPr>
              <w:ind w:left="2800"/>
              <w:spacing w:after="0"/>
              <w:rPr>
                <w:sz w:val="20"/>
                <w:szCs w:val="20"/>
                <w:color w:val="auto"/>
              </w:rPr>
            </w:pPr>
            <w:r>
              <w:rPr>
                <w:rFonts w:ascii="Arial" w:cs="Arial" w:eastAsia="Arial" w:hAnsi="Arial"/>
                <w:sz w:val="18"/>
                <w:szCs w:val="18"/>
                <w:b w:val="1"/>
                <w:bCs w:val="1"/>
                <w:color w:val="auto"/>
              </w:rPr>
              <w:t>PART I. FINANCIAL INFORMATION</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40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1.</w:t>
            </w:r>
          </w:p>
        </w:tc>
        <w:tc>
          <w:tcPr>
            <w:tcW w:w="900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9000" w:type="dxa"/>
            <w:vAlign w:val="bottom"/>
          </w:tcPr>
          <w:p>
            <w:pPr>
              <w:ind w:left="280"/>
              <w:spacing w:after="0"/>
              <w:rPr>
                <w:sz w:val="20"/>
                <w:szCs w:val="20"/>
                <w:color w:val="auto"/>
              </w:rPr>
            </w:pPr>
            <w:r>
              <w:rPr>
                <w:rFonts w:ascii="Arial" w:cs="Arial" w:eastAsia="Arial" w:hAnsi="Arial"/>
                <w:sz w:val="18"/>
                <w:szCs w:val="18"/>
                <w:color w:val="auto"/>
              </w:rPr>
              <w:t>Consolidated Balance Sheets at December 31, 2007 and June 29, 2008 (unaudited)</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9000" w:type="dxa"/>
            <w:vAlign w:val="bottom"/>
          </w:tcPr>
          <w:p>
            <w:pPr>
              <w:ind w:left="280"/>
              <w:spacing w:after="0"/>
              <w:rPr>
                <w:sz w:val="20"/>
                <w:szCs w:val="20"/>
                <w:color w:val="auto"/>
              </w:rPr>
            </w:pPr>
            <w:r>
              <w:rPr>
                <w:rFonts w:ascii="Arial" w:cs="Arial" w:eastAsia="Arial" w:hAnsi="Arial"/>
                <w:sz w:val="18"/>
                <w:szCs w:val="18"/>
                <w:color w:val="auto"/>
                <w:w w:val="88"/>
              </w:rPr>
              <w:t>Consolidated Statements of Operations for the Three and Six Months Ended June 30, 2007 and June 29, 2008 (unaudited)</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9000" w:type="dxa"/>
            <w:vAlign w:val="bottom"/>
          </w:tcPr>
          <w:p>
            <w:pPr>
              <w:ind w:left="280"/>
              <w:spacing w:after="0"/>
              <w:rPr>
                <w:sz w:val="20"/>
                <w:szCs w:val="20"/>
                <w:color w:val="auto"/>
              </w:rPr>
            </w:pPr>
            <w:r>
              <w:rPr>
                <w:rFonts w:ascii="Arial" w:cs="Arial" w:eastAsia="Arial" w:hAnsi="Arial"/>
                <w:sz w:val="18"/>
                <w:szCs w:val="18"/>
                <w:color w:val="auto"/>
                <w:w w:val="97"/>
              </w:rPr>
              <w:t>Consolidated Statements of Cash Flows for the Six Months Ended June 30, 2007 and June 29, 2008 (unaudited)</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9000" w:type="dxa"/>
            <w:vAlign w:val="bottom"/>
          </w:tcPr>
          <w:p>
            <w:pPr>
              <w:ind w:left="280"/>
              <w:spacing w:after="0"/>
              <w:rPr>
                <w:sz w:val="20"/>
                <w:szCs w:val="20"/>
                <w:color w:val="auto"/>
              </w:rPr>
            </w:pPr>
            <w:r>
              <w:rPr>
                <w:rFonts w:ascii="Arial" w:cs="Arial" w:eastAsia="Arial" w:hAnsi="Arial"/>
                <w:sz w:val="18"/>
                <w:szCs w:val="18"/>
                <w:color w:val="auto"/>
              </w:rPr>
              <w:t>Notes to Consolidated Financial Statements (unaudited)</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2.</w:t>
            </w:r>
          </w:p>
        </w:tc>
        <w:tc>
          <w:tcPr>
            <w:tcW w:w="900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3.</w:t>
            </w:r>
          </w:p>
        </w:tc>
        <w:tc>
          <w:tcPr>
            <w:tcW w:w="900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4.</w:t>
            </w:r>
          </w:p>
        </w:tc>
        <w:tc>
          <w:tcPr>
            <w:tcW w:w="900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9000" w:type="dxa"/>
            <w:vAlign w:val="bottom"/>
          </w:tcPr>
          <w:p>
            <w:pPr>
              <w:ind w:left="294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1.</w:t>
            </w:r>
          </w:p>
        </w:tc>
        <w:tc>
          <w:tcPr>
            <w:tcW w:w="900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1A.</w:t>
            </w:r>
          </w:p>
        </w:tc>
        <w:tc>
          <w:tcPr>
            <w:tcW w:w="900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2</w:t>
            </w:r>
          </w:p>
        </w:tc>
        <w:tc>
          <w:tcPr>
            <w:tcW w:w="900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4</w:t>
            </w:r>
          </w:p>
        </w:tc>
        <w:tc>
          <w:tcPr>
            <w:tcW w:w="9000" w:type="dxa"/>
            <w:vAlign w:val="bottom"/>
          </w:tcPr>
          <w:p>
            <w:pPr>
              <w:ind w:left="100"/>
              <w:spacing w:after="0"/>
              <w:rPr>
                <w:sz w:val="20"/>
                <w:szCs w:val="20"/>
                <w:color w:val="auto"/>
              </w:rPr>
            </w:pPr>
            <w:r>
              <w:rPr>
                <w:rFonts w:ascii="Arial" w:cs="Arial" w:eastAsia="Arial" w:hAnsi="Arial"/>
                <w:sz w:val="18"/>
                <w:szCs w:val="18"/>
                <w:color w:val="auto"/>
              </w:rPr>
              <w:t>Submission of Matters to a Vote of Security Holders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2"/>
        </w:trPr>
        <w:tc>
          <w:tcPr>
            <w:tcW w:w="1400" w:type="dxa"/>
            <w:vAlign w:val="bottom"/>
          </w:tcPr>
          <w:p>
            <w:pPr>
              <w:ind w:left="700"/>
              <w:spacing w:after="0"/>
              <w:rPr>
                <w:sz w:val="20"/>
                <w:szCs w:val="20"/>
                <w:color w:val="auto"/>
              </w:rPr>
            </w:pPr>
            <w:r>
              <w:rPr>
                <w:rFonts w:ascii="Arial" w:cs="Arial" w:eastAsia="Arial" w:hAnsi="Arial"/>
                <w:sz w:val="18"/>
                <w:szCs w:val="18"/>
                <w:color w:val="auto"/>
              </w:rPr>
              <w:t>Item 6.</w:t>
            </w:r>
          </w:p>
        </w:tc>
        <w:tc>
          <w:tcPr>
            <w:tcW w:w="9000" w:type="dxa"/>
            <w:vAlign w:val="bottom"/>
          </w:tcPr>
          <w:p>
            <w:pPr>
              <w:ind w:left="100"/>
              <w:spacing w:after="0"/>
              <w:rPr>
                <w:sz w:val="20"/>
                <w:szCs w:val="20"/>
                <w:color w:val="auto"/>
              </w:rPr>
            </w:pPr>
            <w:r>
              <w:rPr>
                <w:rFonts w:ascii="Arial" w:cs="Arial" w:eastAsia="Arial" w:hAnsi="Arial"/>
                <w:sz w:val="18"/>
                <w:szCs w:val="18"/>
                <w:color w:val="auto"/>
              </w:rPr>
              <w:t>Exhibits</w:t>
            </w: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9000" w:type="dxa"/>
            <w:vAlign w:val="bottom"/>
          </w:tcPr>
          <w:p>
            <w:pPr>
              <w:ind w:left="42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00" w:type="dxa"/>
            <w:vAlign w:val="bottom"/>
            <w:tcBorders>
              <w:bottom w:val="single" w:sz="8" w:color="808080"/>
            </w:tcBorders>
          </w:tcPr>
          <w:p>
            <w:pPr>
              <w:spacing w:after="0"/>
              <w:rPr>
                <w:sz w:val="19"/>
                <w:szCs w:val="19"/>
                <w:color w:val="auto"/>
              </w:rPr>
            </w:pPr>
          </w:p>
        </w:tc>
        <w:tc>
          <w:tcPr>
            <w:tcW w:w="90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720" w:type="dxa"/>
            <w:vAlign w:val="bottom"/>
          </w:tcPr>
          <w:p>
            <w:pPr>
              <w:jc w:val="center"/>
              <w:ind w:left="672"/>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jc w:val="right"/>
              <w:ind w:right="472"/>
              <w:spacing w:after="0"/>
              <w:rPr>
                <w:sz w:val="20"/>
                <w:szCs w:val="20"/>
                <w:color w:val="auto"/>
              </w:rPr>
            </w:pPr>
            <w:r>
              <w:rPr>
                <w:rFonts w:ascii="Arial" w:cs="Arial" w:eastAsia="Arial" w:hAnsi="Arial"/>
                <w:sz w:val="14"/>
                <w:szCs w:val="14"/>
                <w:b w:val="1"/>
                <w:bCs w:val="1"/>
                <w:color w:val="auto"/>
              </w:rPr>
              <w:t>June 29,</w:t>
            </w: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1"/>
        </w:trPr>
        <w:tc>
          <w:tcPr>
            <w:tcW w:w="5000" w:type="dxa"/>
            <w:vAlign w:val="bottom"/>
          </w:tcPr>
          <w:p>
            <w:pPr>
              <w:spacing w:after="0"/>
              <w:rPr>
                <w:sz w:val="14"/>
                <w:szCs w:val="14"/>
                <w:color w:val="auto"/>
              </w:rPr>
            </w:pPr>
          </w:p>
        </w:tc>
        <w:tc>
          <w:tcPr>
            <w:tcW w:w="17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r>
      <w:tr>
        <w:trPr>
          <w:trHeight w:val="142"/>
        </w:trPr>
        <w:tc>
          <w:tcPr>
            <w:tcW w:w="6720" w:type="dxa"/>
            <w:vAlign w:val="bottom"/>
            <w:gridSpan w:val="2"/>
            <w:shd w:val="clear" w:color="auto" w:fill="CCEEFF"/>
          </w:tcPr>
          <w:p>
            <w:pPr>
              <w:ind w:left="2240"/>
              <w:spacing w:after="0" w:line="142" w:lineRule="exact"/>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17.4</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2.1</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89.1</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0.8</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7.0</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Note receivable</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8.9</w:t>
            </w:r>
          </w:p>
        </w:tc>
      </w:tr>
      <w:tr>
        <w:trPr>
          <w:trHeight w:val="174"/>
        </w:trPr>
        <w:tc>
          <w:tcPr>
            <w:tcW w:w="5000" w:type="dxa"/>
            <w:vAlign w:val="bottom"/>
          </w:tcPr>
          <w:p>
            <w:pPr>
              <w:ind w:left="120"/>
              <w:spacing w:after="0"/>
              <w:rPr>
                <w:sz w:val="20"/>
                <w:szCs w:val="20"/>
                <w:color w:val="auto"/>
              </w:rPr>
            </w:pPr>
            <w:r>
              <w:rPr>
                <w:rFonts w:ascii="Arial" w:cs="Arial" w:eastAsia="Arial" w:hAnsi="Arial"/>
                <w:sz w:val="14"/>
                <w:szCs w:val="14"/>
                <w:color w:val="auto"/>
              </w:rPr>
              <w:t>Current assets of discontinued operations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gridSpan w:val="2"/>
          </w:tcPr>
          <w:p>
            <w:pPr>
              <w:jc w:val="right"/>
              <w:ind w:right="1520"/>
              <w:spacing w:after="0"/>
              <w:rPr>
                <w:sz w:val="20"/>
                <w:szCs w:val="20"/>
                <w:color w:val="auto"/>
              </w:rPr>
            </w:pPr>
            <w:r>
              <w:rPr>
                <w:rFonts w:ascii="Arial" w:cs="Arial" w:eastAsia="Arial" w:hAnsi="Arial"/>
                <w:sz w:val="14"/>
                <w:szCs w:val="14"/>
                <w:color w:val="auto"/>
              </w:rPr>
              <w:t>0.7</w:t>
            </w:r>
          </w:p>
        </w:tc>
      </w:tr>
      <w:tr>
        <w:trPr>
          <w:trHeight w:val="20"/>
        </w:trPr>
        <w:tc>
          <w:tcPr>
            <w:tcW w:w="50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44"/>
        </w:trPr>
        <w:tc>
          <w:tcPr>
            <w:tcW w:w="500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current assets</w:t>
            </w:r>
          </w:p>
        </w:tc>
        <w:tc>
          <w:tcPr>
            <w:tcW w:w="1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106.9</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4" w:lineRule="exact"/>
              <w:rPr>
                <w:sz w:val="20"/>
                <w:szCs w:val="20"/>
                <w:color w:val="auto"/>
              </w:rPr>
            </w:pPr>
            <w:r>
              <w:rPr>
                <w:rFonts w:ascii="Arial" w:cs="Arial" w:eastAsia="Arial" w:hAnsi="Arial"/>
                <w:sz w:val="14"/>
                <w:szCs w:val="14"/>
                <w:color w:val="auto"/>
                <w:w w:val="91"/>
              </w:rPr>
              <w:t>126.0</w:t>
            </w: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7.6</w:t>
            </w:r>
          </w:p>
        </w:tc>
      </w:tr>
      <w:tr>
        <w:trPr>
          <w:trHeight w:val="149"/>
        </w:trPr>
        <w:tc>
          <w:tcPr>
            <w:tcW w:w="6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w w:val="91"/>
              </w:rPr>
              <w:t>238.0</w:t>
            </w: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Other intangibles, net</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25.0</w:t>
            </w:r>
          </w:p>
        </w:tc>
      </w:tr>
      <w:tr>
        <w:trPr>
          <w:trHeight w:val="149"/>
        </w:trPr>
        <w:tc>
          <w:tcPr>
            <w:tcW w:w="6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affiliates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w:t>
            </w: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4.3</w:t>
            </w:r>
          </w:p>
        </w:tc>
      </w:tr>
      <w:tr>
        <w:trPr>
          <w:trHeight w:val="149"/>
        </w:trPr>
        <w:tc>
          <w:tcPr>
            <w:tcW w:w="6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current assets of discontinued operations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0.3</w:t>
            </w:r>
          </w:p>
        </w:tc>
      </w:tr>
      <w:tr>
        <w:trPr>
          <w:trHeight w:val="27"/>
        </w:trPr>
        <w:tc>
          <w:tcPr>
            <w:tcW w:w="6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167"/>
        </w:trPr>
        <w:tc>
          <w:tcPr>
            <w:tcW w:w="5000" w:type="dxa"/>
            <w:vAlign w:val="bottom"/>
          </w:tcPr>
          <w:p>
            <w:pPr>
              <w:ind w:left="220"/>
              <w:spacing w:after="0" w:line="155" w:lineRule="exact"/>
              <w:rPr>
                <w:sz w:val="20"/>
                <w:szCs w:val="20"/>
                <w:color w:val="auto"/>
              </w:rPr>
            </w:pPr>
            <w:r>
              <w:rPr>
                <w:rFonts w:ascii="Arial" w:cs="Arial" w:eastAsia="Arial" w:hAnsi="Arial"/>
                <w:sz w:val="14"/>
                <w:szCs w:val="14"/>
                <w:color w:val="auto"/>
              </w:rPr>
              <w:t>Total assets</w:t>
            </w:r>
          </w:p>
        </w:tc>
        <w:tc>
          <w:tcPr>
            <w:tcW w:w="17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335.3</w:t>
            </w:r>
          </w:p>
        </w:tc>
        <w:tc>
          <w:tcPr>
            <w:tcW w:w="18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401.2</w:t>
            </w:r>
          </w:p>
        </w:tc>
        <w:tc>
          <w:tcPr>
            <w:tcW w:w="152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31"/>
        </w:trPr>
        <w:tc>
          <w:tcPr>
            <w:tcW w:w="6720" w:type="dxa"/>
            <w:vAlign w:val="bottom"/>
            <w:gridSpan w:val="2"/>
            <w:shd w:val="clear" w:color="auto" w:fill="CCEEFF"/>
          </w:tcPr>
          <w:p>
            <w:pPr>
              <w:ind w:left="1380"/>
              <w:spacing w:after="0" w:line="131"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29.2</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12.6</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compensation</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13.7</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Billings in excess of costs and earnings on uncompleted contracts</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9.2</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Accrual for unused office space</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0.7</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6.4</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19.4</w:t>
            </w:r>
          </w:p>
        </w:tc>
      </w:tr>
      <w:tr>
        <w:trPr>
          <w:trHeight w:val="174"/>
        </w:trPr>
        <w:tc>
          <w:tcPr>
            <w:tcW w:w="5000" w:type="dxa"/>
            <w:vAlign w:val="bottom"/>
          </w:tcPr>
          <w:p>
            <w:pPr>
              <w:ind w:left="120"/>
              <w:spacing w:after="0"/>
              <w:rPr>
                <w:sz w:val="20"/>
                <w:szCs w:val="20"/>
                <w:color w:val="auto"/>
              </w:rPr>
            </w:pPr>
            <w:r>
              <w:rPr>
                <w:rFonts w:ascii="Arial" w:cs="Arial" w:eastAsia="Arial" w:hAnsi="Arial"/>
                <w:sz w:val="14"/>
                <w:szCs w:val="14"/>
                <w:color w:val="auto"/>
              </w:rPr>
              <w:t>Current liabilities of discontinued operations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gridSpan w:val="2"/>
          </w:tcPr>
          <w:p>
            <w:pPr>
              <w:jc w:val="right"/>
              <w:ind w:right="1520"/>
              <w:spacing w:after="0"/>
              <w:rPr>
                <w:sz w:val="20"/>
                <w:szCs w:val="20"/>
                <w:color w:val="auto"/>
              </w:rPr>
            </w:pPr>
            <w:r>
              <w:rPr>
                <w:rFonts w:ascii="Arial" w:cs="Arial" w:eastAsia="Arial" w:hAnsi="Arial"/>
                <w:sz w:val="14"/>
                <w:szCs w:val="14"/>
                <w:color w:val="auto"/>
              </w:rPr>
              <w:t>4.3</w:t>
            </w:r>
          </w:p>
        </w:tc>
      </w:tr>
      <w:tr>
        <w:trPr>
          <w:trHeight w:val="20"/>
        </w:trPr>
        <w:tc>
          <w:tcPr>
            <w:tcW w:w="50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44"/>
        </w:trPr>
        <w:tc>
          <w:tcPr>
            <w:tcW w:w="500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current liabilities</w:t>
            </w:r>
          </w:p>
        </w:tc>
        <w:tc>
          <w:tcPr>
            <w:tcW w:w="1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83.5</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4" w:lineRule="exact"/>
              <w:rPr>
                <w:sz w:val="20"/>
                <w:szCs w:val="20"/>
                <w:color w:val="auto"/>
              </w:rPr>
            </w:pPr>
            <w:r>
              <w:rPr>
                <w:rFonts w:ascii="Arial" w:cs="Arial" w:eastAsia="Arial" w:hAnsi="Arial"/>
                <w:sz w:val="14"/>
                <w:szCs w:val="14"/>
                <w:color w:val="auto"/>
              </w:rPr>
              <w:t>95.5</w:t>
            </w: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76.6</w:t>
            </w:r>
          </w:p>
        </w:tc>
      </w:tr>
      <w:tr>
        <w:trPr>
          <w:trHeight w:val="149"/>
        </w:trPr>
        <w:tc>
          <w:tcPr>
            <w:tcW w:w="6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Accrual for unused office space, net of current portion</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0.6</w:t>
            </w:r>
          </w:p>
        </w:tc>
      </w:tr>
      <w:tr>
        <w:trPr>
          <w:trHeight w:val="149"/>
        </w:trPr>
        <w:tc>
          <w:tcPr>
            <w:tcW w:w="6720" w:type="dxa"/>
            <w:vAlign w:val="bottom"/>
            <w:gridSpan w:val="2"/>
          </w:tcPr>
          <w:p>
            <w:pPr>
              <w:spacing w:after="0" w:line="149" w:lineRule="exact"/>
              <w:rPr>
                <w:sz w:val="20"/>
                <w:szCs w:val="20"/>
                <w:color w:val="auto"/>
              </w:rPr>
            </w:pPr>
            <w:r>
              <w:rPr>
                <w:rFonts w:ascii="Arial" w:cs="Arial" w:eastAsia="Arial" w:hAnsi="Arial"/>
                <w:sz w:val="14"/>
                <w:szCs w:val="14"/>
                <w:color w:val="auto"/>
              </w:rPr>
              <w:t>Deferred tax liabilities</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rPr>
              <w:t>2.8</w:t>
            </w:r>
          </w:p>
        </w:tc>
      </w:tr>
      <w:tr>
        <w:trPr>
          <w:trHeight w:val="149"/>
        </w:trPr>
        <w:tc>
          <w:tcPr>
            <w:tcW w:w="6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9" w:lineRule="exact"/>
              <w:rPr>
                <w:sz w:val="20"/>
                <w:szCs w:val="20"/>
                <w:color w:val="auto"/>
              </w:rPr>
            </w:pPr>
            <w:r>
              <w:rPr>
                <w:rFonts w:ascii="Arial" w:cs="Arial" w:eastAsia="Arial" w:hAnsi="Arial"/>
                <w:sz w:val="14"/>
                <w:szCs w:val="14"/>
                <w:color w:val="auto"/>
              </w:rPr>
              <w:t>3.6</w:t>
            </w:r>
          </w:p>
        </w:tc>
      </w:tr>
      <w:tr>
        <w:trPr>
          <w:trHeight w:val="174"/>
        </w:trPr>
        <w:tc>
          <w:tcPr>
            <w:tcW w:w="5000" w:type="dxa"/>
            <w:vAlign w:val="bottom"/>
          </w:tcPr>
          <w:p>
            <w:pPr>
              <w:spacing w:after="0"/>
              <w:rPr>
                <w:sz w:val="20"/>
                <w:szCs w:val="20"/>
                <w:color w:val="auto"/>
              </w:rPr>
            </w:pPr>
            <w:r>
              <w:rPr>
                <w:rFonts w:ascii="Arial" w:cs="Arial" w:eastAsia="Arial" w:hAnsi="Arial"/>
                <w:sz w:val="14"/>
                <w:szCs w:val="14"/>
                <w:color w:val="auto"/>
              </w:rPr>
              <w:t>Non current liabilities of discontinued operations</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gridSpan w:val="2"/>
          </w:tcPr>
          <w:p>
            <w:pPr>
              <w:jc w:val="right"/>
              <w:ind w:right="1520"/>
              <w:spacing w:after="0"/>
              <w:rPr>
                <w:sz w:val="20"/>
                <w:szCs w:val="20"/>
                <w:color w:val="auto"/>
              </w:rPr>
            </w:pPr>
            <w:r>
              <w:rPr>
                <w:rFonts w:ascii="Arial" w:cs="Arial" w:eastAsia="Arial" w:hAnsi="Arial"/>
                <w:sz w:val="14"/>
                <w:szCs w:val="14"/>
                <w:color w:val="auto"/>
              </w:rPr>
              <w:t>2.5</w:t>
            </w:r>
          </w:p>
        </w:tc>
      </w:tr>
      <w:tr>
        <w:trPr>
          <w:trHeight w:val="20"/>
        </w:trPr>
        <w:tc>
          <w:tcPr>
            <w:tcW w:w="50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44"/>
        </w:trPr>
        <w:tc>
          <w:tcPr>
            <w:tcW w:w="500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liabilities</w:t>
            </w:r>
          </w:p>
        </w:tc>
        <w:tc>
          <w:tcPr>
            <w:tcW w:w="1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168.1</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520"/>
              <w:spacing w:after="0" w:line="144" w:lineRule="exact"/>
              <w:rPr>
                <w:sz w:val="20"/>
                <w:szCs w:val="20"/>
                <w:color w:val="auto"/>
              </w:rPr>
            </w:pPr>
            <w:r>
              <w:rPr>
                <w:rFonts w:ascii="Arial" w:cs="Arial" w:eastAsia="Arial" w:hAnsi="Arial"/>
                <w:sz w:val="14"/>
                <w:szCs w:val="14"/>
                <w:color w:val="auto"/>
                <w:w w:val="91"/>
              </w:rPr>
              <w:t>181.6</w:t>
            </w:r>
          </w:p>
        </w:tc>
      </w:tr>
      <w:tr>
        <w:trPr>
          <w:trHeight w:val="311"/>
        </w:trPr>
        <w:tc>
          <w:tcPr>
            <w:tcW w:w="6720" w:type="dxa"/>
            <w:vAlign w:val="bottom"/>
            <w:gridSpan w:val="2"/>
          </w:tcPr>
          <w:p>
            <w:pPr>
              <w:spacing w:after="0"/>
              <w:rPr>
                <w:sz w:val="20"/>
                <w:szCs w:val="20"/>
                <w:color w:val="auto"/>
              </w:rPr>
            </w:pPr>
            <w:r>
              <w:rPr>
                <w:rFonts w:ascii="Arial" w:cs="Arial" w:eastAsia="Arial" w:hAnsi="Arial"/>
                <w:sz w:val="14"/>
                <w:szCs w:val="14"/>
                <w:color w:val="auto"/>
              </w:rPr>
              <w:t>Commitments and contingencies (Notes 1, 5, 6, 7, 8 and 13)</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1"/>
        </w:trPr>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38"/>
        </w:trPr>
        <w:tc>
          <w:tcPr>
            <w:tcW w:w="67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Preferred Stock, 5,000,000 shares authorized, Series B Convertible Preferred Stock,</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9"/>
        </w:trPr>
        <w:tc>
          <w:tcPr>
            <w:tcW w:w="67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$.001 par value; 10,000 shares outstanding at December 31, 2007 and June 29,</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9"/>
        </w:trPr>
        <w:tc>
          <w:tcPr>
            <w:tcW w:w="67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2008, (liquidation preference $5.0 million)</w:t>
            </w:r>
          </w:p>
        </w:tc>
        <w:tc>
          <w:tcPr>
            <w:tcW w:w="28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00" w:type="dxa"/>
            <w:vAlign w:val="bottom"/>
          </w:tcPr>
          <w:p>
            <w:pPr>
              <w:spacing w:after="0"/>
              <w:rPr>
                <w:sz w:val="13"/>
                <w:szCs w:val="13"/>
                <w:color w:val="auto"/>
              </w:rPr>
            </w:pPr>
          </w:p>
        </w:tc>
        <w:tc>
          <w:tcPr>
            <w:tcW w:w="1860" w:type="dxa"/>
            <w:vAlign w:val="bottom"/>
            <w:gridSpan w:val="2"/>
          </w:tcPr>
          <w:p>
            <w:pPr>
              <w:jc w:val="right"/>
              <w:ind w:right="1520"/>
              <w:spacing w:after="0" w:line="159" w:lineRule="exact"/>
              <w:rPr>
                <w:sz w:val="20"/>
                <w:szCs w:val="20"/>
                <w:color w:val="auto"/>
              </w:rPr>
            </w:pPr>
            <w:r>
              <w:rPr>
                <w:rFonts w:ascii="Arial" w:cs="Arial" w:eastAsia="Arial" w:hAnsi="Arial"/>
                <w:sz w:val="14"/>
                <w:szCs w:val="14"/>
                <w:color w:val="auto"/>
              </w:rPr>
              <w:t>—</w:t>
            </w:r>
          </w:p>
        </w:tc>
      </w:tr>
      <w:tr>
        <w:trPr>
          <w:trHeight w:val="138"/>
        </w:trPr>
        <w:tc>
          <w:tcPr>
            <w:tcW w:w="67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Common Stock, $.001 par value, 195,000,000 shares authorized; 78,998,922 shares</w:t>
            </w: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49"/>
        </w:trPr>
        <w:tc>
          <w:tcPr>
            <w:tcW w:w="6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and 104,954,564 issued and outstanding at December 31, 2007 and June 29, 2008,</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9"/>
        </w:trPr>
        <w:tc>
          <w:tcPr>
            <w:tcW w:w="6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respectively</w:t>
            </w:r>
          </w:p>
        </w:tc>
        <w:tc>
          <w:tcPr>
            <w:tcW w:w="2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1520"/>
              <w:spacing w:after="0" w:line="159" w:lineRule="exact"/>
              <w:rPr>
                <w:sz w:val="20"/>
                <w:szCs w:val="20"/>
                <w:color w:val="auto"/>
              </w:rPr>
            </w:pPr>
            <w:r>
              <w:rPr>
                <w:rFonts w:ascii="Arial" w:cs="Arial" w:eastAsia="Arial" w:hAnsi="Arial"/>
                <w:sz w:val="14"/>
                <w:szCs w:val="14"/>
                <w:color w:val="auto"/>
              </w:rPr>
              <w:t>—</w:t>
            </w:r>
          </w:p>
        </w:tc>
      </w:tr>
      <w:tr>
        <w:trPr>
          <w:trHeight w:val="149"/>
        </w:trPr>
        <w:tc>
          <w:tcPr>
            <w:tcW w:w="6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412.7</w:t>
            </w:r>
          </w:p>
        </w:tc>
        <w:tc>
          <w:tcPr>
            <w:tcW w:w="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gridSpan w:val="2"/>
          </w:tcPr>
          <w:p>
            <w:pPr>
              <w:jc w:val="right"/>
              <w:ind w:right="1520"/>
              <w:spacing w:after="0" w:line="149" w:lineRule="exact"/>
              <w:rPr>
                <w:sz w:val="20"/>
                <w:szCs w:val="20"/>
                <w:color w:val="auto"/>
              </w:rPr>
            </w:pPr>
            <w:r>
              <w:rPr>
                <w:rFonts w:ascii="Arial" w:cs="Arial" w:eastAsia="Arial" w:hAnsi="Arial"/>
                <w:sz w:val="14"/>
                <w:szCs w:val="14"/>
                <w:color w:val="auto"/>
                <w:w w:val="91"/>
              </w:rPr>
              <w:t>466.2</w:t>
            </w:r>
          </w:p>
        </w:tc>
      </w:tr>
      <w:tr>
        <w:trPr>
          <w:trHeight w:val="149"/>
        </w:trPr>
        <w:tc>
          <w:tcPr>
            <w:tcW w:w="6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(245.5)</w:t>
            </w:r>
          </w:p>
        </w:tc>
        <w:tc>
          <w:tcPr>
            <w:tcW w:w="19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460"/>
              <w:spacing w:after="0" w:line="149" w:lineRule="exact"/>
              <w:rPr>
                <w:sz w:val="20"/>
                <w:szCs w:val="20"/>
                <w:color w:val="auto"/>
              </w:rPr>
            </w:pPr>
            <w:r>
              <w:rPr>
                <w:rFonts w:ascii="Arial" w:cs="Arial" w:eastAsia="Arial" w:hAnsi="Arial"/>
                <w:sz w:val="14"/>
                <w:szCs w:val="14"/>
                <w:color w:val="auto"/>
                <w:w w:val="85"/>
              </w:rPr>
              <w:t>(246.6)</w:t>
            </w:r>
          </w:p>
        </w:tc>
      </w:tr>
      <w:tr>
        <w:trPr>
          <w:trHeight w:val="27"/>
        </w:trPr>
        <w:tc>
          <w:tcPr>
            <w:tcW w:w="6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167"/>
        </w:trPr>
        <w:tc>
          <w:tcPr>
            <w:tcW w:w="5000" w:type="dxa"/>
            <w:vAlign w:val="bottom"/>
          </w:tcPr>
          <w:p>
            <w:pPr>
              <w:ind w:left="220"/>
              <w:spacing w:after="0" w:line="155" w:lineRule="exact"/>
              <w:rPr>
                <w:sz w:val="20"/>
                <w:szCs w:val="20"/>
                <w:color w:val="auto"/>
              </w:rPr>
            </w:pPr>
            <w:r>
              <w:rPr>
                <w:rFonts w:ascii="Arial" w:cs="Arial" w:eastAsia="Arial" w:hAnsi="Arial"/>
                <w:sz w:val="14"/>
                <w:szCs w:val="14"/>
                <w:color w:val="auto"/>
              </w:rPr>
              <w:t>Total stockholders' equity</w:t>
            </w:r>
          </w:p>
        </w:tc>
        <w:tc>
          <w:tcPr>
            <w:tcW w:w="17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167.2</w:t>
            </w:r>
          </w:p>
        </w:tc>
        <w:tc>
          <w:tcPr>
            <w:tcW w:w="180" w:type="dxa"/>
            <w:vAlign w:val="bottom"/>
          </w:tcPr>
          <w:p>
            <w:pPr>
              <w:spacing w:after="0"/>
              <w:rPr>
                <w:sz w:val="14"/>
                <w:szCs w:val="14"/>
                <w:color w:val="auto"/>
              </w:rPr>
            </w:pPr>
          </w:p>
        </w:tc>
        <w:tc>
          <w:tcPr>
            <w:tcW w:w="19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219.6</w:t>
            </w:r>
          </w:p>
        </w:tc>
        <w:tc>
          <w:tcPr>
            <w:tcW w:w="1520" w:type="dxa"/>
            <w:vAlign w:val="bottom"/>
          </w:tcPr>
          <w:p>
            <w:pPr>
              <w:spacing w:after="0"/>
              <w:rPr>
                <w:sz w:val="14"/>
                <w:szCs w:val="14"/>
                <w:color w:val="auto"/>
              </w:rPr>
            </w:pPr>
          </w:p>
        </w:tc>
      </w:tr>
      <w:tr>
        <w:trPr>
          <w:trHeight w:val="144"/>
        </w:trPr>
        <w:tc>
          <w:tcPr>
            <w:tcW w:w="672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4"/>
                <w:szCs w:val="14"/>
                <w:color w:val="auto"/>
              </w:rPr>
              <w:t>Total liabilities and stockholders' equity</w:t>
            </w:r>
          </w:p>
        </w:tc>
        <w:tc>
          <w:tcPr>
            <w:tcW w:w="280" w:type="dxa"/>
            <w:vAlign w:val="bottom"/>
            <w:shd w:val="clear" w:color="auto" w:fill="CCEEFF"/>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335.3</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520"/>
              <w:spacing w:after="0" w:line="144" w:lineRule="exact"/>
              <w:rPr>
                <w:sz w:val="20"/>
                <w:szCs w:val="20"/>
                <w:color w:val="auto"/>
              </w:rPr>
            </w:pPr>
            <w:r>
              <w:rPr>
                <w:rFonts w:ascii="Arial" w:cs="Arial" w:eastAsia="Arial" w:hAnsi="Arial"/>
                <w:sz w:val="14"/>
                <w:szCs w:val="14"/>
                <w:color w:val="auto"/>
                <w:w w:val="91"/>
              </w:rPr>
              <w:t>401.2</w:t>
            </w:r>
          </w:p>
        </w:tc>
      </w:tr>
      <w:tr>
        <w:trPr>
          <w:trHeight w:val="27"/>
        </w:trPr>
        <w:tc>
          <w:tcPr>
            <w:tcW w:w="50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Pr>
          <w:p>
            <w:pPr>
              <w:spacing w:after="0"/>
              <w:rPr>
                <w:sz w:val="14"/>
                <w:szCs w:val="14"/>
                <w:color w:val="auto"/>
              </w:rPr>
            </w:pPr>
          </w:p>
        </w:tc>
        <w:tc>
          <w:tcPr>
            <w:tcW w:w="13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w w:val="97"/>
              </w:rPr>
              <w:t>Six months ended</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04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June 30,</w:t>
            </w:r>
          </w:p>
        </w:tc>
        <w:tc>
          <w:tcPr>
            <w:tcW w:w="82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1"/>
                <w:szCs w:val="11"/>
                <w:color w:val="auto"/>
              </w:rPr>
            </w:pPr>
          </w:p>
        </w:tc>
        <w:tc>
          <w:tcPr>
            <w:tcW w:w="138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June 30,</w:t>
            </w: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674"/>
              <w:spacing w:after="0" w:line="129" w:lineRule="exact"/>
              <w:rPr>
                <w:sz w:val="20"/>
                <w:szCs w:val="20"/>
                <w:color w:val="auto"/>
              </w:rPr>
            </w:pPr>
            <w:r>
              <w:rPr>
                <w:rFonts w:ascii="Arial" w:cs="Arial" w:eastAsia="Arial" w:hAnsi="Arial"/>
                <w:sz w:val="14"/>
                <w:szCs w:val="14"/>
                <w:b w:val="1"/>
                <w:bCs w:val="1"/>
                <w:color w:val="auto"/>
              </w:rPr>
              <w:t>June 29,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138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13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4"/>
              </w:rPr>
              <w:t>Recovery of unauthorized issuance of stock options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and adjustment to the liability for unused office</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space</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Stock option investigation and related fees</w:t>
            </w: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3900" w:type="dxa"/>
            <w:vAlign w:val="bottom"/>
          </w:tcPr>
          <w:p>
            <w:pPr>
              <w:ind w:left="14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3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8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8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4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4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380" w:type="dxa"/>
            <w:vAlign w:val="bottom"/>
            <w:tcBorders>
              <w:top w:val="single" w:sz="8" w:color="auto"/>
            </w:tcBorders>
          </w:tcPr>
          <w:p>
            <w:pPr>
              <w:jc w:val="right"/>
              <w:ind w:right="937"/>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(loss) per common share:</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(0.11)</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380" w:type="dxa"/>
            <w:vAlign w:val="bottom"/>
          </w:tcPr>
          <w:p>
            <w:pPr>
              <w:jc w:val="right"/>
              <w:ind w:right="93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6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(0.01)</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4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380" w:type="dxa"/>
            <w:vAlign w:val="bottom"/>
          </w:tcPr>
          <w:p>
            <w:pPr>
              <w:jc w:val="right"/>
              <w:ind w:right="93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(loss) per common share:</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(0.11)</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380" w:type="dxa"/>
            <w:vAlign w:val="bottom"/>
          </w:tcPr>
          <w:p>
            <w:pPr>
              <w:jc w:val="right"/>
              <w:ind w:right="93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discontinued operations</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(0.01)</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14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380" w:type="dxa"/>
            <w:vAlign w:val="bottom"/>
          </w:tcPr>
          <w:p>
            <w:pPr>
              <w:jc w:val="right"/>
              <w:ind w:right="93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1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6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w:t>
            </w:r>
          </w:p>
        </w:tc>
        <w:tc>
          <w:tcPr>
            <w:tcW w:w="1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w:t>
            </w:r>
          </w:p>
        </w:tc>
        <w:tc>
          <w:tcPr>
            <w:tcW w:w="6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29"/>
        </w:trPr>
        <w:tc>
          <w:tcPr>
            <w:tcW w:w="7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96"/>
              </w:rPr>
              <w:t>June 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2007</w:t>
            </w:r>
          </w:p>
        </w:tc>
        <w:tc>
          <w:tcPr>
            <w:tcW w:w="120" w:type="dxa"/>
            <w:vAlign w:val="bottom"/>
          </w:tcPr>
          <w:p>
            <w:pPr>
              <w:spacing w:after="0"/>
              <w:rPr>
                <w:sz w:val="14"/>
                <w:szCs w:val="14"/>
                <w:color w:val="auto"/>
              </w:rPr>
            </w:pPr>
          </w:p>
        </w:tc>
        <w:tc>
          <w:tcPr>
            <w:tcW w:w="5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140"/>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from continuing operations to net cash provided by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 to market on swaps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16"/>
        </w:trPr>
        <w:tc>
          <w:tcPr>
            <w:tcW w:w="76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accrual for unused office space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16"/>
        </w:trPr>
        <w:tc>
          <w:tcPr>
            <w:tcW w:w="76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w:t>
            </w:r>
          </w:p>
        </w:tc>
        <w:tc>
          <w:tcPr>
            <w:tcW w:w="0" w:type="dxa"/>
            <w:vAlign w:val="bottom"/>
          </w:tcPr>
          <w:p>
            <w:pPr>
              <w:spacing w:after="0"/>
              <w:rPr>
                <w:sz w:val="1"/>
                <w:szCs w:val="1"/>
                <w:color w:val="auto"/>
              </w:rPr>
            </w:pPr>
          </w:p>
        </w:tc>
      </w:tr>
      <w:tr>
        <w:trPr>
          <w:trHeight w:val="216"/>
        </w:trPr>
        <w:tc>
          <w:tcPr>
            <w:tcW w:w="7660" w:type="dxa"/>
            <w:vAlign w:val="bottom"/>
          </w:tcPr>
          <w:p>
            <w:pPr>
              <w:ind w:left="400"/>
              <w:spacing w:after="0"/>
              <w:rPr>
                <w:sz w:val="20"/>
                <w:szCs w:val="20"/>
                <w:color w:val="auto"/>
              </w:rPr>
            </w:pPr>
            <w:r>
              <w:rPr>
                <w:rFonts w:ascii="Arial" w:cs="Arial" w:eastAsia="Arial" w:hAnsi="Arial"/>
                <w:sz w:val="18"/>
                <w:szCs w:val="18"/>
                <w:color w:val="auto"/>
              </w:rPr>
              <w:t>Accrual for unused office space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w:t>
            </w:r>
          </w:p>
        </w:tc>
        <w:tc>
          <w:tcPr>
            <w:tcW w:w="0" w:type="dxa"/>
            <w:vAlign w:val="bottom"/>
          </w:tcPr>
          <w:p>
            <w:pPr>
              <w:spacing w:after="0"/>
              <w:rPr>
                <w:sz w:val="1"/>
                <w:szCs w:val="1"/>
                <w:color w:val="auto"/>
              </w:rPr>
            </w:pPr>
          </w:p>
        </w:tc>
      </w:tr>
      <w:tr>
        <w:trPr>
          <w:trHeight w:val="222"/>
        </w:trPr>
        <w:tc>
          <w:tcPr>
            <w:tcW w:w="766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or received in acquisitions,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Decrease (increase) in 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disposition of 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ind w:left="540"/>
              <w:spacing w:after="0"/>
              <w:rPr>
                <w:sz w:val="20"/>
                <w:szCs w:val="20"/>
                <w:color w:val="auto"/>
              </w:rPr>
            </w:pPr>
            <w:r>
              <w:rPr>
                <w:rFonts w:ascii="Arial" w:cs="Arial" w:eastAsia="Arial" w:hAnsi="Arial"/>
                <w:sz w:val="18"/>
                <w:szCs w:val="18"/>
                <w:color w:val="auto"/>
              </w:rPr>
              <w:t>Net cash provided by investing activities from continuing operations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Borrowings under line of credit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under line of credit and term notes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22"/>
        </w:trPr>
        <w:tc>
          <w:tcPr>
            <w:tcW w:w="7660" w:type="dxa"/>
            <w:vAlign w:val="bottom"/>
          </w:tcPr>
          <w:p>
            <w:pPr>
              <w:ind w:left="140"/>
              <w:spacing w:after="0"/>
              <w:rPr>
                <w:sz w:val="20"/>
                <w:szCs w:val="20"/>
                <w:color w:val="auto"/>
              </w:rPr>
            </w:pPr>
            <w:r>
              <w:rPr>
                <w:rFonts w:ascii="Arial" w:cs="Arial" w:eastAsia="Arial" w:hAnsi="Arial"/>
                <w:sz w:val="18"/>
                <w:szCs w:val="18"/>
                <w:color w:val="auto"/>
              </w:rPr>
              <w:t>Decrease in capital lease obligations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rPr>
              <w:t>Net cash flows of continuing operations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flows of discontinued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Arial" w:cs="Arial" w:eastAsia="Arial" w:hAnsi="Arial"/>
                <w:sz w:val="18"/>
                <w:szCs w:val="18"/>
                <w:color w:val="auto"/>
              </w:rPr>
              <w:t>Operating cash flows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cash flows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540"/>
              <w:spacing w:after="0"/>
              <w:rPr>
                <w:sz w:val="20"/>
                <w:szCs w:val="20"/>
                <w:color w:val="auto"/>
              </w:rPr>
            </w:pPr>
            <w:r>
              <w:rPr>
                <w:rFonts w:ascii="Arial" w:cs="Arial" w:eastAsia="Arial" w:hAnsi="Arial"/>
                <w:sz w:val="18"/>
                <w:szCs w:val="18"/>
                <w:color w:val="auto"/>
              </w:rPr>
              <w:t>Net cash flows of discontinued operations</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Description of Business</w:t>
      </w:r>
    </w:p>
    <w:p>
      <w:pPr>
        <w:spacing w:after="0" w:line="22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Kratos Defense &amp; Security Solutions, Inc. ("Kratos" or "the Company") was initially incorporated under the name of Wireless Facilities, Inc. in the state of New York on December 19, 1994, commenced operations in March 1995, and was reincorporated in Delaware in 1998. Under its former name of Wireless Facilities, the Company historically conducted business in three segments: Wireless Network Services, Government Network Services and Enterprise Network Services. The Company was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and enterprise customers through its Enterprise Network Services division ("ENS").</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2006 and 2007, the Company undertook a transformation strategy that culminated in the divestiture in 2007 of its wireless-related businesses and the Company has aggressively pursued business with the federal government, primarily the U.S. Department of Defense, through strategic acquisition. See Note 7, Acquisitions. The Company's divestiture of its European wireless engineering services business was completed in March 2007. In addition, the Company's divestiture of its domestic wireless engineering services business was completed in June 2007 and the divestiture of its wireless deployment services business was completed in July 2007. Accordingly, the accompanying financial statements reflect the divestiture of the domestic wireless engineering services and wireless network deployment business and the results of their operations through the date of divestiture as discontinued operations in the accompanying statements of operations.</w:t>
      </w:r>
    </w:p>
    <w:p>
      <w:pPr>
        <w:spacing w:after="0" w:line="20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a result of the divestiture of the Company's wireless related assets and businesses in 2007, the Company changed its name from Wireless Facilities, Inc. to Kratos Defense &amp; Security Solutions, Inc. on September 12, 2007. The name was changed to reflect the Company's revised focus as a defense contractor and security systems integrator for the federal government and for state and local agencies and reflects the Company's business going forward. Additionally, the former operating segments have been renamed as the Kratos Government Solutions ("KGS") segment, which includes all former government-related business formerly included in the GNS segment, and the Public Safety &amp; Security ("PSS") segment, which includes all enterprise, commercial and other civilian business formerly included in the ENS segment. All financial statements prior to September 12, 2007 were issued under the Company's previous name, Wireless Facilities, Inc.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information as of June 29, 2008, and for the three and six months ended June 30, 2007 and June 29, 2008 is unaudited. The consolidated balance sheet as of December 31, 2007 was derived from the Company's audited consolidated financial statements at that date. In the opinion of management, these unaudited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consolidated financial statements should be read in conjunction with the consolidated financial statements and the related notes included in the Company's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audited annual consolidated financial statements for the year ended December 31, 2007, filed on Form 10-K on March 27, 2008 with the United States Securities and Exchange Commission ("SEC"). Interim operating results are not necessarily indicative of operating results expected in subsequent periods or for the year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Principles of Consolidation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Investments in unconsolidated affiliates are accounted for using the cost method as the Company owns less than 20% and the Company has no significant influence over the affiliates.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Fiscal Calendar</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In 2008, the Company changed its fiscal year end to the last Sunday of the year with interim fiscal periods ending on the last Sunday of the last calendar month of each quarter. For fiscal year 2007, the Company's year end was December 31 with fiscal periods ending on the last calendar day of the last month of each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225" w:lineRule="exact"/>
        <w:rPr>
          <w:sz w:val="20"/>
          <w:szCs w:val="20"/>
          <w:color w:val="auto"/>
        </w:rPr>
      </w:pPr>
    </w:p>
    <w:p>
      <w:pPr>
        <w:ind w:right="60" w:firstLine="348"/>
        <w:spacing w:after="0" w:line="309" w:lineRule="auto"/>
        <w:rPr>
          <w:sz w:val="20"/>
          <w:szCs w:val="20"/>
          <w:color w:val="auto"/>
        </w:rPr>
      </w:pPr>
      <w:r>
        <w:rPr>
          <w:rFonts w:ascii="Arial" w:cs="Arial" w:eastAsia="Arial" w:hAnsi="Arial"/>
          <w:sz w:val="15"/>
          <w:szCs w:val="15"/>
          <w:color w:val="auto"/>
        </w:rPr>
        <w:t>The Company provides services to customers under three primary types of contracts: fixed-price; time and materials; and cost reimbursable plus fixed fee. The Company realizes a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and are expensed as incurred. Cost estimates are reviewed monthly on an individual contract basis, and are revised periodically throughout the life of the contract such that adjustments to profit resulting from revisions are made cumulative to the date of the revision. The full amount of an estimated loss associated with a contract is accrued and charged to operations in the period it is determined that it is probable a loss will be realized from the performance of the contract.</w:t>
      </w:r>
    </w:p>
    <w:p>
      <w:pPr>
        <w:spacing w:after="0" w:line="1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194"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If, in any period, the Company significantly increase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decrease the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periods ended June 30, 2007 and June 29, 2008.</w:t>
      </w:r>
    </w:p>
    <w:p>
      <w:pPr>
        <w:spacing w:after="0" w:line="198"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Under the terms of substantially all of the Company's fixed price contracts, if a contract is terminated without proper cause by the customer, the customer creates unplanned/unreasonable time delays, or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or other modifications are subject to reimbursement of costs incurred to date with a reasonable profit margin based on the contract value and completed work at that time. The inherent aforementioned risks are reflected in the Company's ongoing periodic assessment of the "total contract value" and the associated revenue recognized. Total net unbilled accounts receivable at December 31, 2007 and June 29, 2008 were $34.2 million and $44.4 million, respectively. The Company periodically performs work under authorizations to proceed or work orders from its customers for which a formal purchase order may not be received until after the work has commenced. As of December 31, 2007 and June 29, 2008, approximately $0.4 million and</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$0.2 million, respectively, of the Company's unbilled accounts receivable balance were under an authorization to proceed or work order from its customers where a formal purchase order had not yet been received.</w:t>
      </w:r>
    </w:p>
    <w:p>
      <w:pPr>
        <w:spacing w:after="0" w:line="192"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Revenue from certain time and materials and fixed-price contracts are recognized when realized or realizable and earned, in accordance with Staff Accounting Bulletin (SAB) 104 (recognized when services are rendered at contracted labor rates, when materials are delivered and when other direct costs are incurred). Additionally, based on management's periodic assessment of the collectibility of its accounts receivable, credit worthiness and financial condition of customers, the Company determines if collection is reasonably assured prior to the recognition of revenue.</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Cost reimbursable contracts for the government provide for reimbursement of costs plus the payment of a fee. The Company records the fee as costs are incurred.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certain of its contracts, the Company provides supplier procurement services and materials for its customers. The Company records revenue on these arrangements on a gross or net basis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199" w:lineRule="exact"/>
        <w:rPr>
          <w:sz w:val="20"/>
          <w:szCs w:val="20"/>
          <w:color w:val="auto"/>
        </w:rPr>
      </w:pPr>
    </w:p>
    <w:p>
      <w:pPr>
        <w:ind w:left="1620" w:hanging="53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w:t>
      </w:r>
    </w:p>
    <w:p>
      <w:pPr>
        <w:spacing w:after="0" w:line="22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Inventories that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31, 2007 and June 29, 2008, the Company had $2.1 million and $2.7 million, respectively, of inventories which were reflected in other current assets on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7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25" w:lineRule="exact"/>
        <w:rPr>
          <w:rFonts w:ascii="Arial" w:cs="Arial" w:eastAsia="Arial" w:hAnsi="Arial"/>
          <w:sz w:val="18"/>
          <w:szCs w:val="18"/>
          <w:b w:val="1"/>
          <w:bCs w:val="1"/>
          <w:i w:val="1"/>
          <w:iCs w:val="1"/>
          <w:color w:val="auto"/>
        </w:rPr>
      </w:pPr>
    </w:p>
    <w:p>
      <w:pPr>
        <w:ind w:left="3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Certain prior period amounts in the Consolidated Financial Statements have been reclassified to be consistent with the current period presentation.</w:t>
      </w:r>
    </w:p>
    <w:p>
      <w:pPr>
        <w:spacing w:after="0" w:line="248"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currently carries a significant amount of debt and as such, its ability to execute on additional business opportunities may be limited due to its existing borrowing capacity. In addition, given the relatively highly leveraged liquidity position, any down-turn in its operating earnings could impair its ability to comply with the financial covenants of its existing credit facility. If the Company anticipated a potential covenant violation, it would seek relief from its lenders. This relief would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w:t>
      </w:r>
    </w:p>
    <w:p>
      <w:pPr>
        <w:spacing w:after="0" w:line="19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The Company adopted SFAS 157 as of January 1, 2008, with the exception of the application of the statement to non-recurring nonfinancial assets and nonfinancial liabilities. Refer to Note 9 to the Condensed Consolidated Financial Statements for additional discussion on fair value measurements.</w:t>
      </w:r>
    </w:p>
    <w:p>
      <w:pPr>
        <w:spacing w:after="0" w:line="18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has adopted SFAS 159 as of January 1, 2008 and has elected not to measure any additional financial instruments or other items at fair value.</w:t>
      </w:r>
    </w:p>
    <w:p>
      <w:pPr>
        <w:spacing w:after="0" w:line="174"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applying the acquisition method in a number of significant aspects. 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any adjustments to an entity's deferred tax assets and uncertain tax positions that occur after the measurement period will be recorded as a component of income tax expense.</w:t>
      </w:r>
    </w:p>
    <w:p>
      <w:pPr>
        <w:spacing w:after="0" w:line="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SFAS 141(R) is effective on a prospective basis for all business combinations for which the acquisition date is on or after the beginning of the first annual period subsequent to December 15, 2008. Additionally, SFAS 141 (R) is effective for changes to valuation allowances or acquired uncertain tax positions occurring after the effective date of SFAS 141 (R), where the acquisition date occurs prior to the effective date for SFAS 141(R). Early adoption is not permitted. The Company is currently evaluating the effects, if any, that SFAS 141(R) may have on its financial statements; however, since the Company has significant acquired deferred tax assets for which full valuation allowances were recorded at the acquisition date, SFAS 141(R) could significantly affect the results of operations if changes in the valuation allowances occur subsequent to adoption. For additional discussion on deferred tax valuation allowances, refer to Note 10 to the Consolidated Financial Statements in our Annual Report filed on Form 10-K for the fiscal year ended December 31, 2007.</w:t>
      </w:r>
    </w:p>
    <w:p>
      <w:pPr>
        <w:spacing w:after="0" w:line="17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 No. 99-19, "Reporting Revenue Gross as a Principal versus Net as an Agent." This Issue also includes enhanced disclosure requirements regarding the nature and purpose of the arrangement, rights and obligations under the arrangement, accounting policy, amount and income statement classification of collaboration transactions between the parties.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FASB Statement No. 133" (SFAS 161). This statement is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is currently evaluating the disclosure implications of this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April 2008, the FASB issued FSP FAS No. 142-3, which amends the factors that must be considered in developing renewal or extension assumptions used to determine the useful life over which to amortize the cost of a recognized intangible asset under FAS No. 142, "Goodwill and Other Intangible Assets." The FSP requires an entity to consider its own assumptions about renewal or extension of the term of the arrangement, consistent with its expected use of the asset, and is an attempt to improve consistency between the useful life of a recognized intangible asset under FAS No. 142 and the period of expected cash flows used to measure the fair value of the asset under FAS No. 141, "Business Combinations." The FSP is effective for fiscal years beginning after December 15, 2008, and the guidance for determining the useful life of a recognized intangible asset must be applied prospectively to intangible assets acquired after the effective date. The FSP is not expected to have a significant impact on the Company's results of operations, financial condition or liquidity.</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May 2008, the FASB issued Financial Accounting Standard (FAS) No. 162, "The Hierarchy of Generally Accepted Accounting Principles." The statement is intended to improve financial reporting by identifying a consistent hierarchy for selecting accounting principles to be used in preparing financial statements that are prepared in conformance with generally accepted accounting principles. Unlike Statement on Auditing Standards (SAS) No. 69, "The Meaning of Present in Conformity With GAAP," FAS No. 162 is directed to the entity rather than the auditor. The statement is effective 60 days following the SEC's approval of the Public Company Accounting Oversight Board (PCAOB) amendments to AU Section 411, "The Meaning of Present Fairly in Conformity with GAAP," and is not expected to have any impact on the Company's results of operations, financial condition or liquidity.</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June 2008, the Financial Accounting Standards Board (FASB) issued FASB Staff Position (FSP) Emerging Issues Task Force (EITF) No. 03-6-1, "Determining Whether Instruments Granted in Share-Based Payment Transactions Are Participating Securities." Under the FSP, unvested share-based payment awards that contain rights to receive nonforfeitable dividends (whether paid or unpaid) are participating securities, and should be included in the two-class method of computing EPS. The FSP is effective for fiscal years beginning after December 15, 2008, and interim periods within those years, and is not expected to have a significant impact on the Company's results of operations, financial condition or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Company had the following three stock option plans under which shares were available for grant at June 29, 2008: the 1999 Equity Incentive Plan (the "1999 Plan"), the 2000 Non-Statutory Stock Option Plan (the "2000 Plan") and the 2005 Equity Incentive Plan (the "2005 Plan"). In addition, the Company has a Restricted Stock Unit Agreement (the "RSU Agreement") to govern the issuance of restricted stock units ("RSU") to executive officers under the Company's 2005 Equity Incentive Plan (the "Plan").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8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(Shares in Thousands)</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Units</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balance, December 31, 2007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Grants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Cancellations/Forfeitures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balance, June 29, 2008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following table shows the amounts recognized in the financial statements for the three and six months ended June 30, 2007 and June 29, 2008 for share-based compensation expense related to employees (in millions, except per share data). The share-based compensation expense for the three and six months ended June 30, 2007 and June 29, 2008 primarily relates to the grant of restricted stock units. In addition, for the three and six months ended June 30, 2007 and June 29, 2008, there was no incremental tax benefit from stock options exercised in the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For the Three</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 the Six</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Months Ended</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Months Ended</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80" w:type="dxa"/>
            <w:vAlign w:val="bottom"/>
            <w:gridSpan w:val="2"/>
          </w:tcPr>
          <w:p>
            <w:pPr>
              <w:jc w:val="right"/>
              <w:ind w:right="1160"/>
              <w:spacing w:after="0" w:line="129" w:lineRule="exact"/>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2"/>
          </w:tcPr>
          <w:p>
            <w:pPr>
              <w:jc w:val="right"/>
              <w:ind w:right="1160"/>
              <w:spacing w:after="0" w:line="129" w:lineRule="exact"/>
              <w:rPr>
                <w:sz w:val="20"/>
                <w:szCs w:val="20"/>
                <w:color w:val="auto"/>
              </w:rPr>
            </w:pPr>
            <w:r>
              <w:rPr>
                <w:rFonts w:ascii="Arial" w:cs="Arial" w:eastAsia="Arial" w:hAnsi="Arial"/>
                <w:sz w:val="14"/>
                <w:szCs w:val="14"/>
                <w:b w:val="1"/>
                <w:bCs w:val="1"/>
                <w:color w:val="auto"/>
              </w:rPr>
              <w:t>June 30,</w:t>
            </w: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7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99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0.2</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cost of employee share-based compensation</w:t>
            </w:r>
          </w:p>
        </w:tc>
        <w:tc>
          <w:tcPr>
            <w:tcW w:w="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income (loss) from continuing</w:t>
            </w: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before income tax</w:t>
            </w:r>
          </w:p>
        </w:tc>
        <w:tc>
          <w:tcPr>
            <w:tcW w:w="7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Amount of income tax recognized in earnings</w:t>
            </w:r>
          </w:p>
        </w:tc>
        <w:tc>
          <w:tcPr>
            <w:tcW w:w="70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 charged against income from continuing</w:t>
            </w:r>
          </w:p>
        </w:tc>
        <w:tc>
          <w:tcPr>
            <w:tcW w:w="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7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Amount charged against income (loss) from</w:t>
            </w: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7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charged against income</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color w:val="auto"/>
                <w:w w:val="95"/>
              </w:rPr>
              <w:t>Total impact on net income (loss) per common share:</w:t>
            </w: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5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58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Diluted</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560" w:type="dxa"/>
            <w:vAlign w:val="bottom"/>
          </w:tcPr>
          <w:p>
            <w:pPr>
              <w:jc w:val="center"/>
              <w:ind w:left="199"/>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580" w:type="dxa"/>
            <w:vAlign w:val="bottom"/>
          </w:tcPr>
          <w:p>
            <w:pPr>
              <w:jc w:val="center"/>
              <w:ind w:left="199"/>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jc w:val="right"/>
              <w:ind w:right="618"/>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Stockholders' Equity for the periods ended June 30, 2007 and June 29, 2008 is provided below (in millions):</w:t>
      </w:r>
    </w:p>
    <w:p>
      <w:pPr>
        <w:spacing w:after="0" w:line="2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June 30, 2007</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June 29, 2008</w:t>
            </w: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3"/>
              </w:rPr>
              <w:t>Stock based compensation and Employee Stock Purchase Plan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 for Haverstick acquisition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Cumulative effect adjustment upon adoption of FIN No. 48</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for acquisition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has two classes of stock, Series B Convertible Preferred Stock and Common Stock. There was no issuance, redemption or conversion of the Series B Convertible Preferred Stock in the most recent fiscal year ended December 31, 2007 or for the period ended June 29, 2008. Common stock issued by the Company for the most recent fiscal year ended December 31, 2007 and through the period ended June 29, 2008 was as follows: (in millions)</w:t>
      </w:r>
    </w:p>
    <w:p>
      <w:pPr>
        <w:spacing w:after="0" w:line="144"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r>
      <w:tr>
        <w:trPr>
          <w:trHeight w:val="149"/>
        </w:trPr>
        <w:tc>
          <w:tcPr>
            <w:tcW w:w="39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39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29, 2008</w:t>
            </w:r>
          </w:p>
        </w:tc>
        <w:tc>
          <w:tcPr>
            <w:tcW w:w="8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the beginning of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Common stock issued for acquisitions</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
        </w:trPr>
        <w:tc>
          <w:tcPr>
            <w:tcW w:w="3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the end of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r>
      <w:tr>
        <w:trPr>
          <w:trHeight w:val="27"/>
        </w:trPr>
        <w:tc>
          <w:tcPr>
            <w:tcW w:w="3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 has an Employee Stock Purchase Plan (ESPP) which was approved in 1999 and subsequently suspended effective January 1, 2006. The Company reactivated the ESPP on April 1,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calculates net income (loss) per share in accordance with SFAS No. 128, "Earnings Per Share". Under SFAS No. 128, basic net income (loss) per common share is calculated by dividing net income (loss) by the weighted-average number of common shares outstanding during the reporting</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period. Diluted net income (loss) per common share reflects the effects of potentially dilutive securities (in millions).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For the Three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73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00" w:type="dxa"/>
            <w:vAlign w:val="bottom"/>
          </w:tcPr>
          <w:p>
            <w:pPr>
              <w:spacing w:after="0"/>
              <w:rPr>
                <w:sz w:val="12"/>
                <w:szCs w:val="12"/>
                <w:color w:val="auto"/>
              </w:rPr>
            </w:pPr>
          </w:p>
        </w:tc>
        <w:tc>
          <w:tcPr>
            <w:tcW w:w="12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For the Six Months</w:t>
            </w:r>
          </w:p>
        </w:tc>
      </w:tr>
      <w:tr>
        <w:trPr>
          <w:trHeight w:val="161"/>
        </w:trPr>
        <w:tc>
          <w:tcPr>
            <w:tcW w:w="73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June 30</w:t>
            </w:r>
          </w:p>
        </w:tc>
        <w:tc>
          <w:tcPr>
            <w:tcW w:w="200" w:type="dxa"/>
            <w:vAlign w:val="bottom"/>
          </w:tcPr>
          <w:p>
            <w:pPr>
              <w:spacing w:after="0"/>
              <w:rPr>
                <w:sz w:val="14"/>
                <w:szCs w:val="14"/>
                <w:color w:val="auto"/>
              </w:rPr>
            </w:pPr>
          </w:p>
        </w:tc>
        <w:tc>
          <w:tcPr>
            <w:tcW w:w="1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Ended June 29</w:t>
            </w:r>
          </w:p>
        </w:tc>
      </w:tr>
      <w:tr>
        <w:trPr>
          <w:trHeight w:val="142"/>
        </w:trPr>
        <w:tc>
          <w:tcPr>
            <w:tcW w:w="73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from stock options excluded from calculation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Anti-dilutive weighted shares from preferred stock excluded from calculation</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Anti-dilutive weighted shares of common stock contingently issuable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adopted the provisions of Financial Accounting Standards Board Interpretations (FIN) 48 on January 1, 2007. The total liability for unrecognized tax benefits as of the date of adoption was $4.7 million. Additionally, the Company has a tax refund claim of $2.4 million for which it has not recorded any benefit under FIN 48 or prior standards. As a result of the implementation of FIN 48, the Company recognized a $0.7 million increase in the liability for unrecognized tax benefits, with $0.2 million net decrease in valuation allowance, $0.1 million charged to retained earnings, and $0.4 million recorded to goodwill. In addition, the Company reduced its gross deferred tax assets by $10.8 million for unrecognized tax benefits, which was offset by a reduction in its valuation allowance by the same amount.</w:t>
      </w:r>
    </w:p>
    <w:p>
      <w:pPr>
        <w:spacing w:after="0" w:line="198"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of December 31, 2007, the Company had $15.2 million of unrecognized tax benefits. During the first quarter of 2008, this amount was reduced by $1.2 million relating to the expiration of statutes of limitations resulting in unrecognized tax benefits at March 31, 2008 of $14.0 million. The reduction in unrecognized tax benefits was recorded as a tax benefit from discontinued operations for $1.1 million and a reduction to goodwill for $0.1 million. As of June 29, 2008, the Company had $14.1 million of unrecognized tax benefits. The Company recognizes interest and penalties related to unrecognized tax benefits in its provision for income taxes. There were no material amounts recorded during the period ended June 30, 2007 and $0.1 million during the period ended June 29, 2008.</w:t>
      </w:r>
    </w:p>
    <w:p>
      <w:pPr>
        <w:spacing w:after="0" w:line="198"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$3.1 million of the FIN 48 tax liabilities will expire within 12 months of June 29, 2008 due to the expiration of various applicable statutes of limitations and possible settlement of a pending income tax refund claim.</w:t>
      </w:r>
    </w:p>
    <w:p>
      <w:pPr>
        <w:spacing w:after="0" w:line="13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negative tax rate of 450% for the six month period ended June 29, 2008 is a function of the relationship between certain minimum taxes that the Company is subject to regardless of its income.</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 (Continued)</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 December 28, 2006, the Board of Directors of the Company approved a plan to divest portions of the Company's business where critical mass had not been achieved. This plan involved the divestiture of the Company's EMEA (Europe, Middle East and Asia) operations and its remaining South American operations. The Company determined that these operations met the criteria to be classified as held for sale. Accordingly, these operations were reflected as discontinued in accordance with SFAS No. 144, "Accounting for the Impairment or Disposal of Long-Lived Assets" in the accompanying consolidated financial statements.</w:t>
      </w:r>
    </w:p>
    <w:p>
      <w:pPr>
        <w:spacing w:after="0" w:line="197"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The EMEA operations were sold to LCC International, Inc. (LCC) on March 9, 2007 for $4.0 million in cash, $3.3 million of which was received on that date. The Company also received approximately $1.8 million from its EMEA operations, prior and subsequent to the closing date as payment on outstanding intercompany debt. The sale of EMEA generated a gain on disposition of $3.3 million. The balance of the $0.7 million sales price was withheld as security for the satisfaction of certain indemnification obligations and was payable on March 31, 2008. In the fourth quarter of 2007, the Company recorded a reserve of</w:t>
      </w:r>
    </w:p>
    <w:p>
      <w:pPr>
        <w:spacing w:after="0" w:line="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$0.7 million on the remaining sales price holdback based on the Company's assessment of LCC's available liquidity and ability to pay following the Company's review of LCC's most recently filed financial statements, thereby reducing the net estimated gain on this transaction to $2.6 million. In May 2008, the Company and LCC reached an agreement related to the $0.7 million holdback amount, under which LCC has agreed to pay the Company the outstanding balance in $100,000 increments each month commencing June 30, 2008. The Company did not receive the payments due on June 30, 2008 or July 31, 2008. While the Company intends to vigorously pursue collection of the amounts, there is a substantial likelihood the Company will not receive payment of the amount due in light of LCC's apparent current available liquidity.</w:t>
      </w:r>
    </w:p>
    <w:p>
      <w:pPr>
        <w:spacing w:after="0" w:line="20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20, 2007, the Company entered into an Equity Purchase Agreement to sell all of the issued and outstanding equity of its interests of its wholly owned subsidiary WFI Brazil Techlogia en Telecomunicaciones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With respect to the additional earn-out consideration, the Company has not received and does not expect to receive any payments. The Company recorded an impairment charge of approximately $5.2 million as of December 31, 2006 to reduce the current carrying value of the Brazil operations to their estimated fair value based upon indications of interest at that time.. In the second quarter of 2007, when this business was sold, a gain on disposition of $0.2 million was recorded primarily due to lower than expected selling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May 29, 2007, the Company entered into an Asset Purchase Agreement with LCC pursuant to which the Company agreed to sell to LCC all of the assets used in the conduct of the operation of the Company's Wireless Network Services business segment that provides engineering services to the non-government wireless communications industry in the United States.</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transaction was completed on June 4, 2007. The aggregate consideration paid by LCC in connection with the Acquisition was $46 million. LCC delivered a subordinated promissory note for the principal amount of $21.6 million (the "</w:t>
      </w:r>
      <w:r>
        <w:rPr>
          <w:rFonts w:ascii="Arial" w:cs="Arial" w:eastAsia="Arial" w:hAnsi="Arial"/>
          <w:sz w:val="18"/>
          <w:szCs w:val="18"/>
          <w:i w:val="1"/>
          <w:iCs w:val="1"/>
          <w:color w:val="auto"/>
        </w:rPr>
        <w:t>Subordinated Promissory Note</w:t>
      </w:r>
      <w:r>
        <w:rPr>
          <w:rFonts w:ascii="Arial" w:cs="Arial" w:eastAsia="Arial" w:hAnsi="Arial"/>
          <w:sz w:val="18"/>
          <w:szCs w:val="18"/>
          <w:color w:val="auto"/>
        </w:rPr>
        <w:t>"), paid $17 million at closing and paid final working capital adjustments of $2.4 million through an amendment to the Subordinated Promissory Note, and the Company retained an estimated $5.0 million in net working capital of the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5, 2007, the Company sold the $21.6 million subordinated promissory note taken in the sale of assets to LCC in exchange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$19.6 million in net cash proceeds, reflecting a discount from par value of less than five percent and aggregate transaction fees of approximately $1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was acquired by a fund affiliated with Silver Point Capital, L.P. The Company collected $2.3 million in January 2008, net of a $0.1 million discount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Silver Point in accordance with the terms of the note agreement for the working capital portion of the note. The Company did not provide any guaranty for LCC's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obligations for the note.</w:t>
      </w:r>
    </w:p>
    <w:p>
      <w:pPr>
        <w:spacing w:after="0" w:line="219"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July 24, 2007, the Company completed the sale to an affiliate of Platinum Equity of its wireless deployment services portion of the Wireless Network Services segment and the Wireless Facilities trade and corporate names. The total consideration for the acquisition was $24 million including $18 million in cash at closing, subject to typical post-closing working capital adjustments, and an aggregate $6 million in a three-year earn-out arrangement. The Company provided certain transition services to Platinum Equity for a period of nine months pursuant to a Transition Services Agreement. Under an employee leasing arrangement with Platinum Equity, the Company serviced the payroll for the deployment business employees until October 1, 2007. 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is to be paid in installments with the first amount of $2.5 million due on July 31, 2008 and payments of $0.5 million monthly thereafter until paid in full in December 2008. As of June 29, 2008, the balance of $5.0 million has been reflected in other current liabilities. As of August 6, 2008, the $2.5 million initial payment had not been made.</w:t>
      </w:r>
    </w:p>
    <w:p>
      <w:pPr>
        <w:spacing w:after="0" w:line="17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determined that the U.S. engineering and U.S. deployment operations met the criteria to be classified as held for sale in the first quarter of 2007. Accordingly, the Company has reflected these operations as discontinued and assessed these assets for impairment in accordance with SFAS No. 144, "Accounting for the Impairment or Disposal of Long-Lived Assets". The Company determined that the assets of the U.S. deployment operations were impaired and recorded an impairment charge of approximately $13.4 million. The fair value of the assets was determined by utilizing the sale price less estimated costs to sell the business. The Company subsequently recorded a gain in discontinued operations from the sale of the U.S. engineering operations of $14.8 million. Upon the divestiture of the deployment business, the Company recorded a loss from disposal of $1.9 million, reflecting the closing working capital adjustment and final closing balance sheet. In addition,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Company recorded a charge for an excess facility accrual of approximately $1.1 million related to certain facility leases of deployment field offices that were not assumed by Platinum.</w:t>
      </w:r>
    </w:p>
    <w:p>
      <w:pPr>
        <w:spacing w:after="0" w:line="186"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determination that the U.S. engineering business and U.S. deployment operations met the criteria to be classified as held for sale in the first quarter of 2007 was also a triggering event under SFAS 142 Goodwill and Other Intangible Assets ("SFAS 142") that resulted in an accelerated review of the Company's goodwill and intangibles assets with indefinite lives. In accordance with SFAS 142, the Company allocated the goodwill for the WNS reporting unit based upon the fair value of the engineering business and the deployment business. The fair values used were based upon market information obtained as a result of the sale of the businesses. This resulted in an impairment charge of approximately $7.2 million related to goodwill for this reporting unit which was recorded in the first quarter of 2007.</w:t>
      </w:r>
    </w:p>
    <w:p>
      <w:pPr>
        <w:spacing w:after="0" w:line="198"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In addition,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xml:space="preserve"> ("EITF 87-24"), interest expense incurred on the debt that was required to be repaid as a result of the sales of our wireless network services business was allocated to discontinued operations for the periods presented. During the quarter ended June 30, 2007 and June 29, 2008, interest expense allocated to discontinued operations was approximately $1.0 million and zero, respectively. For the six months ended June 30, 2007 and June 29, 2008, interest expense allocated to discontinued operations was approximately $2.1 million and zero, respectively. For the six months ended June 29, 2008, the primary activity related to discontinued operations was a reduction in tax contingencies net of a charge for impairment of assets and the adjustment related to the agreement of the working capital with Platinum Equity. The following table presents the results of discontinued operations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Arial" w:cs="Arial" w:eastAsia="Arial" w:hAnsi="Arial"/>
                <w:sz w:val="14"/>
                <w:szCs w:val="14"/>
                <w:b w:val="1"/>
                <w:bCs w:val="1"/>
                <w:color w:val="auto"/>
              </w:rPr>
              <w:t>For the Six Months Ended</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For the Three Months Ended</w:t>
            </w:r>
          </w:p>
        </w:tc>
        <w:tc>
          <w:tcPr>
            <w:tcW w:w="1160" w:type="dxa"/>
            <w:vAlign w:val="bottom"/>
            <w:gridSpan w:val="3"/>
          </w:tcPr>
          <w:p>
            <w:pPr>
              <w:ind w:left="700"/>
              <w:spacing w:after="0"/>
              <w:rPr>
                <w:sz w:val="20"/>
                <w:szCs w:val="20"/>
                <w:color w:val="auto"/>
              </w:rPr>
            </w:pPr>
            <w:r>
              <w:rPr>
                <w:rFonts w:ascii="Arial" w:cs="Arial" w:eastAsia="Arial" w:hAnsi="Arial"/>
                <w:sz w:val="14"/>
                <w:szCs w:val="14"/>
                <w:b w:val="1"/>
                <w:bCs w:val="1"/>
                <w:color w:val="auto"/>
                <w:w w:val="84"/>
              </w:rPr>
              <w:t>June 30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760" w:type="dxa"/>
            <w:vAlign w:val="bottom"/>
            <w:tcBorders>
              <w:top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29,</w:t>
            </w:r>
          </w:p>
        </w:tc>
        <w:tc>
          <w:tcPr>
            <w:tcW w:w="200" w:type="dxa"/>
            <w:vAlign w:val="bottom"/>
          </w:tcPr>
          <w:p>
            <w:pPr>
              <w:spacing w:after="0"/>
              <w:rPr>
                <w:sz w:val="11"/>
                <w:szCs w:val="11"/>
                <w:color w:val="auto"/>
              </w:rPr>
            </w:pPr>
          </w:p>
        </w:tc>
        <w:tc>
          <w:tcPr>
            <w:tcW w:w="1160" w:type="dxa"/>
            <w:vAlign w:val="bottom"/>
            <w:tcBorders>
              <w:top w:val="single" w:sz="8" w:color="auto"/>
            </w:tcBorders>
            <w:gridSpan w:val="3"/>
          </w:tcPr>
          <w:p>
            <w:pPr>
              <w:ind w:left="160"/>
              <w:spacing w:after="0" w:line="129" w:lineRule="exact"/>
              <w:rPr>
                <w:sz w:val="20"/>
                <w:szCs w:val="20"/>
                <w:color w:val="auto"/>
              </w:rPr>
            </w:pPr>
            <w:r>
              <w:rPr>
                <w:rFonts w:ascii="Arial" w:cs="Arial" w:eastAsia="Arial" w:hAnsi="Arial"/>
                <w:sz w:val="14"/>
                <w:szCs w:val="14"/>
                <w:b w:val="1"/>
                <w:bCs w:val="1"/>
                <w:color w:val="auto"/>
              </w:rPr>
              <w:t>June 30,</w:t>
            </w:r>
          </w:p>
        </w:tc>
        <w:tc>
          <w:tcPr>
            <w:tcW w:w="680" w:type="dxa"/>
            <w:vAlign w:val="bottom"/>
            <w:tcBorders>
              <w:top w:val="single" w:sz="8" w:color="auto"/>
            </w:tcBorders>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w w:val="85"/>
              </w:rPr>
              <w:t>June 29,</w:t>
            </w: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$ 32.6</w:t>
            </w:r>
          </w:p>
        </w:tc>
        <w:tc>
          <w:tcPr>
            <w:tcW w:w="6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2220"/>
              <w:spacing w:after="0"/>
              <w:rPr>
                <w:sz w:val="20"/>
                <w:szCs w:val="20"/>
                <w:color w:val="auto"/>
              </w:rPr>
            </w:pPr>
            <w:r>
              <w:rPr>
                <w:rFonts w:ascii="Arial" w:cs="Arial" w:eastAsia="Arial" w:hAnsi="Arial"/>
                <w:sz w:val="18"/>
                <w:szCs w:val="18"/>
                <w:color w:val="auto"/>
              </w:rPr>
              <w:t>Net income (loss) before taxes</w:t>
            </w: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gridSpan w:val="2"/>
            <w:vMerge w:val="continue"/>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$ 12.6</w:t>
            </w:r>
          </w:p>
        </w:tc>
        <w:tc>
          <w:tcPr>
            <w:tcW w:w="200" w:type="dxa"/>
            <w:vAlign w:val="bottom"/>
          </w:tcPr>
          <w:p>
            <w:pPr>
              <w:spacing w:after="0"/>
              <w:rPr>
                <w:sz w:val="17"/>
                <w:szCs w:val="17"/>
                <w:color w:val="auto"/>
              </w:rPr>
            </w:pPr>
          </w:p>
        </w:tc>
        <w:tc>
          <w:tcPr>
            <w:tcW w:w="440" w:type="dxa"/>
            <w:vAlign w:val="bottom"/>
            <w:tcBorders>
              <w:top w:val="single" w:sz="8" w:color="auto"/>
            </w:tcBorders>
          </w:tcPr>
          <w:p>
            <w:pPr>
              <w:jc w:val="center"/>
              <w:ind w:left="202"/>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0"/>
              </w:rPr>
              <w:t>(0.4)</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 (5.6)</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0"/>
              </w:rPr>
              <w:t>(0.9)</w:t>
            </w: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(0.9)</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2220"/>
              <w:spacing w:after="0"/>
              <w:rPr>
                <w:sz w:val="20"/>
                <w:szCs w:val="20"/>
                <w:color w:val="auto"/>
              </w:rPr>
            </w:pPr>
            <w:r>
              <w:rPr>
                <w:rFonts w:ascii="Arial" w:cs="Arial" w:eastAsia="Arial" w:hAnsi="Arial"/>
                <w:sz w:val="18"/>
                <w:szCs w:val="18"/>
                <w:color w:val="auto"/>
              </w:rPr>
              <w:t>Net income (loss) after taxes</w:t>
            </w:r>
          </w:p>
        </w:tc>
        <w:tc>
          <w:tcPr>
            <w:tcW w:w="7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40" w:type="dxa"/>
            <w:vAlign w:val="bottom"/>
            <w:gridSpan w:val="2"/>
            <w:vMerge w:val="continue"/>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$ 12.6</w:t>
            </w:r>
          </w:p>
        </w:tc>
        <w:tc>
          <w:tcPr>
            <w:tcW w:w="200" w:type="dxa"/>
            <w:vAlign w:val="bottom"/>
          </w:tcPr>
          <w:p>
            <w:pPr>
              <w:spacing w:after="0"/>
              <w:rPr>
                <w:sz w:val="18"/>
                <w:szCs w:val="18"/>
                <w:color w:val="auto"/>
              </w:rPr>
            </w:pPr>
          </w:p>
        </w:tc>
        <w:tc>
          <w:tcPr>
            <w:tcW w:w="440" w:type="dxa"/>
            <w:vAlign w:val="bottom"/>
            <w:tcBorders>
              <w:top w:val="single" w:sz="8" w:color="auto"/>
            </w:tcBorders>
          </w:tcPr>
          <w:p>
            <w:pPr>
              <w:jc w:val="center"/>
              <w:ind w:left="20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(0.6)</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(4.5)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Significant Transactions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31, 2007 and June 29, 2008 (in millions):</w:t>
      </w:r>
    </w:p>
    <w:p>
      <w:pPr>
        <w:spacing w:after="0" w:line="231"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2"/>
              </w:rPr>
              <w:t>June 29,</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 contingencies</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Non-current income tax contingencies</w:t>
            </w: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tables summarize the changes in the carrying amounts of goodwill and other finite-life intangible assets for the six months ended June 29, 2008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Government</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Network</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0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1"/>
              </w:rPr>
              <w:t>Balance as of December 31, 2007</w:t>
            </w:r>
          </w:p>
        </w:tc>
        <w:tc>
          <w:tcPr>
            <w:tcW w:w="22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194.5</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SYS</w:t>
            </w:r>
          </w:p>
        </w:tc>
        <w:tc>
          <w:tcPr>
            <w:tcW w:w="2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w w:val="87"/>
              </w:rPr>
              <w:t>Purchase accounting adjustments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29, 2008</w:t>
            </w:r>
          </w:p>
        </w:tc>
        <w:tc>
          <w:tcPr>
            <w:tcW w:w="22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238.0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00" w:type="dxa"/>
            <w:vAlign w:val="bottom"/>
            <w:vMerge w:val="restart"/>
          </w:tcPr>
          <w:p>
            <w:pPr>
              <w:jc w:val="right"/>
              <w:ind w:right="1692"/>
              <w:spacing w:after="0"/>
              <w:rPr>
                <w:sz w:val="20"/>
                <w:szCs w:val="20"/>
                <w:color w:val="auto"/>
              </w:rPr>
            </w:pPr>
            <w:r>
              <w:rPr>
                <w:rFonts w:ascii="Arial" w:cs="Arial" w:eastAsia="Arial" w:hAnsi="Arial"/>
                <w:sz w:val="18"/>
                <w:szCs w:val="18"/>
                <w:color w:val="auto"/>
                <w:w w:val="99"/>
              </w:rPr>
              <w:t>19</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December 31, 2007</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June 29, 2008</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9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9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1"/>
                <w:szCs w:val="11"/>
                <w:color w:val="auto"/>
              </w:rPr>
            </w:pPr>
          </w:p>
        </w:tc>
      </w:tr>
      <w:tr>
        <w:trPr>
          <w:trHeight w:val="161"/>
        </w:trPr>
        <w:tc>
          <w:tcPr>
            <w:tcW w:w="2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w:t>
            </w: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w w:val="97"/>
              </w:rPr>
              <w:t>Acquired finite-lived intangible assets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w:t>
            </w: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Contracts and backlog</w:t>
            </w: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Intellectual property</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r>
      <w:tr>
        <w:trPr>
          <w:trHeight w:val="21"/>
        </w:trPr>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$28.3</w:t>
            </w:r>
          </w:p>
        </w:tc>
        <w:tc>
          <w:tcPr>
            <w:tcW w:w="5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w:t>
            </w:r>
          </w:p>
        </w:tc>
        <w:tc>
          <w:tcPr>
            <w:tcW w:w="60" w:type="dxa"/>
            <w:vAlign w:val="bottom"/>
            <w:shd w:val="clear" w:color="auto" w:fill="CCEEFF"/>
          </w:tcPr>
          <w:p>
            <w:pPr>
              <w:spacing w:after="0"/>
              <w:rPr>
                <w:sz w:val="18"/>
                <w:szCs w:val="18"/>
                <w:color w:val="auto"/>
              </w:rPr>
            </w:pPr>
          </w:p>
        </w:tc>
      </w:tr>
      <w:tr>
        <w:trPr>
          <w:trHeight w:val="27"/>
        </w:trPr>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Consolidated amortization expense related to intangible assets subject to amortization was $0.7 million and $1.1 million for the quarters ended June 30, 2007 and June 29, 2008, respectively. Consolidated amortization expense related to intangible assets subject to amortization was $1.4 million and $2.3 million for the six months ended June 30, 2007 and June 29, 2008, respectively.</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June 28, 2008, the Company acquired San Diego-based SYS Technologies ("SYS"). SYS provides a range of Command, Control, Communications, Computers, Combat Systems, Intelligence, Surveillance, and Reconnaissance (C5ISR) and net-centric solutions to federal, state, local and other customers. The combination of SYS and Kratos creates a broad, complementary set of offerings, and positions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C5ISR. The amount of goodwill assigned in the following preliminary allocation of purchase price is primarily attributable to the aforementioned advantages of this acquisition. Further, goodwill assigned to this transaction has not yet been allocated to the Company's reportable segments.</w:t>
      </w:r>
    </w:p>
    <w:p>
      <w:pPr>
        <w:spacing w:after="0" w:line="172"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purchase price of $55.2 million includes direct transaction costs of $2.3 million and restructuring costs to be paid by Kratos. The value of the purchase price related to the common stock issued was derived from the number of shares of Kratos common stock issued of 25.3 million, based on 20.1 million shares of SYS common stock outstanding and the exchange ratio of 1.2582 for each SYS share, at a price of $2.022 per share, the average closing price of Kratos shares of common stock for the two days prior to, including, and two days subsequent to the public announcement of the merger on February 21, 2008. After the signing the definitive merger agreement in February 2008, senior management of Kratos and SYS have been developing a plan to restructure and/or exit certain business activities of SYS. The plan includes a comprehensive assessment of personnel, relocation of personnel, facility consolidation and exit strategies for certain lines of business. As of June 29, 2008, the plan tentatively estimates approximately $1.3 million of restructuring costs associated with personnel, and additional costs of $0.4 million for facilities consolidation. Personnel, facilities consolidation and exit costs are still being developed, therefore, the estimated restructuring liabilities are subject to change as plans become finalized. The Company expects to finalize the restructuring plan as soon as possible, but no later than June 28, 2009.</w:t>
      </w:r>
    </w:p>
    <w:p>
      <w:pPr>
        <w:spacing w:after="0" w:line="17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Consolidated Statement of Operations for the three and six month periods ended June 29, 2008 does not include the results of operations for SYS.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summarizes the preliminary allocation of the purchase price, including transaction costs of $2.3 million, to the fair value of the assets acquired and liabilities assumed at the date of acquisition (in millions):</w:t>
      </w:r>
    </w:p>
    <w:p>
      <w:pPr>
        <w:spacing w:after="0" w:line="19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current assets, net of accounts receivable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Intangible assets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40" w:type="dxa"/>
            <w:vAlign w:val="bottom"/>
            <w:vMerge w:val="restart"/>
          </w:tcPr>
          <w:p>
            <w:pPr>
              <w:spacing w:after="0"/>
              <w:rPr>
                <w:sz w:val="20"/>
                <w:szCs w:val="20"/>
                <w:color w:val="auto"/>
              </w:rPr>
            </w:pPr>
            <w:r>
              <w:rPr>
                <w:rFonts w:ascii="Arial" w:cs="Arial" w:eastAsia="Arial" w:hAnsi="Arial"/>
                <w:sz w:val="18"/>
                <w:szCs w:val="18"/>
                <w:color w:val="auto"/>
              </w:rPr>
              <w:t>Net assets acquired</w:t>
            </w:r>
          </w:p>
        </w:tc>
        <w:tc>
          <w:tcPr>
            <w:tcW w:w="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$ 55.2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The Company is currently reviewing the preliminary fair value of assets acquired and liabilities assumed, including valuations associated with identified intangible assets, as well as restructuring costs. Adjustments to the purchase price allocation are expected, and there can be no assurance that such adjustments will not be material. The Company expects to finalize the purchase price allocation by December 2008, or if later, by June 28, 2009.</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December 31, 2007, the Company acquired Indianapolis Indiana headquartered Haverstick Consulting, Inc. (Haverstick) as part of the Kratos Government Solutions segment. Haverstick provides rocket and missile test and evaluation, weapons systems support, and professional services to the U.S. Army, U.S. Air Force, U.S. Navy, NASA, and other federal, state and local agencies. Through the Haverstick acquisition, the Company expanded its customer footprint within the Department of Defense (DoD), and enhanced its presence with the U.S. Air Force, a key growth area for Kratos. The aforementioned factors are the primary reason for the purchase price of Haverstick and the amount subsequently assigned to goodwill.</w:t>
      </w:r>
    </w:p>
    <w:p>
      <w:pPr>
        <w:spacing w:after="0" w:line="170"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total purchase price was $90.2 million including transaction costs incurred by the Company of $0.5 million. The purchase price paid to Haverstick was $89.7 million comprised of $70.3 million in cash and the issuance of 7.48 million shares of the Company's common stock valued at $2.60 per share or an aggregate stock consideration of $19.4 million. The value of the shares issued was determined by averaging the market price of the stock two days before and two days after the announcement of the acquisition, November 5, 2007. The Company paid $81.1 million, $66.7 million of which was cash paid at closing,</w:t>
      </w:r>
    </w:p>
    <w:p>
      <w:pPr>
        <w:spacing w:after="0" w:line="3" w:lineRule="exact"/>
        <w:rPr>
          <w:sz w:val="20"/>
          <w:szCs w:val="20"/>
          <w:color w:val="auto"/>
        </w:rPr>
      </w:pPr>
    </w:p>
    <w:p>
      <w:pPr>
        <w:jc w:val="both"/>
        <w:ind w:right="180"/>
        <w:spacing w:after="0" w:line="300" w:lineRule="auto"/>
        <w:rPr>
          <w:sz w:val="20"/>
          <w:szCs w:val="20"/>
          <w:color w:val="auto"/>
        </w:rPr>
      </w:pPr>
      <w:r>
        <w:rPr>
          <w:rFonts w:ascii="Arial" w:cs="Arial" w:eastAsia="Arial" w:hAnsi="Arial"/>
          <w:sz w:val="15"/>
          <w:szCs w:val="15"/>
          <w:color w:val="auto"/>
        </w:rPr>
        <w:t>$2.4 million was paid shortly thereafter, and $12.0 million in common stock. The Company held back $8.6 million (the Holdback Consideration) to secure any negative working capital adjustments required by the merger agreement and the Company's indemnity rights. The Holdback Consideration is comprised of both cash and Kratos stock in the amounts of $1.2 million and $7.4 million, respectively, and accrues interest at a rate of LIBOR plus 4% until paid. The Holdback</w:t>
      </w:r>
    </w:p>
    <w:p>
      <w:pPr>
        <w:spacing w:after="0" w:line="1" w:lineRule="exact"/>
        <w:rPr>
          <w:sz w:val="20"/>
          <w:szCs w:val="20"/>
          <w:color w:val="auto"/>
        </w:rPr>
      </w:pPr>
    </w:p>
    <w:p>
      <w:pPr>
        <w:ind w:right="540"/>
        <w:spacing w:after="0" w:line="209" w:lineRule="auto"/>
        <w:rPr>
          <w:sz w:val="20"/>
          <w:szCs w:val="20"/>
          <w:color w:val="auto"/>
        </w:rPr>
      </w:pPr>
      <w:r>
        <w:rPr>
          <w:rFonts w:ascii="Arial" w:cs="Arial" w:eastAsia="Arial" w:hAnsi="Arial"/>
          <w:sz w:val="18"/>
          <w:szCs w:val="18"/>
          <w:color w:val="auto"/>
        </w:rPr>
        <w:t>Consideration will be released in 50% increments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and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month of the anniversary date of the acquisition. In addition to the indemnity holdback, the agreement also calls for a post closing working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capital adjustment. To fund the acquisition, the Company secured a new credit facility of $85.0 million arranged by KeyBanc Capital Markets. The credit facility, which includes a $25.0 million line of credit and $60.0 million in term notes, replaced the Company's previous credit facility which had an outstanding principal balance of $6.0 million on the date of closing.</w:t>
      </w:r>
    </w:p>
    <w:p>
      <w:pPr>
        <w:spacing w:after="0" w:line="19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February 2008, the Company and Haverstick agreed on the working capital calculation called for in the agreement. The calculation resulted in a working capital adjustment due to Haverstick in an amount of $1.5 million. The working capital adjustment was paid with 697,315 shares of Company stock on June 30, 2008, valued at $1.3 million and cash of $0.2 million in April 2008.</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Until the date on which the shares of stock became salable, interest accrued on the value of the closing stock at a floating rate of one-month LIBOR plus four percent (4%) per annum. The shares became saleable on June 30, 2008 and 167,692 additional shares were issued in satisfaction of the accrued interest.</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summarizes supplemental statement of operations information on an unaudited pro forma basis as if the acquisitions of Haverstick and SYS had occurred on January 1, 2007 and includes adjustments that were directly attributable to the transactions or were not expected to have a continuing impact on the Company, with the exception of approximately $3.0 million of acquisition costs of SYS included in the supplemental statement of operations for the three months ended June 29, 2008.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unaudited amounts, all, except per share amounts are in millions):</w:t>
      </w:r>
    </w:p>
    <w:p>
      <w:pPr>
        <w:spacing w:after="0" w:line="157"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For the Three</w:t>
            </w:r>
          </w:p>
        </w:tc>
        <w:tc>
          <w:tcPr>
            <w:tcW w:w="1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For the Six</w:t>
            </w:r>
          </w:p>
        </w:tc>
      </w:tr>
      <w:tr>
        <w:trPr>
          <w:trHeight w:val="16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7"/>
              </w:rPr>
              <w:t>Months Ended</w:t>
            </w:r>
          </w:p>
        </w:tc>
        <w:tc>
          <w:tcPr>
            <w:tcW w:w="12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7"/>
              </w:rPr>
              <w:t>Months Ended</w:t>
            </w:r>
          </w:p>
        </w:tc>
      </w:tr>
      <w:tr>
        <w:trPr>
          <w:trHeight w:val="129"/>
        </w:trPr>
        <w:tc>
          <w:tcPr>
            <w:tcW w:w="2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68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w w:val="82"/>
              </w:rPr>
              <w:t>June 29,</w:t>
            </w:r>
          </w:p>
        </w:tc>
        <w:tc>
          <w:tcPr>
            <w:tcW w:w="200" w:type="dxa"/>
            <w:vAlign w:val="bottom"/>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29,</w:t>
            </w:r>
          </w:p>
        </w:tc>
        <w:tc>
          <w:tcPr>
            <w:tcW w:w="80" w:type="dxa"/>
            <w:vAlign w:val="bottom"/>
          </w:tcPr>
          <w:p>
            <w:pPr>
              <w:spacing w:after="0"/>
              <w:rPr>
                <w:sz w:val="11"/>
                <w:szCs w:val="11"/>
                <w:color w:val="auto"/>
              </w:rPr>
            </w:pPr>
          </w:p>
        </w:tc>
      </w:tr>
      <w:tr>
        <w:trPr>
          <w:trHeight w:val="16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94.2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$186.4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177.0</w:t>
            </w:r>
          </w:p>
        </w:tc>
        <w:tc>
          <w:tcPr>
            <w:tcW w:w="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640" w:type="dxa"/>
            <w:vAlign w:val="bottom"/>
            <w:gridSpan w:val="2"/>
          </w:tcPr>
          <w:p>
            <w:pPr>
              <w:spacing w:after="0"/>
              <w:rPr>
                <w:sz w:val="20"/>
                <w:szCs w:val="20"/>
                <w:color w:val="auto"/>
              </w:rPr>
            </w:pPr>
            <w:r>
              <w:rPr>
                <w:rFonts w:ascii="Arial" w:cs="Arial" w:eastAsia="Arial" w:hAnsi="Arial"/>
                <w:sz w:val="18"/>
                <w:szCs w:val="18"/>
                <w:color w:val="auto"/>
                <w:w w:val="99"/>
              </w:rPr>
              <w:t>$ (17.5)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loss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0.03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(0.02)</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(0.17)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(0.04)</w:t>
            </w: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w w:val="96"/>
              </w:rPr>
              <w:t>Diluted pro forma net loss per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(0.02)</w:t>
            </w:r>
          </w:p>
        </w:tc>
        <w:tc>
          <w:tcPr>
            <w:tcW w:w="640" w:type="dxa"/>
            <w:vAlign w:val="bottom"/>
            <w:gridSpan w:val="2"/>
          </w:tcPr>
          <w:p>
            <w:pPr>
              <w:spacing w:after="0"/>
              <w:rPr>
                <w:sz w:val="20"/>
                <w:szCs w:val="20"/>
                <w:color w:val="auto"/>
              </w:rPr>
            </w:pPr>
            <w:r>
              <w:rPr>
                <w:rFonts w:ascii="Arial" w:cs="Arial" w:eastAsia="Arial" w:hAnsi="Arial"/>
                <w:sz w:val="18"/>
                <w:szCs w:val="18"/>
                <w:color w:val="auto"/>
                <w:w w:val="99"/>
              </w:rPr>
              <w:t>$ (0.17)</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(0.04)</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the additional consideration becomes payable. The other current liabilities on the accompanying Consolidated Balance Sheet as of June 29, 2008 include $2.4 million for Madison Research Corporation (MRC) and $0.6 million for Haverstick. Included in other long-term liabilities is $0.6 million for Haverstick with the contingent common stock consideration of $8.2 million reflected as additional paid in capital for contingent consideration in the accompanying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MRC holdback of approximately $2.4 million was originally due in April 2008 and this date has been extended to provide additional time to resolve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outstanding indemnification obligations. The Company expects to make this payment in the latter half of 2008. The remaining amounts for Haverstick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 cash and $8.2 million in common stock are due in equal payments in December 2008 and September 2009. The holdback arrangements accrue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in accordance with the terms of the purchase agreements.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contingent acquisition consideration as of December 31, 2007 and June 29, 2008 is summarized in the following table (in millions):</w:t>
      </w:r>
    </w:p>
    <w:p>
      <w:pPr>
        <w:spacing w:after="0" w:line="298"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Haverstick</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MRC</w:t>
            </w:r>
          </w:p>
        </w:tc>
        <w:tc>
          <w:tcPr>
            <w:tcW w:w="20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$10.9</w:t>
            </w:r>
          </w:p>
        </w:tc>
      </w:tr>
      <w:tr>
        <w:trPr>
          <w:trHeight w:val="222"/>
        </w:trPr>
        <w:tc>
          <w:tcPr>
            <w:tcW w:w="3780" w:type="dxa"/>
            <w:vAlign w:val="bottom"/>
          </w:tcPr>
          <w:p>
            <w:pPr>
              <w:ind w:left="120"/>
              <w:spacing w:after="0"/>
              <w:rPr>
                <w:sz w:val="20"/>
                <w:szCs w:val="20"/>
                <w:color w:val="auto"/>
              </w:rPr>
            </w:pPr>
            <w:r>
              <w:rPr>
                <w:rFonts w:ascii="Arial" w:cs="Arial" w:eastAsia="Arial" w:hAnsi="Arial"/>
                <w:sz w:val="18"/>
                <w:szCs w:val="18"/>
                <w:color w:val="auto"/>
                <w:w w:val="91"/>
              </w:rPr>
              <w:t>Post acquisition adjustments and interest accruals</w:t>
            </w: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1"/>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29, 2008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$11.8</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31, 2007, the Company entered into a credit facility of $85.0 million with KeyBanc Capital Markets which replaced the October 2, 2006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Key Bank. This credit facility provides for two term loans consisting of a first lien term note of $50.0 million and a second lien term note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as well as, a first lien $25 million revolving line of credit. The $10.0 million term loan has a five and one half year term with principal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quarterly beginning on March 31, 2008 of $25,000 through March 31, 2013 with the final balance of $9.5 million due on June 30, 2013. The</w:t>
      </w:r>
    </w:p>
    <w:p>
      <w:pPr>
        <w:spacing w:after="0" w:line="32"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$50.0 million term loan has a five year term with principal payments required quarterly beginning on March 31, 2008 of $0.6 million in 2008, $1.3 million in 2009, $2.5 million in 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the Company's aggregate debt to its EBITDA for the previous four fiscal quarters. The Company used the credit facility to fund the acquisition of Haverstick Consulting Inc. (Haverstick) and to retire the outstanding debt from the October 2006 agreement.</w:t>
      </w:r>
    </w:p>
    <w:p>
      <w:pPr>
        <w:spacing w:after="0" w:line="16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Credit Facilities contain covenants which impose certain restrictions on the Company's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Facilities contain certain financial covenants which are defined by the terms of the agreements. These financial covenants include a maximum first lien leverage ratio, a maximum total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leverage ratio, a minimum liquidity ratio, a minimum fixed charge coverage ratio, and a minimum consolidated EBITDA at various dates for the $50.0 million term loan and the $25.0 million revolver as outlined in the following table.</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First Lien</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Maximum Total</w:t>
            </w:r>
          </w:p>
        </w:tc>
        <w:tc>
          <w:tcPr>
            <w:tcW w:w="180" w:type="dxa"/>
            <w:vAlign w:val="bottom"/>
          </w:tcPr>
          <w:p>
            <w:pPr>
              <w:spacing w:after="0"/>
              <w:rPr>
                <w:sz w:val="12"/>
                <w:szCs w:val="12"/>
                <w:color w:val="auto"/>
              </w:rPr>
            </w:pPr>
          </w:p>
        </w:tc>
        <w:tc>
          <w:tcPr>
            <w:tcW w:w="15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Minimum Liquidity</w:t>
            </w:r>
          </w:p>
        </w:tc>
        <w:tc>
          <w:tcPr>
            <w:tcW w:w="180" w:type="dxa"/>
            <w:vAlign w:val="bottom"/>
          </w:tcPr>
          <w:p>
            <w:pPr>
              <w:spacing w:after="0"/>
              <w:rPr>
                <w:sz w:val="12"/>
                <w:szCs w:val="12"/>
                <w:color w:val="auto"/>
              </w:rPr>
            </w:pPr>
          </w:p>
        </w:tc>
        <w:tc>
          <w:tcPr>
            <w:tcW w:w="22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4"/>
              </w:rPr>
              <w:t>Minimum Fixed Charge Coverage</w:t>
            </w:r>
          </w:p>
        </w:tc>
        <w:tc>
          <w:tcPr>
            <w:tcW w:w="1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Leverage Ratio</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9"/>
              </w:rPr>
              <w:t>Leverage Ratio</w:t>
            </w:r>
          </w:p>
        </w:tc>
        <w:tc>
          <w:tcPr>
            <w:tcW w:w="180" w:type="dxa"/>
            <w:vAlign w:val="bottom"/>
          </w:tcPr>
          <w:p>
            <w:pPr>
              <w:spacing w:after="0"/>
              <w:rPr>
                <w:sz w:val="14"/>
                <w:szCs w:val="14"/>
                <w:color w:val="auto"/>
              </w:rPr>
            </w:pPr>
          </w:p>
        </w:tc>
        <w:tc>
          <w:tcPr>
            <w:tcW w:w="1500" w:type="dxa"/>
            <w:vAlign w:val="bottom"/>
          </w:tcPr>
          <w:p>
            <w:pPr>
              <w:ind w:left="580"/>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4"/>
                <w:szCs w:val="14"/>
                <w:color w:val="auto"/>
              </w:rPr>
            </w:pPr>
          </w:p>
        </w:tc>
        <w:tc>
          <w:tcPr>
            <w:tcW w:w="2280" w:type="dxa"/>
            <w:vAlign w:val="bottom"/>
          </w:tcPr>
          <w:p>
            <w:pPr>
              <w:jc w:val="right"/>
              <w:ind w:right="912"/>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4"/>
                <w:szCs w:val="14"/>
                <w:color w:val="auto"/>
              </w:rPr>
            </w:pPr>
          </w:p>
        </w:tc>
        <w:tc>
          <w:tcPr>
            <w:tcW w:w="2720" w:type="dxa"/>
            <w:vAlign w:val="bottom"/>
          </w:tcPr>
          <w:p>
            <w:pPr>
              <w:ind w:left="20"/>
              <w:spacing w:after="0"/>
              <w:rPr>
                <w:sz w:val="20"/>
                <w:szCs w:val="20"/>
                <w:color w:val="auto"/>
              </w:rPr>
            </w:pPr>
            <w:r>
              <w:rPr>
                <w:rFonts w:ascii="Arial" w:cs="Arial" w:eastAsia="Arial" w:hAnsi="Arial"/>
                <w:sz w:val="14"/>
                <w:szCs w:val="14"/>
                <w:b w:val="1"/>
                <w:bCs w:val="1"/>
                <w:color w:val="auto"/>
                <w:w w:val="91"/>
              </w:rPr>
              <w:t>Minimum Consolidated EBITDA (in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December 31, 2007 - 2008</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3.22 to 4.76:1.00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3.76 to 5.68:1.00</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ind w:left="580"/>
              <w:spacing w:after="0" w:line="142" w:lineRule="exact"/>
              <w:rPr>
                <w:sz w:val="20"/>
                <w:szCs w:val="20"/>
                <w:color w:val="auto"/>
              </w:rPr>
            </w:pPr>
            <w:r>
              <w:rPr>
                <w:rFonts w:ascii="Arial" w:cs="Arial" w:eastAsia="Arial" w:hAnsi="Arial"/>
                <w:sz w:val="14"/>
                <w:szCs w:val="14"/>
                <w:color w:val="auto"/>
                <w:w w:val="85"/>
              </w:rPr>
              <w:t>1.56 to 1.33:1.00</w:t>
            </w:r>
          </w:p>
        </w:tc>
        <w:tc>
          <w:tcPr>
            <w:tcW w:w="180" w:type="dxa"/>
            <w:vAlign w:val="bottom"/>
            <w:shd w:val="clear" w:color="auto" w:fill="CCEEFF"/>
          </w:tcPr>
          <w:p>
            <w:pPr>
              <w:spacing w:after="0"/>
              <w:rPr>
                <w:sz w:val="12"/>
                <w:szCs w:val="12"/>
                <w:color w:val="auto"/>
              </w:rPr>
            </w:pPr>
          </w:p>
        </w:tc>
        <w:tc>
          <w:tcPr>
            <w:tcW w:w="2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1.05 to 0.50:1.00</w:t>
            </w:r>
          </w:p>
        </w:tc>
        <w:tc>
          <w:tcPr>
            <w:tcW w:w="180" w:type="dxa"/>
            <w:vAlign w:val="bottom"/>
            <w:shd w:val="clear" w:color="auto" w:fill="CCEEFF"/>
          </w:tcPr>
          <w:p>
            <w:pPr>
              <w:spacing w:after="0"/>
              <w:rPr>
                <w:sz w:val="12"/>
                <w:szCs w:val="12"/>
                <w:color w:val="auto"/>
              </w:rPr>
            </w:pPr>
          </w:p>
        </w:tc>
        <w:tc>
          <w:tcPr>
            <w:tcW w:w="2720" w:type="dxa"/>
            <w:vAlign w:val="bottom"/>
            <w:shd w:val="clear" w:color="auto" w:fill="CCEEFF"/>
          </w:tcPr>
          <w:p>
            <w:pPr>
              <w:ind w:left="1940"/>
              <w:spacing w:after="0" w:line="142" w:lineRule="exact"/>
              <w:rPr>
                <w:sz w:val="20"/>
                <w:szCs w:val="20"/>
                <w:color w:val="auto"/>
              </w:rPr>
            </w:pPr>
            <w:r>
              <w:rPr>
                <w:rFonts w:ascii="Arial" w:cs="Arial" w:eastAsia="Arial" w:hAnsi="Arial"/>
                <w:sz w:val="14"/>
                <w:szCs w:val="14"/>
                <w:color w:val="auto"/>
                <w:w w:val="84"/>
              </w:rPr>
              <w:t>$16.1 to $19.4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2009</w:t>
            </w:r>
          </w:p>
        </w:tc>
        <w:tc>
          <w:tcPr>
            <w:tcW w:w="15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w w:val="91"/>
              </w:rPr>
              <w:t>2.97 to 2.33:1.00</w:t>
            </w:r>
          </w:p>
        </w:tc>
        <w:tc>
          <w:tcPr>
            <w:tcW w:w="1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w w:val="91"/>
              </w:rPr>
              <w:t>2.78 to 3.50:1.00</w:t>
            </w:r>
          </w:p>
        </w:tc>
        <w:tc>
          <w:tcPr>
            <w:tcW w:w="180" w:type="dxa"/>
            <w:vAlign w:val="bottom"/>
          </w:tcPr>
          <w:p>
            <w:pPr>
              <w:spacing w:after="0"/>
              <w:rPr>
                <w:sz w:val="12"/>
                <w:szCs w:val="12"/>
                <w:color w:val="auto"/>
              </w:rPr>
            </w:pPr>
          </w:p>
        </w:tc>
        <w:tc>
          <w:tcPr>
            <w:tcW w:w="1500" w:type="dxa"/>
            <w:vAlign w:val="bottom"/>
          </w:tcPr>
          <w:p>
            <w:pPr>
              <w:ind w:left="580"/>
              <w:spacing w:after="0" w:line="149" w:lineRule="exact"/>
              <w:rPr>
                <w:sz w:val="20"/>
                <w:szCs w:val="20"/>
                <w:color w:val="auto"/>
              </w:rPr>
            </w:pPr>
            <w:r>
              <w:rPr>
                <w:rFonts w:ascii="Arial" w:cs="Arial" w:eastAsia="Arial" w:hAnsi="Arial"/>
                <w:sz w:val="14"/>
                <w:szCs w:val="14"/>
                <w:color w:val="auto"/>
                <w:w w:val="85"/>
              </w:rPr>
              <w:t>1.60 to 1.58:1.00</w:t>
            </w:r>
          </w:p>
        </w:tc>
        <w:tc>
          <w:tcPr>
            <w:tcW w:w="180" w:type="dxa"/>
            <w:vAlign w:val="bottom"/>
          </w:tcPr>
          <w:p>
            <w:pPr>
              <w:spacing w:after="0"/>
              <w:rPr>
                <w:sz w:val="12"/>
                <w:szCs w:val="12"/>
                <w:color w:val="auto"/>
              </w:rPr>
            </w:pPr>
          </w:p>
        </w:tc>
        <w:tc>
          <w:tcPr>
            <w:tcW w:w="2280" w:type="dxa"/>
            <w:vAlign w:val="bottom"/>
          </w:tcPr>
          <w:p>
            <w:pPr>
              <w:jc w:val="right"/>
              <w:spacing w:after="0" w:line="149" w:lineRule="exact"/>
              <w:rPr>
                <w:sz w:val="20"/>
                <w:szCs w:val="20"/>
                <w:color w:val="auto"/>
              </w:rPr>
            </w:pPr>
            <w:r>
              <w:rPr>
                <w:rFonts w:ascii="Arial" w:cs="Arial" w:eastAsia="Arial" w:hAnsi="Arial"/>
                <w:sz w:val="14"/>
                <w:szCs w:val="14"/>
                <w:color w:val="auto"/>
              </w:rPr>
              <w:t>1.11 to 1.02:1.00</w:t>
            </w:r>
          </w:p>
        </w:tc>
        <w:tc>
          <w:tcPr>
            <w:tcW w:w="180" w:type="dxa"/>
            <w:vAlign w:val="bottom"/>
          </w:tcPr>
          <w:p>
            <w:pPr>
              <w:spacing w:after="0"/>
              <w:rPr>
                <w:sz w:val="12"/>
                <w:szCs w:val="12"/>
                <w:color w:val="auto"/>
              </w:rPr>
            </w:pPr>
          </w:p>
        </w:tc>
        <w:tc>
          <w:tcPr>
            <w:tcW w:w="2720" w:type="dxa"/>
            <w:vAlign w:val="bottom"/>
          </w:tcPr>
          <w:p>
            <w:pPr>
              <w:ind w:left="1940"/>
              <w:spacing w:after="0" w:line="149" w:lineRule="exact"/>
              <w:rPr>
                <w:sz w:val="20"/>
                <w:szCs w:val="20"/>
                <w:color w:val="auto"/>
              </w:rPr>
            </w:pPr>
            <w:r>
              <w:rPr>
                <w:rFonts w:ascii="Arial" w:cs="Arial" w:eastAsia="Arial" w:hAnsi="Arial"/>
                <w:sz w:val="14"/>
                <w:szCs w:val="14"/>
                <w:color w:val="auto"/>
                <w:w w:val="84"/>
              </w:rPr>
              <w:t>$19,8 to $21.5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2010</w:t>
            </w:r>
          </w:p>
        </w:tc>
        <w:tc>
          <w:tcPr>
            <w:tcW w:w="15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 to 2.00:1.00</w:t>
            </w: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2.25 to 2.50:1.00</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1.54 to 1.49:1.00</w:t>
            </w:r>
          </w:p>
        </w:tc>
        <w:tc>
          <w:tcPr>
            <w:tcW w:w="180" w:type="dxa"/>
            <w:vAlign w:val="bottom"/>
            <w:shd w:val="clear" w:color="auto" w:fill="CCEEFF"/>
          </w:tcPr>
          <w:p>
            <w:pPr>
              <w:spacing w:after="0"/>
              <w:rPr>
                <w:sz w:val="12"/>
                <w:szCs w:val="12"/>
                <w:color w:val="auto"/>
              </w:rPr>
            </w:pPr>
          </w:p>
        </w:tc>
        <w:tc>
          <w:tcPr>
            <w:tcW w:w="2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 to 1.06:1.00</w:t>
            </w:r>
          </w:p>
        </w:tc>
        <w:tc>
          <w:tcPr>
            <w:tcW w:w="180" w:type="dxa"/>
            <w:vAlign w:val="bottom"/>
            <w:shd w:val="clear" w:color="auto" w:fill="CCEEFF"/>
          </w:tcPr>
          <w:p>
            <w:pPr>
              <w:spacing w:after="0"/>
              <w:rPr>
                <w:sz w:val="12"/>
                <w:szCs w:val="12"/>
                <w:color w:val="auto"/>
              </w:rPr>
            </w:pPr>
          </w:p>
        </w:tc>
        <w:tc>
          <w:tcPr>
            <w:tcW w:w="2720" w:type="dxa"/>
            <w:vAlign w:val="bottom"/>
            <w:shd w:val="clear" w:color="auto" w:fill="CCEEFF"/>
          </w:tcPr>
          <w:p>
            <w:pPr>
              <w:ind w:left="1940"/>
              <w:spacing w:after="0" w:line="149" w:lineRule="exact"/>
              <w:rPr>
                <w:sz w:val="20"/>
                <w:szCs w:val="20"/>
                <w:color w:val="auto"/>
              </w:rPr>
            </w:pPr>
            <w:r>
              <w:rPr>
                <w:rFonts w:ascii="Arial" w:cs="Arial" w:eastAsia="Arial" w:hAnsi="Arial"/>
                <w:sz w:val="14"/>
                <w:szCs w:val="14"/>
                <w:color w:val="auto"/>
                <w:w w:val="84"/>
              </w:rPr>
              <w:t>$21.5 to $23.4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line="149" w:lineRule="exact"/>
              <w:rPr>
                <w:sz w:val="20"/>
                <w:szCs w:val="20"/>
                <w:color w:val="auto"/>
              </w:rPr>
            </w:pPr>
            <w:r>
              <w:rPr>
                <w:rFonts w:ascii="Arial" w:cs="Arial" w:eastAsia="Arial" w:hAnsi="Arial"/>
                <w:sz w:val="14"/>
                <w:szCs w:val="14"/>
                <w:color w:val="auto"/>
                <w:w w:val="83"/>
              </w:rPr>
              <w:t>2011</w:t>
            </w:r>
          </w:p>
        </w:tc>
        <w:tc>
          <w:tcPr>
            <w:tcW w:w="15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1.75:1.00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2.25:1.00</w:t>
            </w:r>
          </w:p>
        </w:tc>
        <w:tc>
          <w:tcPr>
            <w:tcW w:w="180" w:type="dxa"/>
            <w:vAlign w:val="bottom"/>
          </w:tcPr>
          <w:p>
            <w:pPr>
              <w:spacing w:after="0"/>
              <w:rPr>
                <w:sz w:val="12"/>
                <w:szCs w:val="12"/>
                <w:color w:val="auto"/>
              </w:rPr>
            </w:pPr>
          </w:p>
        </w:tc>
        <w:tc>
          <w:tcPr>
            <w:tcW w:w="1500" w:type="dxa"/>
            <w:vAlign w:val="bottom"/>
          </w:tcPr>
          <w:p>
            <w:pPr>
              <w:ind w:left="580"/>
              <w:spacing w:after="0" w:line="149" w:lineRule="exact"/>
              <w:rPr>
                <w:sz w:val="20"/>
                <w:szCs w:val="20"/>
                <w:color w:val="auto"/>
              </w:rPr>
            </w:pPr>
            <w:r>
              <w:rPr>
                <w:rFonts w:ascii="Arial" w:cs="Arial" w:eastAsia="Arial" w:hAnsi="Arial"/>
                <w:sz w:val="14"/>
                <w:szCs w:val="14"/>
                <w:color w:val="auto"/>
                <w:w w:val="85"/>
              </w:rPr>
              <w:t>1.55 to 1.53:1.00</w:t>
            </w:r>
          </w:p>
        </w:tc>
        <w:tc>
          <w:tcPr>
            <w:tcW w:w="2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1.10:1.00</w:t>
            </w:r>
          </w:p>
        </w:tc>
        <w:tc>
          <w:tcPr>
            <w:tcW w:w="180" w:type="dxa"/>
            <w:vAlign w:val="bottom"/>
          </w:tcPr>
          <w:p>
            <w:pPr>
              <w:spacing w:after="0"/>
              <w:rPr>
                <w:sz w:val="12"/>
                <w:szCs w:val="12"/>
                <w:color w:val="auto"/>
              </w:rPr>
            </w:pPr>
          </w:p>
        </w:tc>
        <w:tc>
          <w:tcPr>
            <w:tcW w:w="2720" w:type="dxa"/>
            <w:vAlign w:val="bottom"/>
          </w:tcPr>
          <w:p>
            <w:pPr>
              <w:ind w:left="1940"/>
              <w:spacing w:after="0" w:line="149" w:lineRule="exact"/>
              <w:rPr>
                <w:sz w:val="20"/>
                <w:szCs w:val="20"/>
                <w:color w:val="auto"/>
              </w:rPr>
            </w:pPr>
            <w:r>
              <w:rPr>
                <w:rFonts w:ascii="Arial" w:cs="Arial" w:eastAsia="Arial" w:hAnsi="Arial"/>
                <w:sz w:val="14"/>
                <w:szCs w:val="14"/>
                <w:color w:val="auto"/>
                <w:w w:val="84"/>
              </w:rPr>
              <w:t>$24.4 to $26.5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2012</w:t>
            </w:r>
          </w:p>
        </w:tc>
        <w:tc>
          <w:tcPr>
            <w:tcW w:w="15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1.75:1.00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2.25:1.00</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w w:val="85"/>
              </w:rPr>
              <w:t>1.42 to 1.54:1.00</w:t>
            </w:r>
          </w:p>
        </w:tc>
        <w:tc>
          <w:tcPr>
            <w:tcW w:w="2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1.10:1.00</w:t>
            </w:r>
          </w:p>
        </w:tc>
        <w:tc>
          <w:tcPr>
            <w:tcW w:w="180" w:type="dxa"/>
            <w:vAlign w:val="bottom"/>
            <w:shd w:val="clear" w:color="auto" w:fill="CCEEFF"/>
          </w:tcPr>
          <w:p>
            <w:pPr>
              <w:spacing w:after="0"/>
              <w:rPr>
                <w:sz w:val="12"/>
                <w:szCs w:val="12"/>
                <w:color w:val="auto"/>
              </w:rPr>
            </w:pPr>
          </w:p>
        </w:tc>
        <w:tc>
          <w:tcPr>
            <w:tcW w:w="2720" w:type="dxa"/>
            <w:vAlign w:val="bottom"/>
            <w:shd w:val="clear" w:color="auto" w:fill="CCEEFF"/>
          </w:tcPr>
          <w:p>
            <w:pPr>
              <w:ind w:left="1940"/>
              <w:spacing w:after="0" w:line="149" w:lineRule="exact"/>
              <w:rPr>
                <w:sz w:val="20"/>
                <w:szCs w:val="20"/>
                <w:color w:val="auto"/>
              </w:rPr>
            </w:pPr>
            <w:r>
              <w:rPr>
                <w:rFonts w:ascii="Arial" w:cs="Arial" w:eastAsia="Arial" w:hAnsi="Arial"/>
                <w:sz w:val="14"/>
                <w:szCs w:val="14"/>
                <w:color w:val="auto"/>
                <w:w w:val="84"/>
              </w:rPr>
              <w:t>$26.7 to $27.6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$10.0 million subordinated term loan also provides for similar financial covenants.</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June 29, 2008, the Company's outstanding balance on the facility was $79.9 million and the weighted average interest rate on the debt borrowed during the quarter and six months ended June 29, 2008 was 12.07% and 11.73% respectively. As of June 29, 2008, the unused line of credit under the revolving line of credit was $2.9 million. The only restriction on the use of these funds is that the Company must be in compliance with covenants of the credit facility. The Company was in compliance with all covenants under the credit facility as of June 29, 2008.</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July 2008, we paid $1.7 million related to the 2007 securities litigation settlement. This amount was partially funded with $1.2 million of the funds placed in the restricted account. The Company expects to pay an additional $3.0 million related to the settlement of the 2004 Securities litigation in the third quarter of this year. Approximately $1.0 million of this amount will come from the restricted cash account and the balance will come from cash in the Company's operating accounts.</w:t>
      </w:r>
    </w:p>
    <w:p>
      <w:pPr>
        <w:spacing w:after="0" w:line="19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On February 11, 2008, the Company entered into a three derivative financial instruments with Key Bank to reduce the Company's exposure to its variable interest rates on its outstanding debt. These instruments initially hedged $70 million of its LIBOR-based floating rate debt with the amounts hedged decreasing over time. The derivatives mature on March 31, 2010 and March 31, 2011 and result in an average fixed rate of 3.16% for the term of the agreements. The Company designated these instruments as cash flow hedges. In March 2008, as a result of the amendment to the Company's credit facility, which included a LIBOR floor rate of 4.25%, the Company determined that these instruments were no longer highly effective as a hedge. As a result, a charge of $0.7 million from marking the derivative financial instruments to market has been reflected in other income (expense), net rather than in other comprehensive income on the Company's Consolidated Balance Sheet as of March 30, 2008. For the quarter ended June 29, 2008, the result of marking the derivatives to market was a</w:t>
      </w:r>
    </w:p>
    <w:p>
      <w:pPr>
        <w:jc w:val="both"/>
        <w:ind w:right="100"/>
        <w:spacing w:after="0" w:line="255" w:lineRule="auto"/>
        <w:rPr>
          <w:sz w:val="20"/>
          <w:szCs w:val="20"/>
          <w:color w:val="auto"/>
        </w:rPr>
      </w:pPr>
      <w:r>
        <w:rPr>
          <w:rFonts w:ascii="Arial" w:cs="Arial" w:eastAsia="Arial" w:hAnsi="Arial"/>
          <w:sz w:val="18"/>
          <w:szCs w:val="18"/>
          <w:color w:val="auto"/>
        </w:rPr>
        <w:t>$1.3 million gain reflected in other income (expense), net. The net gain associated with the derivatives for the six months ended June 29, 2008 was $0.6 million. Future gains and losses on these derivative instruments as well as the offsetting gain or loss on the hedged item attributable to the hedged risk will continue to be recognized in the Company's Statement of Operations. See Note 9.</w:t>
      </w:r>
    </w:p>
    <w:p>
      <w:pPr>
        <w:spacing w:after="0" w:line="198"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 March 2008, the Company entered into a tentative agreement to settle the 2004 and 2007 securities class action litigation actions and, as a result, the Company recorded a $4.9 million charge in the quarter ended December 31, 2007 to accrue its share of the settlement amounts and an estimate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Notes Payable and Other Financing Arrangements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a contingent liability associated with legal proceedings related to the derivative actions, net of the amounts to be covered by the Company's insurance carriers. As a consequence of recording this legal settlement, the Company did not meet certain of the financial covenants in accordance with the credit facility. Accordingly, on March 27, 2008, the Company obtained an amendment and waiver from its lenders to waive the impact of the legal settlement amounts on its financial covenants as of December 31, 2007 and the affected future periods. The amendment also amended the credit facility to provide for an increase in the LIBOR floor rate to 4.25% and to require that the Company set aside in a restricted account approximately 50% of the proceeds of the recovery from the theft of stock options by its former stock option administrator, or approximately $1.7 million, to fund these settlement amounts. In April 2008, $1.7 million was transferred to a restricted cash account and in July 2008, an additional $0.6 million was transferred for the amount received from the insurance carriers as settlement on the theft of stock options. The lenders have also reserved the right to require the Company to utilize the entire amount of the $3.4 million in proceeds received from the theft of stock options to permanently pay down indebtedness. This right can be exercised no earlier than 60 days from March 27, 2008 and expires upon the Company's compliance with financial covenants under the credit facility for the four consecutive quarters commencing after January 1, 2008.</w:t>
      </w:r>
    </w:p>
    <w:p>
      <w:pPr>
        <w:spacing w:after="0" w:line="393"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26, 2008, the Company entered into a second amendment to its credit facility in order to obtain changes necessary to complete the merger with SYS. The amendment specifically approves the Unsecured Subordinated Convertible Notes issued by SYS as subordinated debt under the credit facility provided that a Subordination Agreement is obtained from the note holders representing no less than 95% of the aggregate principal amount of all Subordinated Notes which was subsequently completed in July 2008. In addition, the amendment provides for an add-back for amounts representing actual transaction costs incurred by an acquired entity in the computation of Consolidated EBITDA, as defined in the credit agreement, in any acquisition in which 100% of the purchase price is paid in Equity Securities of the Company.</w:t>
      </w:r>
    </w:p>
    <w:p>
      <w:pPr>
        <w:spacing w:after="0" w:line="198"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As of June 29, 2008, the Company had outstanding convertible notes payable which were acquired as the result of the SYS acquisition totaling $3.1 million, of which $0.8 was payable to related parties. The convertible notes payable are unsecured and subordinated to the Company's bank debt and bear interest at 10% per annum payable quarterly. Principal is due February 14, 2009 and the notes are convertible at any time into shares of common stock at a conversion rate of $2.86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adopted SFAS 157 as of January 1, 2008, with the exception of the application of the statement to non-recurring nonfinancial assets and nonfinancial liabilities. Non-recurring nonfinancial assets and nonfinancial liabilities for which it has not applied the provisions of SFAS 157 include those measured at fair value in goodwill impairment testing, indefinite lived intangible assets measured at fair value for impairment testing, asset retirement obligations initially measured at fair value, and those initially measured at fair value in a business combination.</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SFAS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June 29, 2008 (in millions):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Value Measurements at June 29, 2008 Using</w:t>
      </w:r>
    </w:p>
    <w:p>
      <w:pPr>
        <w:spacing w:after="0" w:line="21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Quoted prices in active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Significant other observable</w:t>
            </w:r>
          </w:p>
        </w:tc>
        <w:tc>
          <w:tcPr>
            <w:tcW w:w="1620" w:type="dxa"/>
            <w:vAlign w:val="bottom"/>
          </w:tcPr>
          <w:p>
            <w:pPr>
              <w:jc w:val="center"/>
              <w:ind w:left="107"/>
              <w:spacing w:after="0"/>
              <w:rPr>
                <w:sz w:val="20"/>
                <w:szCs w:val="20"/>
                <w:color w:val="auto"/>
              </w:rPr>
            </w:pPr>
            <w:r>
              <w:rPr>
                <w:rFonts w:ascii="Arial" w:cs="Arial" w:eastAsia="Arial" w:hAnsi="Arial"/>
                <w:sz w:val="14"/>
                <w:szCs w:val="14"/>
                <w:b w:val="1"/>
                <w:bCs w:val="1"/>
                <w:color w:val="auto"/>
                <w:w w:val="86"/>
              </w:rPr>
              <w:t>Significant unobservable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 Carrying Value</w:t>
            </w:r>
          </w:p>
        </w:tc>
        <w:tc>
          <w:tcPr>
            <w:tcW w:w="200" w:type="dxa"/>
            <w:vAlign w:val="bottom"/>
          </w:tcPr>
          <w:p>
            <w:pPr>
              <w:spacing w:after="0"/>
              <w:rPr>
                <w:sz w:val="12"/>
                <w:szCs w:val="12"/>
                <w:color w:val="auto"/>
              </w:rPr>
            </w:pPr>
          </w:p>
        </w:tc>
        <w:tc>
          <w:tcPr>
            <w:tcW w:w="15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9"/>
              </w:rPr>
              <w:t>markets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left="387"/>
              <w:spacing w:after="0" w:line="149" w:lineRule="exact"/>
              <w:rPr>
                <w:sz w:val="20"/>
                <w:szCs w:val="20"/>
                <w:color w:val="auto"/>
              </w:rPr>
            </w:pPr>
            <w:r>
              <w:rPr>
                <w:rFonts w:ascii="Arial" w:cs="Arial" w:eastAsia="Arial" w:hAnsi="Arial"/>
                <w:sz w:val="14"/>
                <w:szCs w:val="14"/>
                <w:b w:val="1"/>
                <w:bCs w:val="1"/>
                <w:color w:val="auto"/>
                <w:w w:val="85"/>
              </w:rPr>
              <w:t>inputs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1920" w:type="dxa"/>
            <w:vAlign w:val="bottom"/>
          </w:tcPr>
          <w:p>
            <w:pPr>
              <w:spacing w:after="0"/>
              <w:rPr>
                <w:sz w:val="14"/>
                <w:szCs w:val="14"/>
                <w:color w:val="auto"/>
              </w:rPr>
            </w:pPr>
          </w:p>
        </w:tc>
        <w:tc>
          <w:tcPr>
            <w:tcW w:w="1100" w:type="dxa"/>
            <w:vAlign w:val="bottom"/>
            <w:tcBorders>
              <w:bottom w:val="single" w:sz="8" w:color="auto"/>
            </w:tcBorders>
          </w:tcPr>
          <w:p>
            <w:pPr>
              <w:jc w:val="center"/>
              <w:ind w:left="166"/>
              <w:spacing w:after="0"/>
              <w:rPr>
                <w:sz w:val="20"/>
                <w:szCs w:val="20"/>
                <w:color w:val="auto"/>
              </w:rPr>
            </w:pPr>
            <w:r>
              <w:rPr>
                <w:rFonts w:ascii="Arial" w:cs="Arial" w:eastAsia="Arial" w:hAnsi="Arial"/>
                <w:sz w:val="14"/>
                <w:szCs w:val="14"/>
                <w:b w:val="1"/>
                <w:bCs w:val="1"/>
                <w:color w:val="auto"/>
                <w:w w:val="85"/>
              </w:rPr>
              <w:t>June 29, 2008</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center"/>
              <w:ind w:left="367"/>
              <w:spacing w:after="0"/>
              <w:rPr>
                <w:sz w:val="20"/>
                <w:szCs w:val="20"/>
                <w:color w:val="auto"/>
              </w:rPr>
            </w:pPr>
            <w:r>
              <w:rPr>
                <w:rFonts w:ascii="Arial" w:cs="Arial" w:eastAsia="Arial" w:hAnsi="Arial"/>
                <w:sz w:val="14"/>
                <w:szCs w:val="14"/>
                <w:b w:val="1"/>
                <w:bCs w:val="1"/>
                <w:color w:val="auto"/>
                <w:w w:val="87"/>
              </w:rPr>
              <w:t>(Level 2)</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Borders>
              <w:bottom w:val="single" w:sz="8" w:color="auto"/>
            </w:tcBorders>
          </w:tcPr>
          <w:p>
            <w:pPr>
              <w:jc w:val="center"/>
              <w:ind w:left="107"/>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100" w:type="dxa"/>
            <w:vAlign w:val="bottom"/>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7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620" w:type="dxa"/>
            <w:vAlign w:val="bottom"/>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are validated with the use of a nationally recognized financial reporting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Customer Information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presents the Company's key customers from continuing operations for the periods presented and the percentage of net sales made to such customers (in millions):</w:t>
      </w:r>
    </w:p>
    <w:p>
      <w:pPr>
        <w:spacing w:after="0" w:line="236"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Key Customersa</w:t>
            </w:r>
          </w:p>
        </w:tc>
        <w:tc>
          <w:tcPr>
            <w:tcW w:w="100" w:type="dxa"/>
            <w:vAlign w:val="bottom"/>
          </w:tcPr>
          <w:p>
            <w:pPr>
              <w:spacing w:after="0"/>
              <w:rPr>
                <w:sz w:val="14"/>
                <w:szCs w:val="14"/>
                <w:color w:val="auto"/>
              </w:rPr>
            </w:pPr>
          </w:p>
        </w:tc>
        <w:tc>
          <w:tcPr>
            <w:tcW w:w="23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w:t>
            </w:r>
          </w:p>
        </w:tc>
        <w:tc>
          <w:tcPr>
            <w:tcW w:w="188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83"/>
              </w:rPr>
              <w:t>June 30, 2007</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5"/>
              </w:rPr>
              <w:t>June 29, 2008</w:t>
            </w:r>
          </w:p>
        </w:tc>
        <w:tc>
          <w:tcPr>
            <w:tcW w:w="240" w:type="dxa"/>
            <w:vAlign w:val="bottom"/>
          </w:tcPr>
          <w:p>
            <w:pPr>
              <w:spacing w:after="0"/>
              <w:rPr>
                <w:sz w:val="12"/>
                <w:szCs w:val="12"/>
                <w:color w:val="auto"/>
              </w:rPr>
            </w:pPr>
          </w:p>
        </w:tc>
        <w:tc>
          <w:tcPr>
            <w:tcW w:w="12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June 30, 2007</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June 29,2008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85"/>
              </w:rPr>
              <w:t>24.1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84"/>
              </w:rPr>
              <w:t>$18.1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85"/>
              </w:rPr>
              <w:t>46.1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U.S. Army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60"/>
              <w:spacing w:after="0"/>
              <w:rPr>
                <w:sz w:val="20"/>
                <w:szCs w:val="20"/>
                <w:color w:val="auto"/>
              </w:rPr>
            </w:pPr>
            <w:r>
              <w:rPr>
                <w:rFonts w:ascii="Arial" w:cs="Arial" w:eastAsia="Arial" w:hAnsi="Arial"/>
                <w:sz w:val="18"/>
                <w:szCs w:val="18"/>
                <w:color w:val="auto"/>
                <w:w w:val="79"/>
              </w:rPr>
              <w:t>13.3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57"/>
              <w:spacing w:after="0"/>
              <w:rPr>
                <w:sz w:val="20"/>
                <w:szCs w:val="20"/>
                <w:color w:val="auto"/>
              </w:rPr>
            </w:pPr>
            <w:r>
              <w:rPr>
                <w:rFonts w:ascii="Arial" w:cs="Arial" w:eastAsia="Arial" w:hAnsi="Arial"/>
                <w:sz w:val="18"/>
                <w:szCs w:val="18"/>
                <w:color w:val="auto"/>
                <w:w w:val="85"/>
              </w:rPr>
              <w:t>14.5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540" w:type="dxa"/>
            <w:vAlign w:val="bottom"/>
          </w:tcPr>
          <w:p>
            <w:pPr>
              <w:jc w:val="right"/>
              <w:ind w:right="60"/>
              <w:spacing w:after="0"/>
              <w:rPr>
                <w:sz w:val="20"/>
                <w:szCs w:val="20"/>
                <w:color w:val="auto"/>
              </w:rPr>
            </w:pPr>
            <w:r>
              <w:rPr>
                <w:rFonts w:ascii="Arial" w:cs="Arial" w:eastAsia="Arial" w:hAnsi="Arial"/>
                <w:sz w:val="18"/>
                <w:szCs w:val="18"/>
                <w:color w:val="auto"/>
                <w:w w:val="84"/>
              </w:rPr>
              <w:t>$23.3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57"/>
              <w:spacing w:after="0"/>
              <w:rPr>
                <w:sz w:val="20"/>
                <w:szCs w:val="20"/>
                <w:color w:val="auto"/>
              </w:rPr>
            </w:pPr>
            <w:r>
              <w:rPr>
                <w:rFonts w:ascii="Arial" w:cs="Arial" w:eastAsia="Arial" w:hAnsi="Arial"/>
                <w:sz w:val="18"/>
                <w:szCs w:val="18"/>
                <w:color w:val="auto"/>
                <w:w w:val="85"/>
              </w:rPr>
              <w:t>27.1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Foreign Military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84"/>
              </w:rPr>
              <w:t>$10.1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customers are all part of Kratos Government Solutions. The top five customers accounted for approximately 65% and 62% of total revenue for the three and six months ended June 29, 2007, respectively, and for approximately 65% of total revenue for the three and six months ended June 29,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Prior to the divestiture of our wireless-related business, the Company had three operating segments: Wireless Network Services (WNS) segment, Enterprise Network Services (ENS) segment, and Government Network Services (GNS) segment. Following the divestiture of the WNS segment and corporate name change, the Company reorganized into two operating segments, Kratos Government Solutions (KGS) (formerly GNS) and Public Safety and Security (PSS) (formerly ENS). The financial statements in this Quarterly Report are presented in a manner consistent with the new operating structure.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Certain income and charges are not allocated to segments in the Company's management reports because they are not considered in evaluating the segments' operating performance. Unallocated charges are related to corporate expenses previously allocated to the discontinued Wireless Network Services segment, share based compensation charges and related tax adjustments, expenses related to the stock option investigation that was completed in September 2007, a benefit for the insurance proceeds received for the theft of stock options and a benefit related to a change in estimate for the Company's unused office space. These charges are included in corporate activities in the table below. Revenues and operating income generated by the Company's current reporting segments for the three and six months ended June 30, 2007 and June 29, 2008 are as follows (in millions):</w:t>
      </w:r>
    </w:p>
    <w:p>
      <w:pPr>
        <w:spacing w:after="0" w:line="224"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320" w:type="dxa"/>
            <w:vAlign w:val="bottom"/>
            <w:gridSpan w:val="6"/>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68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29,</w:t>
            </w:r>
          </w:p>
        </w:tc>
        <w:tc>
          <w:tcPr>
            <w:tcW w:w="200" w:type="dxa"/>
            <w:vAlign w:val="bottom"/>
          </w:tcPr>
          <w:p>
            <w:pPr>
              <w:spacing w:after="0"/>
              <w:rPr>
                <w:sz w:val="11"/>
                <w:szCs w:val="11"/>
                <w:color w:val="auto"/>
              </w:rPr>
            </w:pPr>
          </w:p>
        </w:tc>
        <w:tc>
          <w:tcPr>
            <w:tcW w:w="6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5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June 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59.2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80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120"/>
              <w:spacing w:after="0"/>
              <w:rPr>
                <w:sz w:val="20"/>
                <w:szCs w:val="20"/>
                <w:color w:val="auto"/>
              </w:rPr>
            </w:pPr>
            <w:r>
              <w:rPr>
                <w:rFonts w:ascii="Arial" w:cs="Arial" w:eastAsia="Arial" w:hAnsi="Arial"/>
                <w:sz w:val="18"/>
                <w:szCs w:val="18"/>
                <w:color w:val="auto"/>
              </w:rPr>
              <w:t>Corporate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Segment assets as of December 31, 2007 were $292.4 million for the Government Solutions segment and $22.5 million for the Public Safety and Security Segment. Both segments in total will have increased assets due to the acquisition of SYS of approximately $55.2 million. As of June 29, 2008 the allocation of the SYS assets to the segments has not been determined.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2002, the Company issued 90,000 shares of Series B Convertible Preferred Stock in a private placement to entities affiliated with one of the directors of the Company (40,000 shares), to a brother of the previous Chairman and Chief Executive Officer of the Company (10,000 shares) and to an unrelated third-party investor (40,000 shares).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29, 2008, a total of 10,000 shares of Series B Convertible Stock remain outstanding with a total liquidation preference of $5.0 million.</w:t>
      </w:r>
    </w:p>
    <w:p>
      <w:pPr>
        <w:spacing w:after="0" w:line="24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acquired unsecured subordinated notes payable as a result of the SYS acquisition and $0.8 million of the notes are held by employees of SYS who are now employees of the Company.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4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No.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settlement was terminated pursuant to stipulation and will not receive final approval.</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amended complaints in the six focus cases in August 2007. The Company is not one of the focus case issuers. In September 2007, the Company's named officers and directors again extended the tolling agreement with plaintiffs. In September 2007, plaintiffs moved to certify the classes alleged in the focus cases and to appoint class representatives and class counsel in those cases. The focus case issuers filed motions to dismiss the claims against them in November 2007 and an opposition to plaintiffs' motion for class certification in December 2007. The Court denied the motions to dismiss on March 16, 2008. The deadline for the focus case defendants to answer is August 31, 2008. Due to the inherent uncertainties of litigation, the ultimate outcome of this matter cannot be predicted. In accordance with FASB No. 5, "Accounting for Contingencies," the Company believes any contingent liability related to this claim is not probable or estimable and therefore no amounts have been accrued in regards to this matter.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100" w:firstLine="351"/>
        <w:spacing w:after="0" w:line="301"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action—In re Wireless Facilities, Inc. Securities Litigation, Master File</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June 29, 2008 related to this matter. In June, the parties executed a Memorandum of Understanding documenting the essential terms of the proposed settlement and the parties currently are drafting the documents necessary to seek a determination by the Court that the proposed settlement is fair, reasonable and adequate. The Company makes no assurances at this time that the parties will reach agreement on settlement terms, that the Court will approve the proposed settlement terms or that the matter ultimately will be settled. Despite the tentative settlement reached in this action, the Company believes that the allegations lack merit.</w:t>
      </w:r>
    </w:p>
    <w:p>
      <w:pPr>
        <w:spacing w:after="0" w:line="17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No. 04CV1663; and Roth v. Wireless Facilities, Inc., Case No.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Plaintiffs have 30 days from that order to seek permission from the Ninth Circuit to appeal the jurisdictional order. The parties have conferred and discussed the Court's personal jurisdictional order and certification order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August 6,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83"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No. 07-CV-0680 BTM(RBB) (the "Hameed Action"), against several of the Company's current and former officers and directors. The allegations in this new derivative complaint mirror the amended allegations in the 2004 federal derivative action. Pursuant to the Court's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The parties have conferred and discussed the Court's order and have stipulated to a briefing schedule for any remaining motions to dismiss that the Company or the individual defendants may bring in an effort to dismiss the Hameed Action. Pursuant to the parties' stipulation, such motions must be brought on or before August 6, 2008.</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this time, the parties have not set a date by which such motions must be brought.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In April 2008, the parties notified the Court of the status of the federal action and the court continued the stay for an additional six months. The Court also ordered the parties to file an updated status report in October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$0.8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The consolidated class action complaint was filed on November 19, 2007. In 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The Company estimates that the total amount of its payment toward the settlement will be approximately $1.7 million. The Company has accrued approximately $1.7 million as of June 29, 2008 related to this matter. In May 2008, the parties executed a Memorandum of Understanding documenting the essential terms of the proposed settlement and the parties currently are drafting the documents necessary to seek a determination by the Court that the proposed settlement is fair, reasonable and adequate. The Company makes no assurances at this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that the parties will reach agreement or settlement terms, the Court will approve the proposed settlement terms or that the matter ultimately will be settled.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Despite the tentative settlement reached in this action, the Company believes that the allegations lack merit.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The Company has accrued approximately $0.6 million as of June 29,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 for allegedly unpaid straight time and overtime, meal period pay and associated penalties. The Company and the plaintiffs have agreed to venue for the suit in San Diego County. Although the Company believes that the allegations lack merit, it has agreed in principle with the plaintiffs to settle 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Kratos promptly reported to the SEC the discovery of the theft. The SEC initiated an informal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Attorney's Office indicted him for the theft and he pled guilty to federal criminal charges and has been sentenced to 46 months in prison and currently is incarcerated. On April 1, 2008, the SEC notified Kratos that it had completed its informal investigation and that it did not intend to recommend any enforcement action by the SEC against the Company. Kratos has cooperated with, and intends to continue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 the remaining assets which approximate $0.1 million in value. In June 2008, the Company's insurance carrier agreed to reimburse the Company for $0.6 million related to the theft of stock options. As a result, a benefit for this amount has been recorded in the recovery of unauthorized issuance of stock options and adjustment to the liability for unused office space line item for the three and six month periods ended June 29, 2008 in the accompanying Consolidated Statements of Operations.</w:t>
      </w:r>
    </w:p>
    <w:p>
      <w:pPr>
        <w:spacing w:after="0" w:line="16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of the U.S. Department of Defense, which could cause delays or cancellations of key government contracts; the timing, rescheduling or cancellation of significant customer contracts and agreements, or consolidation by or the loss of key customers; risks that the integration of Haverstick and SYS will prove more costly, take more time, or be more distracting than currently anticipated; risks of adverse regulatory action or litigation; risks associated with debt leverage; failure to obtain court approval of the proposed litigation settlement or to ultimately settle the litigation; failure to successfully consummate acquisitions or integrate acquired operations; and competition in the marketplace which could reduce revenues and profit margins.</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i w:val="1"/>
          <w:iCs w:val="1"/>
          <w:color w:val="auto"/>
        </w:rPr>
        <w:t>Certain of the information set forth herein, including costs and expenses that exclude the impact of stock compensation expense and amortization costs of purchased intangibles in 2007 and 2008,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5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2007 and other reports and filings made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provide mission critical engineering, IT services and warfighter solutions to the U.S. Government and government agencies, as well as to state and local agencies and commercial customers. Our principal services are related to, but are not limited to, Command, Control, Communications, Computing, Combat Systems Intelligence, Surveillance and Reconnaissance (C5ISR), weapon systems lifecycle support and extension, military range operations and technical services, missile, rocket and weapon test and evaluation, mission launch services, public safety, security and surveillance, advanced network engineering services and IT services, and critical infrastructure design and integration services.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We offer our customers solutions and expertise to support their mission-critical needs by leveraging our skills across these core service areas.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Historically, the majority of our business was concentrated in the area of wireless network services, and our business operated in three reportable segments: Wireless Network Services, Government Network Services, and Enterprise Network Services. In 2006, we were an independent provider of outsourced engineering and network deployment services, security systems engineering and integration services and other technical services for the wireless communications industry, the U.S. government, and enterprise customers.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2006 and 2007, we undertook a transformation strategy whereby we divested our wireless-related businesses and chose to pursue business with the federal government, primarily the U.S. Department of Defense, through strategic acquisitions and organic growth. We divested assets in our Wireless Network Services segment and renamed our Enterprise Network Services segment "Public Safety and Security". Today, under the new corporate name of Kratos Defense &amp; Security Solutions, Inc., we are organized into two primary operating segments: Kratos Government Solutions (KGS) and Public Safety &amp; Security (PSS).</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in this Quarterly Report are presented in a manner consistent with our new operating structure. For additional information regarding our operating segments, see Note 12 of Notes to Consolidated Financial Statements. From a customer and solutions perspective, we view our business as an integrated whole, leveraging skills and assets wherever possible.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Segment (KGS)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Kratos Government Solutions segment provides engineering, information technology and technical services to federal, state, and local government agencies, but primarily the U.S. Department of Defense (DoD). Our work includes weapon systems lifecycle support and extension; C5ISR; military range operations and technical services; missile, rocket, and weapon systems test and evaluation; mission launch services; public safety and security services; advanced network engineering and information technology services; and public safety, security and surveillance systems integration. Our KGS segment also focuses on the homeland security market with products and services aimed at supporting first responders.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Segment (PSS)</w:t>
      </w:r>
    </w:p>
    <w:p>
      <w:pPr>
        <w:spacing w:after="0" w:line="225"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Our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and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Mid-Atlantic, Kratos Southeast, and Kratos Southwest, where we are focused on security, surveillance and other building automation and integration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Wireless Network Business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December 28, 2006, our Board approved a plan to divest portions of our business where critical mass had not been achieved. This plan involved the divestiture of our EMEA operations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our remaining South American operations. The EMEA operations were sold to LCC International, Inc. ("LCC") on March 9, 2007 for $4.0 million in cash,</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$3.3 million of which was received on that date. We also received approximately $1.8 million from our EMEA operations prior and subsequent to the closing date as payment on outstanding intercompany debt. The balance of the $0.7 million sales price was withheld as security for the satisfaction of certain indemnification obligations and was payable on March 31, 2008. Based upon our review of the most recently available financial statements of the buyer, as of December 31, 2007, we have concern about their ability to pay this holdback, due to their available liquidity. We have recorded a reserve of $0.7 million for this receivable. In May 2008, we reached an agreement with LCC for the payment of the $0.7 million holdback amount, under which LCC has agreed to pay as the outstanding balance in $0.1 million increments each month commencing June 30, 2008. We have not yet received the payments due on June 30, 2008 or July 31, 2008. While we intend to vigorously pursue collection of the amounts, there is a substantial likelihood that we will not receive payment of the amount due, in light off LCC's apparent available liquidity amounts.</w:t>
      </w:r>
    </w:p>
    <w:p>
      <w:pPr>
        <w:spacing w:after="0" w:line="17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recorded an impairment charge of $5.2 million in the fourth quarter of 2006 to reduce the current carrying value of our South American operations to their estimated fair value based upon current indications of interest.</w:t>
      </w:r>
    </w:p>
    <w:p>
      <w:pPr>
        <w:spacing w:after="0" w:line="186"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On April 20, 2007, we entered into an Equity Purchase Agreement to sell all of the issued and outstanding equity of its interests of our wholly-owned subsidiary WFI de Brazil Techlogia en Telecommunications LTDA to Strategic Project Services, LLC (SPS). The consideration included the assumption of substantially all outstanding liabilities of WFI Brazil, nominal cash consideration, and additional earn-out consideration based on 25 percent of net receivables collected subsequent to the closing date. With respect to the additional earn-out consideration, the Company has not received and does not anticipate receiving any payments.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29, 2007, we entered into an Asset Purchase Agreement with LCC International, Inc. for the sale of all of the assets used in the conduct of the operation of our engineering services business of our Wireless Network Services segment that provided engineering services to the non-government wireless communications industry in the United States, for aggregate consideration of $46 million. LCC delivered a subordinated promissory note for the principal amount of $21.6 million (the "Subordinated Promissory Note"), paid $17 million at closing and paid final working capital adjustments of $2.4 million through an amendment to the Subordinated Promissory Note. We retained an estimated $5.0 million in net working capital. The transaction was completed on June 4, 2007.</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July 5, 2007, we sold the $21.6 million Subordinated Promissory Note to Silver Point Capital, L.P. ("Silver Point") in a transaction arranged by KeyBanc Capital Markets ("KeyBanc"). We received approximately $19.6 million in net cash proceeds, reflecting a discount from par value of less than five percent and aggregate transaction fees of approximately $1 million, which includes a $0.75 million fee to KeyBanc, an affiliate of our lender. On January 30, 2008, we received net proceeds of approximately $2.3 million on the working capital adjustment from Silver Point, net of a $0.1 million discount from par value. We did not provide any guaranty for LCC's payment obligations under the note.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July 7, 2007, we entered into a definitive agreement with an affiliate of Platinum Equity to sell our deployment services business of our wireless network services segment for total consideration payable of $24 million, including $18 million in cash at closing (subject to typical post closing working capital adjustments) and an aggregate $6 million in a three-year earn-out arrangement. We also agreed to provide certain transition services for a period of six months. The assets sold to Platinum Equity included all of our wireless deployment business and the Wireless Facilities name. The transaction closed on July 24, 2007. As a result of these engineering and deployment services divestitures in 2007, the Wireless Network Services segment has been classified as a discontinued operation in this Quarterly Report and all prior year results presented herein have been reclassified to reflect these businesses as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discontinued operations in accordance with SFAS No. 144, "Accounting for the Impairment or Disposal of Long-Lived Assets".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September 25, 2007, we provided the working capital calculation to Platinum Equity, which indicated a working capital adjustment was due to Platinum Equity primarily due to cash collected on accounts receivables by us prior to the close of the transaction that exceeded our previous estimate of working capital to be delivered to Platinum Equity. On July 16, 2008, we came to an agreement with Platinum Equity on a working capital adjustment of $5.0 million. The adjustment is to be paid in installments with the first amount of $2.5 million due on July 31, 2008 and payments of $0.5 million monthly thereafter until paid in full in December 2008. As of June 29, 2008, the balance $5.0 million has been reflected in other current liabilities. As of August 6, 2008, the initial $2.5 million payment had not been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December 31, 2007, we completed our acquisition of Indianapolis, Indiana headquartered Haverstick Consulting, Inc. ("Haverstick") as part of our KGS segment. Haverstick provides rocket and missile test and evaluation, weapons systems support, and professional services to the U.S. Army, U.S. Air Force, U.S. Navy, NASA, and other federal, state and local agencies. Through the Haverstick acquisition, we expanded our customer relationship within the DoD and enhanced our presence with the U.S. Air Force, a key growth area for Haverstick.</w:t>
      </w:r>
    </w:p>
    <w:p>
      <w:pPr>
        <w:spacing w:after="0" w:line="197" w:lineRule="exact"/>
        <w:rPr>
          <w:sz w:val="20"/>
          <w:szCs w:val="20"/>
          <w:color w:val="auto"/>
        </w:rPr>
      </w:pPr>
    </w:p>
    <w:p>
      <w:pPr>
        <w:ind w:right="740" w:firstLine="348"/>
        <w:spacing w:after="0" w:line="286" w:lineRule="auto"/>
        <w:rPr>
          <w:sz w:val="20"/>
          <w:szCs w:val="20"/>
          <w:color w:val="auto"/>
        </w:rPr>
      </w:pPr>
      <w:r>
        <w:rPr>
          <w:rFonts w:ascii="Arial" w:cs="Arial" w:eastAsia="Arial" w:hAnsi="Arial"/>
          <w:sz w:val="16"/>
          <w:szCs w:val="16"/>
          <w:color w:val="auto"/>
        </w:rPr>
        <w:t>The total purchase price was $90.2 million including transaction costs incurred by Kratos of $0.5 million. The purchase price paid to Haverstick of $89.7 million was paid in a combination of $70.3 million of cash and common stock valued at $19.4 million. We paid $66.7 million in cash at closing,</w:t>
      </w:r>
    </w:p>
    <w:p>
      <w:pPr>
        <w:ind w:right="60"/>
        <w:spacing w:after="0" w:line="250" w:lineRule="auto"/>
        <w:rPr>
          <w:sz w:val="20"/>
          <w:szCs w:val="20"/>
          <w:color w:val="auto"/>
        </w:rPr>
      </w:pPr>
      <w:r>
        <w:rPr>
          <w:rFonts w:ascii="Arial" w:cs="Arial" w:eastAsia="Arial" w:hAnsi="Arial"/>
          <w:sz w:val="16"/>
          <w:szCs w:val="16"/>
          <w:color w:val="auto"/>
        </w:rPr>
        <w:t>$2.4 million in cash shortly thereafter and $12.0 million of common stock. In addition, $1.2 million in cash and $7.4 million in stock was held back to secure any negative working capital adjustments required by the merger agreement and our indemnity rights. The holdback consideration, which accrues interest in accordance with the terms of the agreement until paid, will be released on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month after the date of the acquisition. In addition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indemnity holdback, the agreement also calls for a post closing working capital adjustment. To fund the acquisition, we secured a new credit facility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$85.0 million arranged by KeyBanc Capital Markets. The credit facility, which includes a $25.0 million line of credit and $60.0 million in term notes, replaced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previous credit facility, which had an outstanding principal balance of $6.0 million on December 31, 2007.</w:t>
      </w:r>
    </w:p>
    <w:p>
      <w:pPr>
        <w:spacing w:after="0" w:line="21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February 2008, we and Haverstick agreed on the working capital calculation called for in the agreement. The calculation resulted in a working capital adjustment due to Haverstick in an amount of $1.5 million. The working capital adjustment was paid with 697,315 shares of Company stock valued at $1.3 million and cash of $0.2 million in April 2008.</w:t>
      </w:r>
    </w:p>
    <w:p>
      <w:pPr>
        <w:spacing w:after="0" w:line="194"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Until the date on which the shares of stock became salable interest shall accrued on the value of the closing stock at a floating rate of one-month LIBOR plus four percent (4%) per annum. The shares became saleable on June 30, 2008. and 167,692 additional shares were issued in satisfaction of the accrued interest.</w:t>
      </w:r>
    </w:p>
    <w:p>
      <w:pPr>
        <w:spacing w:after="0" w:line="11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June 28, 2008, we completed our merger with SYS Technologies ("SYS"), a San Diego-based company. The merger of SYS into Kratos enhances Kratos' position as a premier mid-tier federal, state and local government contractor in the United States in the areas of C5ISR, IT services and public safety and homeland security solutions. The combination of SYS and Kratos creates a broad, complementary set of offerings, and positions the organization to deliver proven capabilities to a wider spectrum of customers.</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purchase price of $55.2 million included direct transaction costs of $2.3 million to be paid by Kratos. The value of the purchase price related to the common stock issued was derived from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7" w:name="page38"/>
    <w:bookmarkEnd w:id="37"/>
    <w:p>
      <w:pPr>
        <w:ind w:right="260"/>
        <w:spacing w:after="0" w:line="259" w:lineRule="auto"/>
        <w:rPr>
          <w:sz w:val="20"/>
          <w:szCs w:val="20"/>
          <w:color w:val="auto"/>
        </w:rPr>
      </w:pPr>
      <w:r>
        <w:rPr>
          <w:rFonts w:ascii="Arial" w:cs="Arial" w:eastAsia="Arial" w:hAnsi="Arial"/>
          <w:sz w:val="18"/>
          <w:szCs w:val="18"/>
          <w:color w:val="auto"/>
        </w:rPr>
        <w:t>number of shares of Kratos common stock issued of 25.3 million, based on 20.1 million shares of SYS common stock outstanding and the exchange ratio of 1.2582 for each SYS share, at a price of $2.022 per share, the average closing price of Kratos shares of common stock for the two days prior to, including, and two days subsequent to the public announcement of the merger on February 21, 2008.</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complete description of our business is set forth in our Form 10-K filed with the Securities and Exchange Commission on March 27, 2008.</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29, 2008, we consider the following factors to be important in understanding our financial statements.</w:t>
      </w:r>
    </w:p>
    <w:p>
      <w:pPr>
        <w:spacing w:after="0" w:line="225"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w:t>
      </w:r>
    </w:p>
    <w:p>
      <w:pPr>
        <w:spacing w:after="0" w:line="15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w:t>
      </w:r>
    </w:p>
    <w:p>
      <w:pPr>
        <w:spacing w:after="0" w:line="172"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believe that our Kratos Government Solutions segment will build and expand our customer relationships within the DoD,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acquisitions of Haverstick 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8" w:name="page39"/>
    <w:bookmarkEnd w:id="38"/>
    <w:p>
      <w:pPr>
        <w:ind w:right="320"/>
        <w:spacing w:after="0" w:line="268" w:lineRule="auto"/>
        <w:rPr>
          <w:sz w:val="20"/>
          <w:szCs w:val="20"/>
          <w:color w:val="auto"/>
        </w:rPr>
      </w:pPr>
      <w:r>
        <w:rPr>
          <w:rFonts w:ascii="Arial" w:cs="Arial" w:eastAsia="Arial" w:hAnsi="Arial"/>
          <w:sz w:val="18"/>
          <w:szCs w:val="18"/>
          <w:color w:val="auto"/>
        </w:rPr>
        <w:t>December 31, 2007 and SYS on June 28, 2008 resulted in the addition of nearly 900 highly skilled technical professionals and engineers with expertise in the areas of military weapons and target range support as well as targets and missile operations and maintenance.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Changes June 29, 2008 Compared to December 31, 2007</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Total assets increased from $335.3 million as of December 31, 2007 to $401.2 million as of June 29, 2008. The primary changes are in cash, accounts receivable and goodwill which are directly attributable to the acquisition of SYS. In addition, additional paid-in capital increased $53.5 million, again driven primarily by the SYS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2007 to the Three Months Ended June 29, 2008</w:t>
      </w:r>
    </w:p>
    <w:p>
      <w:pPr>
        <w:spacing w:after="0" w:line="225" w:lineRule="exact"/>
        <w:rPr>
          <w:sz w:val="20"/>
          <w:szCs w:val="20"/>
          <w:color w:val="auto"/>
        </w:rPr>
      </w:pPr>
    </w:p>
    <w:p>
      <w:pPr>
        <w:ind w:right="20" w:firstLine="395"/>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$24.5 million from $47.8 million for the three months ended June 30, 2007 to $72.3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29, 2008. This increase was due to $22.3 million in revenues from Haverstick, which was acquired in December 2007, and additional organic growth in our Government Solutions (KGS) segment of $1.4 million or 3.9% which was primarily related to growth on one of our C5ISR programs for the Navy. Growth in our Public Safety &amp; Security (PSS) segment was primarily related to an increase in building automation and security projects performed over the prior year in our mid-atlantic and southwest markets.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three months ended June 30, 2007 and June 29, 2008 are as follows (in millions):</w:t>
      </w:r>
    </w:p>
    <w:p>
      <w:pPr>
        <w:spacing w:after="0" w:line="275"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 change</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r>
      <w:tr>
        <w:trPr>
          <w:trHeight w:val="21"/>
        </w:trPr>
        <w:tc>
          <w:tcPr>
            <w:tcW w:w="3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r>
      <w:tr>
        <w:trPr>
          <w:trHeight w:val="27"/>
        </w:trPr>
        <w:tc>
          <w:tcPr>
            <w:tcW w:w="3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60" w:firstLine="395"/>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$40.3 million for the three months ended June 30, 2007 to $59.4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2008 primarily as a result of the increase in revenue related to the acquisition of Haverstick. Gross margin increased from 15.7% to 17.8%, for the three months ended June 30, 2007 and June 29, 2008, respectively. The increase in gross margin primarily resulted from an improved performance in our PSS segment for which margins increased from 20.3% for the three months ended June 30, 2007 to 27.5% for the three months ended June 29, 2008, and due to higher gross margins in our KGS segment as a result of our Haverstick acquisition.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9" w:name="page40"/>
    <w:bookmarkEnd w:id="39"/>
    <w:p>
      <w:pPr>
        <w:ind w:right="40" w:firstLine="395"/>
        <w:spacing w:after="0" w:line="25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increased from $10.8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2007 to $11.2 million in the three months ended June 29, 2008. As a percentage of revenues, SG&amp;A decreased from 22.6% to 15.5% for the three month period ended June 30, 2007 and June 29, 2008, respectively. SG&amp;A increased by $4.1 million as a result of the Haverstick acquisition which was substantially offset by a reduction of $3.7 million related to cost reductions that occurred after the sale of our legacy wireless businesses in 2007. Included in SG&amp;A for the three months ended June 30, 2007 and June 29, 2008 is amortization of purchased intangibles of $0.7 million and $1.1 million, respectively. Excluding the impact of the amortization of purchased intangibles, SG&amp;A decreased from 21.1% to 14.0% for the three months ended June 30, 2007 and June 29, 2008, respectively.</w:t>
      </w:r>
    </w:p>
    <w:p>
      <w:pPr>
        <w:spacing w:after="0" w:line="201"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i w:val="1"/>
          <w:iCs w:val="1"/>
          <w:color w:val="auto"/>
        </w:rPr>
        <w:t xml:space="preserve">Recovery of Unauthorized Issuance of Stock Options and Adjustment to the Liability for Unused Office Space. </w:t>
      </w:r>
      <w:r>
        <w:rPr>
          <w:rFonts w:ascii="Arial" w:cs="Arial" w:eastAsia="Arial" w:hAnsi="Arial"/>
          <w:sz w:val="16"/>
          <w:szCs w:val="16"/>
          <w:color w:val="auto"/>
        </w:rPr>
        <w:t>In the second quarter of 2008, our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agreed to reimburse us for $0.6 million related to the theft of stock options and common stock by our former stock option administrator which occurred in 2002 and 2003. In addition, we reevaluated our excess facility accrual for obligations under facility leases and determined that a portion of our corporate facility will be used commencing in the third quarter of 2008. This change in estimate is primarily attributable to our acquisition of SYS which occurred on June 28, 2008. As a result we recorded a $0.6 million reversal in our excess facility accrual in the second quarter of 2008.</w:t>
      </w:r>
    </w:p>
    <w:p>
      <w:pPr>
        <w:spacing w:after="0" w:line="170" w:lineRule="exact"/>
        <w:rPr>
          <w:sz w:val="20"/>
          <w:szCs w:val="20"/>
          <w:color w:val="auto"/>
        </w:rPr>
      </w:pPr>
    </w:p>
    <w:p>
      <w:pPr>
        <w:ind w:right="120" w:firstLine="395"/>
        <w:spacing w:after="0" w:line="259" w:lineRule="auto"/>
        <w:rPr>
          <w:sz w:val="20"/>
          <w:szCs w:val="20"/>
          <w:color w:val="auto"/>
        </w:rPr>
      </w:pPr>
      <w:r>
        <w:rPr>
          <w:rFonts w:ascii="Arial" w:cs="Arial" w:eastAsia="Arial" w:hAnsi="Arial"/>
          <w:sz w:val="18"/>
          <w:szCs w:val="18"/>
          <w:i w:val="1"/>
          <w:iCs w:val="1"/>
          <w:color w:val="auto"/>
        </w:rPr>
        <w:t xml:space="preserve">Stock Option Investigation and Related Fees. </w:t>
      </w:r>
      <w:r>
        <w:rPr>
          <w:rFonts w:ascii="Arial" w:cs="Arial" w:eastAsia="Arial" w:hAnsi="Arial"/>
          <w:sz w:val="18"/>
          <w:szCs w:val="18"/>
          <w:color w:val="auto"/>
        </w:rPr>
        <w:t>The costs in the second quarter of 2007 of $5.0 million were comprised of legal, accountant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fees related to our equity award review which was completed in September 2007 and the government inquiries by the Department of Justice and the recently completed inquiries by the SEC.</w:t>
      </w:r>
    </w:p>
    <w:p>
      <w:pPr>
        <w:spacing w:after="0" w:line="194" w:lineRule="exact"/>
        <w:rPr>
          <w:sz w:val="20"/>
          <w:szCs w:val="20"/>
          <w:color w:val="auto"/>
        </w:rPr>
      </w:pPr>
    </w:p>
    <w:p>
      <w:pPr>
        <w:ind w:right="20" w:firstLine="395"/>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(expense) decreased from income of $0.2 million to an expense of $1.1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2007 and June 29, 2008, respectively.</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 xml:space="preserve">Other income for the three months ended June 30, 2007 was primarily related to the sale of assets. Total interest expense related to our prior Credit Facility for the three months ended June 30, 2007 was $1.1 million.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 $1.0 million for the three months ended June 30, 2007 that was required to be repaid as a result of the sales of our wireless network services business was allocated to discontinued operations for the periods presented. See Note 6, Significant Transactions.</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For the three months ended June 29, 2008, we incurred interest expense of $2.5 million primarily as a result of borrowings on our Credit Facility for the Haverstick acquisition. This was partially offset by other income of $1.4 million. The other income was primarily related to marking to market our $70 million in derivative financial instruments that were entered into to reduce our exposure to variable rates on our outstanding debt.</w:t>
      </w:r>
    </w:p>
    <w:p>
      <w:pPr>
        <w:spacing w:after="0" w:line="161" w:lineRule="exact"/>
        <w:rPr>
          <w:sz w:val="20"/>
          <w:szCs w:val="20"/>
          <w:color w:val="auto"/>
        </w:rPr>
      </w:pPr>
    </w:p>
    <w:p>
      <w:pPr>
        <w:jc w:val="both"/>
        <w:ind w:firstLine="395"/>
        <w:spacing w:after="0" w:line="29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Provision for income taxes increased from a provision of $0.3 million or a negative 3.7% rate on a loss before income taxes of</w:t>
      </w:r>
      <w:r>
        <w:rPr>
          <w:rFonts w:ascii="Arial" w:cs="Arial" w:eastAsia="Arial" w:hAnsi="Arial"/>
          <w:sz w:val="16"/>
          <w:szCs w:val="16"/>
          <w:i w:val="1"/>
          <w:iCs w:val="1"/>
          <w:color w:val="auto"/>
        </w:rPr>
        <w:t xml:space="preserve"> </w:t>
      </w:r>
      <w:r>
        <w:rPr>
          <w:rFonts w:ascii="Arial" w:cs="Arial" w:eastAsia="Arial" w:hAnsi="Arial"/>
          <w:sz w:val="16"/>
          <w:szCs w:val="16"/>
          <w:color w:val="auto"/>
        </w:rPr>
        <w:t>$8.1 million in the second quarter of 2007 to a provision of $0.4 million or 22.2% on income before income taxes of $1.8 million. The tax provision in the second quarter of 2007 and 2008 were primarily due to an increase in the deferred tax liability related to temporary differences on indefinite life intangibles that were not offset by deferred tax assets due to the full valuation allowance we have recorded on these assets, plus certain state taxes.</w:t>
      </w:r>
    </w:p>
    <w:p>
      <w:pPr>
        <w:spacing w:after="0" w:line="167" w:lineRule="exact"/>
        <w:rPr>
          <w:sz w:val="20"/>
          <w:szCs w:val="20"/>
          <w:color w:val="auto"/>
        </w:rPr>
      </w:pPr>
    </w:p>
    <w:p>
      <w:pPr>
        <w:ind w:right="140" w:firstLine="395"/>
        <w:spacing w:after="0" w:line="298"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from discontinued operations decreased from income of $12.6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2007 to a loss of $0.6 million for the three months ended June 29, 2008. The income in 2007 was primarily due to a gain of $14.8 million on the sale of the Wireless Engineering Services business operations in the second quarter of 2007. Revenues and operating income (loss) generated by these businesses in the second quarter of 2007, excluding the gain on sale of engineering, through the date of divestiture and quarter end, were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ind w:right="180"/>
        <w:spacing w:after="0" w:line="259" w:lineRule="auto"/>
        <w:rPr>
          <w:sz w:val="20"/>
          <w:szCs w:val="20"/>
          <w:color w:val="auto"/>
        </w:rPr>
      </w:pPr>
      <w:r>
        <w:rPr>
          <w:rFonts w:ascii="Arial" w:cs="Arial" w:eastAsia="Arial" w:hAnsi="Arial"/>
          <w:sz w:val="18"/>
          <w:szCs w:val="18"/>
          <w:color w:val="auto"/>
        </w:rPr>
        <w:t>approximately $32.6 million and operating loss of $1.2 million, respectively. For the three months ended June 29, 2008, we incurred an expense of $0.4 million related to the settlement of the working capital adjustment with Platinum on the sale of our deployment business and a tax expense of $0.2 million related to foreign exchange adjustments and additional interest accrued for certain foreign tax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2007 to the Six Months Ended June 29, 2008</w:t>
      </w:r>
    </w:p>
    <w:p>
      <w:pPr>
        <w:spacing w:after="0" w:line="225" w:lineRule="exact"/>
        <w:rPr>
          <w:sz w:val="20"/>
          <w:szCs w:val="20"/>
          <w:color w:val="auto"/>
        </w:rPr>
      </w:pPr>
    </w:p>
    <w:p>
      <w:pPr>
        <w:ind w:right="160" w:firstLine="395"/>
        <w:spacing w:after="0" w:line="256"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45.1% from $96.8 million for the six months ended June 30, 2007 to $140.5 million for the six months ended June 29,</w:t>
      </w:r>
      <w:r>
        <w:rPr>
          <w:rFonts w:ascii="Arial" w:cs="Arial" w:eastAsia="Arial" w:hAnsi="Arial"/>
          <w:sz w:val="18"/>
          <w:szCs w:val="18"/>
          <w:i w:val="1"/>
          <w:iCs w:val="1"/>
          <w:color w:val="auto"/>
        </w:rPr>
        <w:t xml:space="preserve"> </w:t>
      </w:r>
      <w:r>
        <w:rPr>
          <w:rFonts w:ascii="Arial" w:cs="Arial" w:eastAsia="Arial" w:hAnsi="Arial"/>
          <w:sz w:val="18"/>
          <w:szCs w:val="18"/>
          <w:color w:val="auto"/>
        </w:rPr>
        <w:t>2008. The $43.7 million increase was comprised of a $41.6 million increase in our Government Solutions Segment, primarily attributable to $42.1 million of revenues from our acquisition of Haverstick. Growth in our PSS segment of $2.1 million was primarily related to an increase in facility automation and security projects performed over the prior year in our mid-atlantic and southwest markets.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six months ended June 30, 2007 and June 29, 2008 are as follows (in millions):</w:t>
      </w:r>
    </w:p>
    <w:p>
      <w:pPr>
        <w:spacing w:after="0" w:line="275" w:lineRule="exact"/>
        <w:rPr>
          <w:sz w:val="20"/>
          <w:szCs w:val="20"/>
          <w:color w:val="auto"/>
        </w:rPr>
      </w:pPr>
    </w:p>
    <w:tbl>
      <w:tblPr>
        <w:tblLayout w:type="fixed"/>
        <w:tblInd w:w="28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 change</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 change</w:t>
            </w:r>
          </w:p>
        </w:tc>
        <w:tc>
          <w:tcPr>
            <w:tcW w:w="140" w:type="dxa"/>
            <w:vAlign w:val="bottom"/>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$ 41.6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420" w:type="dxa"/>
            <w:vAlign w:val="bottom"/>
          </w:tcPr>
          <w:p>
            <w:pPr>
              <w:jc w:val="right"/>
              <w:spacing w:after="0"/>
              <w:rPr>
                <w:sz w:val="20"/>
                <w:szCs w:val="20"/>
                <w:color w:val="auto"/>
              </w:rPr>
            </w:pPr>
            <w:r>
              <w:rPr>
                <w:rFonts w:ascii="Arial" w:cs="Arial" w:eastAsia="Arial" w:hAnsi="Arial"/>
                <w:sz w:val="18"/>
                <w:szCs w:val="18"/>
                <w:color w:val="auto"/>
              </w:rPr>
              <w:t>24.3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26.4</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r>
      <w:tr>
        <w:trPr>
          <w:trHeight w:val="21"/>
        </w:trPr>
        <w:tc>
          <w:tcPr>
            <w:tcW w:w="3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$140.5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$ 43.7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r>
      <w:tr>
        <w:trPr>
          <w:trHeight w:val="27"/>
        </w:trPr>
        <w:tc>
          <w:tcPr>
            <w:tcW w:w="3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described in the section"Critical Accounting Principles and Estimates" and in the footnotes to our unaudited consolidated financial statements, 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174" w:lineRule="exact"/>
        <w:rPr>
          <w:sz w:val="20"/>
          <w:szCs w:val="20"/>
          <w:color w:val="auto"/>
        </w:rPr>
      </w:pPr>
    </w:p>
    <w:p>
      <w:pPr>
        <w:ind w:right="260" w:firstLine="395"/>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$82.0 million for the six months ended June 30, 2007 to $115.0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2008 primarily due to the corresponding aforementioned increase in total revenues related to the Haverstick acquisition. Gross margin increased from 15.3% of total revenues for the six months ended June 30, 2007 to 18.1% for the same period in 2008. The increase in gross margin primarily resulted from increased margins in the Government Solutions segment from our Haverstick acquisition as well as improved operational performance in our PSS segment for which margins increased from 18.9% to 26.1% for the six month period ended June 30, 2007 and June 29, 2008,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1" w:name="page42"/>
    <w:bookmarkEnd w:id="41"/>
    <w:p>
      <w:pPr>
        <w:ind w:firstLine="395"/>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from $19.9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2007 to $23.1 million for the six months ended June 29, 2008, primarily reflecting SG&amp;A of $8.1 million incurred by Haverstick offset by a reduction of $4.9 million related to cost reductions that occurred after the sale of our legacy wireless businesses in 2007. Included in the SG&amp;A for the six months of 2007 and 2008 is amortization of purchased intangibles of $1.4 million and $2.3 million, respectively. The increase in amortization year over year is also a result of the Haverstick acquisition. As a percentage of revenues, SG&amp;A decreased from 20.6% in the first six months of 2007 to 16.4% in the first six months of 2008, reflecting the leverage of our SG&amp;A infrastructure with increased revenues. Excluding the impact of the amortization of purchased intangibles, SG&amp;A decreased from 19.1% to 14.8% of revenues for the first six months of 2007 and 2008 respectively.</w:t>
      </w:r>
    </w:p>
    <w:p>
      <w:pPr>
        <w:spacing w:after="0" w:line="172" w:lineRule="exact"/>
        <w:rPr>
          <w:sz w:val="20"/>
          <w:szCs w:val="20"/>
          <w:color w:val="auto"/>
        </w:rPr>
      </w:pPr>
    </w:p>
    <w:p>
      <w:pPr>
        <w:ind w:firstLine="395"/>
        <w:spacing w:after="0" w:line="294" w:lineRule="auto"/>
        <w:rPr>
          <w:sz w:val="20"/>
          <w:szCs w:val="20"/>
          <w:color w:val="auto"/>
        </w:rPr>
      </w:pPr>
      <w:r>
        <w:rPr>
          <w:rFonts w:ascii="Arial" w:cs="Arial" w:eastAsia="Arial" w:hAnsi="Arial"/>
          <w:sz w:val="16"/>
          <w:szCs w:val="16"/>
          <w:i w:val="1"/>
          <w:iCs w:val="1"/>
          <w:color w:val="auto"/>
        </w:rPr>
        <w:t xml:space="preserve">Recovery of Unauthorized Issuance of Stock Options and Adjustment to the Liability for Unused Office Space. </w:t>
      </w:r>
      <w:r>
        <w:rPr>
          <w:rFonts w:ascii="Arial" w:cs="Arial" w:eastAsia="Arial" w:hAnsi="Arial"/>
          <w:sz w:val="16"/>
          <w:szCs w:val="16"/>
          <w:color w:val="auto"/>
        </w:rPr>
        <w:t>In the second quarter of 2008, our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carrier agreed to reimburse us for $0.6 million related to the theft of stock options and common stock by our former stock option administrator which occurred in 2002 and 2003. In addition, we reevaluated our excess facility accrual for obligations under facility leases and determined that a portion of our corporate facility will be used commencing in the third quarter of 2008. This change in estimate is primarily attributable to our acquisition of SYS which occurred on June 28, 2008. As a result we recorded a $0.6 million reversal in our excess facility accrual in the second quarter of 2008.</w:t>
      </w:r>
    </w:p>
    <w:p>
      <w:pPr>
        <w:spacing w:after="0" w:line="170" w:lineRule="exact"/>
        <w:rPr>
          <w:sz w:val="20"/>
          <w:szCs w:val="20"/>
          <w:color w:val="auto"/>
        </w:rPr>
      </w:pPr>
    </w:p>
    <w:p>
      <w:pPr>
        <w:ind w:right="60" w:firstLine="395"/>
        <w:spacing w:after="0" w:line="259" w:lineRule="auto"/>
        <w:rPr>
          <w:sz w:val="20"/>
          <w:szCs w:val="20"/>
          <w:color w:val="auto"/>
        </w:rPr>
      </w:pPr>
      <w:r>
        <w:rPr>
          <w:rFonts w:ascii="Arial" w:cs="Arial" w:eastAsia="Arial" w:hAnsi="Arial"/>
          <w:sz w:val="18"/>
          <w:szCs w:val="18"/>
          <w:i w:val="1"/>
          <w:iCs w:val="1"/>
          <w:color w:val="auto"/>
        </w:rPr>
        <w:t xml:space="preserve">Stock Option Investigation and Related Fees. </w:t>
      </w:r>
      <w:r>
        <w:rPr>
          <w:rFonts w:ascii="Arial" w:cs="Arial" w:eastAsia="Arial" w:hAnsi="Arial"/>
          <w:sz w:val="18"/>
          <w:szCs w:val="18"/>
          <w:color w:val="auto"/>
        </w:rPr>
        <w:t>The costs in the first six months of 2007 of $6.5 million were comprised of legal, accounting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fees related to our equity award review which was completed in September 2007 and the ongoing government inquiries by the Department of Justice and the recently completed inquiry by the SEC.</w:t>
      </w:r>
    </w:p>
    <w:p>
      <w:pPr>
        <w:spacing w:after="0" w:line="194" w:lineRule="exact"/>
        <w:rPr>
          <w:sz w:val="20"/>
          <w:szCs w:val="20"/>
          <w:color w:val="auto"/>
        </w:rPr>
      </w:pPr>
    </w:p>
    <w:p>
      <w:pPr>
        <w:ind w:right="160" w:firstLine="395"/>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income (expense) decreased from income of $0.7 million to an expense of $3.8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2007 and June 29, 2008, respectively.</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Other income for the six months ended June 30, 2007 was primarily related to the sale of assets. Total interest expense related to our prior Credit Facility for the six months ended June 30, 2007 was $2.1 million. In accordance with EITF 87-24, </w:t>
      </w:r>
      <w:r>
        <w:rPr>
          <w:rFonts w:ascii="Arial" w:cs="Arial" w:eastAsia="Arial" w:hAnsi="Arial"/>
          <w:sz w:val="16"/>
          <w:szCs w:val="16"/>
          <w:i w:val="1"/>
          <w:iCs w:val="1"/>
          <w:color w:val="auto"/>
        </w:rPr>
        <w:t>Allocation of Interest to Discontinued Operations</w:t>
      </w:r>
      <w:r>
        <w:rPr>
          <w:rFonts w:ascii="Arial" w:cs="Arial" w:eastAsia="Arial" w:hAnsi="Arial"/>
          <w:sz w:val="16"/>
          <w:szCs w:val="16"/>
          <w:color w:val="auto"/>
        </w:rPr>
        <w:t>, interest expense on the debt of $2.1 million for the six months ended June 30, 2007 that was required to be repaid as a result of the sales of our wireless network services business was allocated to discontinued operations for the periods presented. See Note 6, Significant Transactions.</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For the six months ended June 29, 2008, we incurred interest expense of $4.9 million primarily as a result of borrowings on our Credit Facility for the Haverstick acquisition. This was partially offset by other income of $1.0 million. The other income was primarily related to marking to market our $70 million derivative financial instruments we entered into to reduce our exposure to variable rates on our outstanding debt.</w:t>
      </w:r>
    </w:p>
    <w:p>
      <w:pPr>
        <w:spacing w:after="0" w:line="161" w:lineRule="exact"/>
        <w:rPr>
          <w:sz w:val="20"/>
          <w:szCs w:val="20"/>
          <w:color w:val="auto"/>
        </w:rPr>
      </w:pPr>
    </w:p>
    <w:p>
      <w:pPr>
        <w:ind w:right="520" w:firstLine="395"/>
        <w:spacing w:after="0" w:line="286" w:lineRule="auto"/>
        <w:rPr>
          <w:sz w:val="20"/>
          <w:szCs w:val="20"/>
          <w:color w:val="auto"/>
        </w:rPr>
      </w:pPr>
      <w:r>
        <w:rPr>
          <w:rFonts w:ascii="Arial" w:cs="Arial" w:eastAsia="Arial" w:hAnsi="Arial"/>
          <w:sz w:val="16"/>
          <w:szCs w:val="16"/>
          <w:i w:val="1"/>
          <w:iCs w:val="1"/>
          <w:color w:val="auto"/>
        </w:rPr>
        <w:t xml:space="preserve">Provision (benefit) for Income Taxes. </w:t>
      </w:r>
      <w:r>
        <w:rPr>
          <w:rFonts w:ascii="Arial" w:cs="Arial" w:eastAsia="Arial" w:hAnsi="Arial"/>
          <w:sz w:val="16"/>
          <w:szCs w:val="16"/>
          <w:color w:val="auto"/>
        </w:rPr>
        <w:t>Our effective income tax rate for the six months ended June 30, 2007 was a negative 4.6% provision rate, or a</w:t>
      </w:r>
      <w:r>
        <w:rPr>
          <w:rFonts w:ascii="Arial" w:cs="Arial" w:eastAsia="Arial" w:hAnsi="Arial"/>
          <w:sz w:val="16"/>
          <w:szCs w:val="16"/>
          <w:i w:val="1"/>
          <w:iCs w:val="1"/>
          <w:color w:val="auto"/>
        </w:rPr>
        <w:t xml:space="preserve"> </w:t>
      </w:r>
      <w:r>
        <w:rPr>
          <w:rFonts w:ascii="Arial" w:cs="Arial" w:eastAsia="Arial" w:hAnsi="Arial"/>
          <w:sz w:val="16"/>
          <w:szCs w:val="16"/>
          <w:color w:val="auto"/>
        </w:rPr>
        <w:t>$0.5 million provision on a loss before taxes of $10.9 million, compared to a negative 450% provision rate for the six months ended June 29, 2008, or a</w:t>
      </w:r>
    </w:p>
    <w:p>
      <w:pPr>
        <w:jc w:val="both"/>
        <w:ind w:right="200"/>
        <w:spacing w:after="0" w:line="292" w:lineRule="auto"/>
        <w:rPr>
          <w:sz w:val="20"/>
          <w:szCs w:val="20"/>
          <w:color w:val="auto"/>
        </w:rPr>
      </w:pPr>
      <w:r>
        <w:rPr>
          <w:rFonts w:ascii="Arial" w:cs="Arial" w:eastAsia="Arial" w:hAnsi="Arial"/>
          <w:sz w:val="16"/>
          <w:szCs w:val="16"/>
          <w:color w:val="auto"/>
        </w:rPr>
        <w:t>$0.9 million provision on a loss before taxes of $0.2 million. The tax provisions in 2007 and 2008 were primarily due to an increase in the deferred tax liability related to temporary differences on indefinite life intangibles that were not offset by deferred tax assets due to the full valuation allowance we have recorded on these assets, plus certain state taxes. The negative tax provision of 450% in the six months ended June 29, 2008 is a function of the relationship between certain minimum taxes that we are subject to regardless of our income. It is anticipated that as pretax income increases, the tax rate will decrease substantially as these minimum taxes become a smaller percentage of pretax income.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right="20" w:firstLine="395"/>
        <w:spacing w:after="0" w:line="288"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Loss from discontinued operations changed from a loss of $4.5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2007 to zero for the six months ended June 29, 2008. In 2007, the loss was primarily due to impairment of assets related to the Wireless Deployment business of $13.4 million and an impairment of goodwill related to this business of $7.2 million recorded in the first quarter of 2007 partially offset by a gain of $14.8 million on the sale of the Wireless Engineering Services business operations in the second quarter of 2007 and a gain of $3.3 million on the sale of the EMEA business in the first quarter of 2007. Revenues and operating income (loss) generated by these businesses in the first six months of 2007, through the date of divestiture for engineering and quarter end for deployment, excluding the impairment of assets and gains on sales were approximately $79.6 million and an operating loss of $1.1 million, respectively. In 2008, we recognized a tax benefit of $0.9 million primarily related to the expiration of the statute of limitations for certain foreign tax contingencies. This benefit was offset partially by an impairment charge related to retained assets and liabilities from the sale and discontinuance of these operations as well as the settlement of the working capital adjustment with Platinum on the sale of our deployment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sources of liquidity include cash and cash equivalents, cash from operations, our credit facility and other external sources of funds. As of June 29, 2008, we had cash and cash equivalents totaling $17.4 million and restricted cash of $2.1 million primarily related to the requirement of our Credit Facility to set aside 50% the proceeds of the recovery amounts from the theft of stock options by its former stock option administrator to fund settlement amounts in our 2004 and 2007 securities litigation.</w:t>
      </w:r>
    </w:p>
    <w:p>
      <w:pPr>
        <w:spacing w:after="0" w:line="19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primarily due to contractual billing milestones that must be achieved to enable us to bill our customers. Capital expenditures consist primarily of investment in computer hardware and software and improvement of our physical properties in order to maintain suitable conditions to conduct our business.</w:t>
      </w:r>
    </w:p>
    <w:p>
      <w:pPr>
        <w:spacing w:after="0" w:line="15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Cash from continuing operations is primarily derived from our customer contracts in progress and associated changes in working capital components. Cash provided by continuing operations was $3.9 million for the six months ended June 29, 2008 and $2.3 million for the six months ended June 30, 2007.</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Cash provided by investing activities from continuing operations was $12.3 million for the six months ended June 30, 2007 compared to cash provided by investing activities of $1.1 million for the six months ended June 29, 2008. During the six months ended June 30, 2007, investing activities included proceeds of $18.6 million from the disposition of discontinued operations, offset by capital expenditures of $1.1 million and cash paid of $6.2 million for contingent consideration of prior acquisitions. During the six months ended June 29, 2008, investing activities included proceeds received of $2.3 million from the settlement of the working capital amount owed by LCC on the sale of our domestic engineering operations partially offset by cash paid for our Haverstick acquisition and cash received on our SYS acquisition. Transaction costs related to our SYS acquisition will be paid in the second half of this year. See Notes 6 and 7 to our unaudited consolidated financial statements for further discussion of our acquisitions and divestitures.</w:t>
      </w:r>
    </w:p>
    <w:p>
      <w:pPr>
        <w:spacing w:after="0" w:line="172"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Cash used by financing activities from continuing operations was $11.2 million for the six months ended June 30, 2007 and cash provided by financing activities from continuing operations was $4.2 million for the six months ended June 29, 2008. In 2007, borrowings of $8.0 million under the line of credit were offset by payments of $19.0 million under the line of credit as a result of cash received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line="332" w:lineRule="auto"/>
        <w:rPr>
          <w:sz w:val="20"/>
          <w:szCs w:val="20"/>
          <w:color w:val="auto"/>
        </w:rPr>
      </w:pPr>
      <w:r>
        <w:rPr>
          <w:rFonts w:ascii="Arial" w:cs="Arial" w:eastAsia="Arial" w:hAnsi="Arial"/>
          <w:sz w:val="16"/>
          <w:szCs w:val="16"/>
          <w:color w:val="auto"/>
        </w:rPr>
        <w:t>from the sale of our wireless businesses that was required to be used to reduce our debt on our prior Credit Facility. The positive cash flow from financing activities for the 2008 period consisted primarily of $5.0 million of borrowings from our revolver offset by required repayments on our term notes of $0.7 million.</w:t>
      </w:r>
    </w:p>
    <w:p>
      <w:pPr>
        <w:spacing w:after="0" w:line="139"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Cash provided by discontinued operations was $3.5 million for the six months ended June 30, 2007 and cash used by discontinued operations was $0.4 million for the six months ended June 29, 2008, respectively. The decrease was primarily a result of the sale of these operations in 2007.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our business acquisitions, we have agreed to make additional future payments to sellers based on final purchase price adjustments and the expiration of certain indemnification obligations. Pursuant to the provisions of SFAS No. 141, such amounts are accrued, and therefore, recorded by the Company when the contingency is resolved beyond a reasonable doubt and, hence, the additional consideration becomes payable. As of June 29, 2008, we have approximately $3.5 million of cash holdback amounts and $7.6 million of common stock holdback due for the MRC and Haverstick acquisitions; these will be released subject to indemnity rights. The MRC holdback of approximately $2.3 million was originally due in April 2008 and this date has been extended to provide additional time to resolve outstanding indemnification obligations. We expect to make this payment in the latter half of this year. The remaining amounts for Haverstick of $1.2 million in cash and $7.6 million in common stock are due in equal payments in December 2008 and September 2009. The holdback arrangements accrue interest in accordance with the terms of the purchase agreements.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the indemnity holdback, the Haverstick agreement also called for a post closing working capital adjustment. In February 2008, we and Haverstick agreed on the working capital calculation called for in the agreement. The calculation resulted in a working capital adjustment due to Haverstick in an amount of $1.5 million. The working capital adjustment was paid in April 2008 with the issuance of 697,315 common shares of our stock valued at $1.3 million and cash of $0.2 million.</w:t>
      </w:r>
    </w:p>
    <w:p>
      <w:pPr>
        <w:spacing w:after="0" w:line="197" w:lineRule="exact"/>
        <w:rPr>
          <w:sz w:val="20"/>
          <w:szCs w:val="20"/>
          <w:color w:val="auto"/>
        </w:rPr>
      </w:pPr>
    </w:p>
    <w:p>
      <w:pPr>
        <w:ind w:right="260" w:firstLine="351"/>
        <w:spacing w:after="0" w:line="283" w:lineRule="auto"/>
        <w:rPr>
          <w:sz w:val="20"/>
          <w:szCs w:val="20"/>
          <w:color w:val="auto"/>
        </w:rPr>
      </w:pPr>
      <w:r>
        <w:rPr>
          <w:rFonts w:ascii="Arial" w:cs="Arial" w:eastAsia="Arial" w:hAnsi="Arial"/>
          <w:sz w:val="16"/>
          <w:szCs w:val="16"/>
          <w:color w:val="auto"/>
        </w:rPr>
        <w:t>On December 31, 2007, we entered into a new credit facility of $85.0 million with KeyBanc Capital Markets which replaced the October 2, 2006 credit agreement with Key Bank. This credit facility provides for two term loans consisting of a first lien term note of $50.0 million and a second lien term note of $10.0 million, as well as a first lien $25 million revolving line of credit. The $10.0 million term loan has a five and one half year term with principal payments required quarterly beginning on March 31, 2008 of $25,000 through March 31, 2013 with the final balance of $9.5 million due on June 30, 2013. The</w:t>
      </w:r>
    </w:p>
    <w:p>
      <w:pPr>
        <w:spacing w:after="0" w:line="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$50.0 million term loan has a five year term with principal payments required quarterly beginning on March 31, 2008 of $0.6 million in 2008, $1.3 million in 2009, $2.5 million in 2110, and $4.1 million in 2011 and 2012. The term loans have a provision which states that once the full amount of the note has been borrowed, the notes cannot be paid down and reborrowed again. The revolving line of credit has a four year term which expires on December 31, 2011 and contains provisions typical in such arrangements. All loans under the new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The applicable margin at date of borrowing is determined by the ratio of our aggregate debt to our EBITDA for the previous four fiscal quarters. We used the credit facility to fund the acquisition of Haverstick and to retire outstanding debt under our October 2006 credit facility with Key Bank. The terms of the new credit agreement require us to provide certain customary covenants for a credit agreement, including certain financial covenants which vary by quarter. See Schedules 7.12(a) through (e) to both the First Lien Credit Agreement and the Second Lien Credit Agreement, which were filed as Exhibits 10.1 and 10.2 respectively, to our Current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4" w:name="page45"/>
    <w:bookmarkEnd w:id="44"/>
    <w:p>
      <w:pPr>
        <w:ind w:right="800"/>
        <w:spacing w:after="0" w:line="268" w:lineRule="auto"/>
        <w:rPr>
          <w:sz w:val="20"/>
          <w:szCs w:val="20"/>
          <w:color w:val="auto"/>
        </w:rPr>
      </w:pPr>
      <w:r>
        <w:rPr>
          <w:rFonts w:ascii="Arial" w:cs="Arial" w:eastAsia="Arial" w:hAnsi="Arial"/>
          <w:sz w:val="18"/>
          <w:szCs w:val="18"/>
          <w:color w:val="auto"/>
        </w:rPr>
        <w:t>Report on Form 8-K filed with the SEC on January 7, 2008. As of June 29, 2008, our outstanding balance on the facility was $79.9 million and we had availability under the revolver of $2.9 million.</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February 11, 2008, we entered into three interest swap agreements with Key Bank, to fix our LIBOR rate to an average of 3.16% for the term of the swap agreements. The effective date of the swaps was February 14, 2008. The notional amounts and expiration dates of the swap agreements are $15 million and March 31, 2010; $22.5 million and March 31, 2011; and $32.5 million and March 31, 2011. The net benefit of the swap agreements entered into by us on February 11, 2008 has been reduced by the LIBOR floor included in the amendment and waiver discussed below.</w:t>
      </w:r>
    </w:p>
    <w:p>
      <w:pPr>
        <w:spacing w:after="0" w:line="167"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color w:val="auto"/>
        </w:rPr>
        <w:t>In March 2008, we entered into a tentative agreement to settle the 2004 and 2007 securities class action litigation actions (described in Part II, Item 1 Legal Proceedings), and as a result, we recorded a $4.9 million charge in the quarter ended December 31, 2007 to accrue our share of the settlement amounts, and an estimate for a contingent liability associated with legal proceedings related to the derivative actions, net of the amounts to be covered by our insurance carriers. As a consequence of recording this legal settlement, we did not meet certain of the financial covenants in accordance with the Credit Agreement. Accordingly, on March 27, 2008, we obtained an amendment and waiver from our lenders to waive the impact of the legal settlement amounts on our financial covenants as of December 31, 2007 and the affected future periods. The amendment also amended the credit agreement to provide for an increase in the LIBOR floor rate to</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4.25% and to require that we set aside in a restricted account approximately 50% of the proceeds of the recovery from the theft of stock options by our former stock option administrator, or approximately $1.7 million, to fund these settlement amounts. In April 2008, we transferred $1.7 million to a restricted cash account and in July 2008, we transferred an additional $0.6 million that we received from the insurance carriers as settlement on the theft of stock options to this restricted account. The lenders have also reserved the right to require us to utilize the entire amount of the $3.4 million in proceeds received from the theft of stock options to permanently pay down indebtedness. This right can be exercised no earlier than 60 days from March 27, 2008 and expires upon our compliance with financial covenants under the credit agreement for the four consecutive quarters commencing after January 1, 2008. The cost related to this amendment was recorded as deferred financing costs.</w:t>
      </w:r>
    </w:p>
    <w:p>
      <w:pPr>
        <w:spacing w:after="0" w:line="17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June 26, 2008, we entered into a second amendment to our credit facility in order to obtain changes necessary to complete the merger with SYS. The amendment specifically approves the Unsecured Subordinated Convertible Notes issued by SYS as subordinated debt under the credit facility provided that a subordination agreement is obtained from the note holders representing no less than 95% of the aggregate principal amount of all subordinated notes which was subsequently completed in July 2008. In addition, the amendment provides for an add-back for amounts representing actual transaction costs incurred by an acquired entity in the computation of Consolidated EBITDA, as defined in the credit agreement, in any acquisition in which 100% of the purchase price is paid by our equity securities.</w:t>
      </w:r>
    </w:p>
    <w:p>
      <w:pPr>
        <w:spacing w:after="0" w:line="198" w:lineRule="exact"/>
        <w:rPr>
          <w:sz w:val="20"/>
          <w:szCs w:val="20"/>
          <w:color w:val="auto"/>
        </w:rPr>
      </w:pPr>
    </w:p>
    <w:p>
      <w:pPr>
        <w:ind w:right="140" w:firstLine="341"/>
        <w:spacing w:after="0" w:line="335" w:lineRule="auto"/>
        <w:rPr>
          <w:sz w:val="20"/>
          <w:szCs w:val="20"/>
          <w:color w:val="auto"/>
        </w:rPr>
      </w:pPr>
      <w:r>
        <w:rPr>
          <w:rFonts w:ascii="Arial" w:cs="Arial" w:eastAsia="Arial" w:hAnsi="Arial"/>
          <w:sz w:val="15"/>
          <w:szCs w:val="15"/>
          <w:color w:val="auto"/>
        </w:rPr>
        <w:t>As of June 29, 2008, we had outstanding convertible notes payable which were acquired as the result of the SYS acquisition totaling $3.1 million, of which $0.8 was payable to related parties. The convertible notes payable are unsecured and subordinate to our bank debt and bear interest at 10% per annum payable quarterly. Principal is due February 14, 2009 and the notes are convertible at any time into shares of common stock at a conversion rate of $2.86 per share.</w:t>
      </w:r>
    </w:p>
    <w:p>
      <w:pPr>
        <w:spacing w:after="0" w:line="14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July 2008, we paid $1.7 million related to the 2007 securities litigation settlement. This amount was partially funded with $1.2 million of the funds placed in the restricted account. We expect to pay an additional $3.0 million related to the settlement of the 2004 Securities litigation in the third quarter of this year. Approximately $1.0 million of this amount will come from the restricted cash account and the balance will come from our cash in our operating accounts. We expect to be reimbursed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$0.6 million of the payment related to the 2004 securities litigation settlement by our insurance carrier by the end of the fourth quarter of this year.</w:t>
      </w:r>
    </w:p>
    <w:p>
      <w:pPr>
        <w:spacing w:after="0" w:line="248"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July 2008, we agreed to a final working capital adjustment with Platinum Equity on the sale of our deployment businesses. The total amount owed to Platinum Equity is $5.0 million and we are required to pay $2.5 million on July 31, 2008 and then equal monthly payments of $0.5 million from August through December of this year. As of August 6, 2008, the initial $2.5 million payment had not been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our current credit facilities and potential future credit facilities. We believe these sources should be sufficient to meet our cash needs for at least the next 12 months. However, we expect to pay for the settlement of our shareholder litigation in the second half of 2008 as discussed in Note 14—Legal Matters to the unaudited consolidated financial statements included in Item 1 of Part I of this Quarterly Report, and we may need to raise additional funds to pay for this settlement. In addition, if we become subject to significant judgments, settlements, or fines related to the matters discussed in Note 13 Legal Matters,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discussed in Part II, Item 1A, "Risk Factors"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or if there is a real likelihood of continuing resolutions in 2009 for civilian and DoD agencies,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 As of June 29, 2008 we were in compliance with all financial covenants under the credit agreements.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currently carry a significant amount of debt and as such, our ability to execute on additional business opportunities may be limited due to existing borrowing capacity. In addition, given the relatively highly leveraged liquidity position, any down-turn in our operating earnings could impair our ability to comply with the financial covenants of our existing credit facility. If we anticipated a potential covenant violation, we would seek relief from our lenders. This relief would have some cost to us and such relief might not be on terms as favorable as those in its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7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There have been no significant changes to our Critical Accounting Policies or Estimates during 2008. Refer to our Critical Accounting Policies and Estimates in Form 10-K for the year ended December 31, 2007, as filed with the Securities and Exchange Commission on March 27,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 Relative to SFAS 157, the FASB issued FASB Staff Positions (FSP) 157-1, 157-2, and proposed 157-c.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157-c clarifies the principles in SFAS 157 on the fair value measurement of liabilities. We adopted SFAS 157 as of January 1, 2008, with the exception of the application of the statement to non-recurring nonfinancial assets and nonfinancial liabilities. Refer to Note 9 to the Condensed Consolidated Financial Statements for additional discussion on fair value measurements.</w:t>
      </w:r>
    </w:p>
    <w:p>
      <w:pPr>
        <w:spacing w:after="0" w:line="18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159) which is effective for fiscal years beginning after November 15, 2007. This statement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The Company has adopted SFAS 159 as of January 1, 2008 and has elected not to measure any additional financial instruments or other items at fair value.</w:t>
      </w:r>
    </w:p>
    <w:p>
      <w:pPr>
        <w:spacing w:after="0" w:line="174" w:lineRule="exact"/>
        <w:rPr>
          <w:sz w:val="20"/>
          <w:szCs w:val="20"/>
          <w:color w:val="auto"/>
        </w:rPr>
      </w:pPr>
    </w:p>
    <w:p>
      <w:pPr>
        <w:jc w:val="both"/>
        <w:ind w:right="340" w:firstLine="351"/>
        <w:spacing w:after="0" w:line="303" w:lineRule="auto"/>
        <w:rPr>
          <w:sz w:val="20"/>
          <w:szCs w:val="20"/>
          <w:color w:val="auto"/>
        </w:rPr>
      </w:pPr>
      <w:r>
        <w:rPr>
          <w:rFonts w:ascii="Arial" w:cs="Arial" w:eastAsia="Arial" w:hAnsi="Arial"/>
          <w:sz w:val="15"/>
          <w:szCs w:val="15"/>
          <w:color w:val="auto"/>
        </w:rPr>
        <w:t>In December 2007, the FASB issued SFAS No. 141 (revised 2007), "Business Combinations" (SFAS 141(R)), which replaces SFAS No. 141, "Business Combinations." SFAS 141(R) retains the underlying concepts of SFAS 141 in that all business combinations are still required to be accounted for at fair value under the acquisition method of accounting, but SFAS 141(R) changed the method of applying the acquisition method in a number of significant aspects.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any adjustments to an entity's deferred tax assets and uncertain tax positions that occur after the measurement period be recorded as a component of income tax expense. SFAS 141(R) is effective on a prospective basis for all business combinations for which the acquisition date is on or after the beginning of the first annual period subsequent to December 15, 2008. Additionally, SFAS 141 (R) is effective for changes to valuation allowances or acquired uncertain tax positions occurring after the effective date of SFAS 141 (R), where the acquisition date occurs prior to the effective date for SFAS 141 (R). Early adoption is not permitted. The Company is currently evaluating the effects, if any, that SFAS 141(R) may have on its financial statements; however, since the Company has significant acquired deferred tax assets for which full valuation allowances were recorded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right="140"/>
        <w:spacing w:after="0" w:line="259" w:lineRule="auto"/>
        <w:rPr>
          <w:sz w:val="20"/>
          <w:szCs w:val="20"/>
          <w:color w:val="auto"/>
        </w:rPr>
      </w:pPr>
      <w:r>
        <w:rPr>
          <w:rFonts w:ascii="Arial" w:cs="Arial" w:eastAsia="Arial" w:hAnsi="Arial"/>
          <w:sz w:val="18"/>
          <w:szCs w:val="18"/>
          <w:color w:val="auto"/>
        </w:rPr>
        <w:t>at the acquisition date, SFAS 141(R) could significantly affect the results of operations if changes in the valuation allowances occur subsequent to adoption. For additional discussion on deferred tax valuation allowances, refer to Note 10 to the Consolidated Financial Statements in our 2007 Annual Report filed on Form 10-K.</w:t>
      </w:r>
    </w:p>
    <w:p>
      <w:pPr>
        <w:spacing w:after="0" w:line="19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ARB No. 51." This statement is effective for fiscal years, and interim periods within those fiscal years, beginning on or after December 15, 2008, with earlier adoption prohibited.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It also amends certain of ARB No. 51's consolidation procedures for consistency with the requirements of SFAS 141(R). This statement also includes expanded disclosure requirements regarding the interests of the parent and its noncontrolling interest.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December 2007, the EITF issued Issue No. 07-1, "Accounting for Collaborative Arrangements." This Issue is effective for financial statements issued for fiscal years beginning after December 15, 2008, and interim periods within those fiscal years, and shall be applied retrospectively to all prior periods presented for all collaborative arrangements existing as of the effective date. This Issue requires that transactions with third parties (i.e., revenue generated and costs incurred by the partners) should be reported in the appropriate line item in each company's financial statement pursuant to the guidance in EITF Issue No. 99-19, "Reporting Revenue Gross as a Principal versus Net as an Agent." This Issue also includes enhanced disclosure requirements regarding the nature and purpose of the arrangement, rights and obligations under the arrangement, accounting policy, mount and income statement classification of collaboration transactions between the parties. The Company is currently evaluating this new statement and anticipates that the statement will not have a significant impact on the Company's results of operations, financial condition or liquidity.</w:t>
      </w:r>
    </w:p>
    <w:p>
      <w:pPr>
        <w:spacing w:after="0" w:line="172"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FASB Statement No. 133"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"Accounting for Derivative Instruments and Hedging Activities"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is currently evaluating the disclosure implications of this statement and anticipates that the statement will not have a significant impact on the Company's results of operations, financial condition or liquidity.</w:t>
      </w:r>
    </w:p>
    <w:p>
      <w:pPr>
        <w:spacing w:after="0" w:line="16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April 2008, the FASB issued FSP FAS No. 142-3, which amends the factors that must be considered in developing renewal or extension assumptions used to determine the useful life over which to amortize the cost of a recognized intangible asset under FAS No. 142, "Goodwill and Other Intangible Assets." The FSP requires an entity to consider its own assumptions about renewal or extension of the term of the arrangement, consistent with its expected use of the asset, and is an attempt to improve consistency between the useful life of a recognized intangible asset under FAS No. 142 and the period of expected cash flows used to measure the fair value of the asset under FAS No. 141, "Business Combinations." The FSP is effective for fiscal years beginning after December 15, 2008, and the guidance for determining the useful life of a recognized intangible asset must be applied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ind w:right="200"/>
        <w:spacing w:after="0" w:line="268" w:lineRule="auto"/>
        <w:rPr>
          <w:sz w:val="20"/>
          <w:szCs w:val="20"/>
          <w:color w:val="auto"/>
        </w:rPr>
      </w:pPr>
      <w:r>
        <w:rPr>
          <w:rFonts w:ascii="Arial" w:cs="Arial" w:eastAsia="Arial" w:hAnsi="Arial"/>
          <w:sz w:val="18"/>
          <w:szCs w:val="18"/>
          <w:color w:val="auto"/>
        </w:rPr>
        <w:t>prospectively to intangible assets acquired after the effective date. The FSP is not expected to have a significant impact on the Company's results of operations, financial condition or liquidity.</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May 2008, the FASB issued Financial Accounting Standard (FAS) No. 162, "The Hierarchy of Generally Accepted Accounting Principles." The statement is intended to improve financial reporting by identifying a consistent hierarchy for selecting accounting principles to be used in preparing financial statements that are prepared in conformance with generally accepted accounting principles. Unlike Statement on Auditing Standards (SAS) No. 69, "The Meaning of Present in Conformity With GAAP," FAS No. 162 is directed to the entity rather than the auditor. The statement is effective 60 days following the SEC's approval of the Public Company Accounting Oversight Board (PCAOB) amendments to AU Section 411, "The Meaning of Present Fairly in Conformity with GAAP," and is not expected to have any impact on the Company's results of operations, financial condition or liquidity.</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June 2008, the Financial Accounting Standards Board (FASB) issued FASB Staff Position (FSP) Emerging Issues Task Force (EITF) No. 03-6-1, "Determining Whether Instruments Granted in Share-Based Payment Transactions Are Participating Securities." Under the FSP, unvested share-based payment awards that contain rights to receive nonforfeitable dividends (whether paid or unpaid) are participating securities, and should be included in the two-class method of computing EPS. The FSP is effective for fiscal years beginning after December 15, 2008, and interim periods within those years, and is not expected to have a significant impact on the Company's results of operations, financial condition or liquidity.</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is exposed to market risk in connection with changes in interest rates, primarily in connection with outstanding balances under its credit facility with KeyBank National Association. Based on the Company's average outstanding balances during the six months ended June 29, 2008 a 1% change in the LIBOR rate would not impact the Company's financial position and results of operations as a result of the 4.25% LIBOR floor rate on our Credit Facility.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Cash and cash equivalents as of June 29, 2008 were $17.4 million and are primarily invested in money market interest bearing accounts. A hypothetical 10% adverse change in the average interest rate on our money market cash investments and short-term investments would have had no material effect on net income for the six months ended June 29, 2008.</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t>control objectives, and management necessarily was required to apply its judgment in evaluating the cost benefit relationship of possible controls and procedures.</w:t>
      </w:r>
    </w:p>
    <w:p>
      <w:pPr>
        <w:spacing w:after="0" w:line="260"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June 29, 2008.</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29, 2008 that has materially affected, or is reasonably likely to materially affect, our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Securities Litigation</w:t>
      </w:r>
    </w:p>
    <w:p>
      <w:pPr>
        <w:spacing w:after="0" w:line="225" w:lineRule="exact"/>
        <w:rPr>
          <w:sz w:val="20"/>
          <w:szCs w:val="20"/>
          <w:color w:val="auto"/>
        </w:rPr>
      </w:pPr>
    </w:p>
    <w:p>
      <w:pPr>
        <w:ind w:right="22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No.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 "IPO Cases").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2004, the Issuers (including the Company) executed a settlement agreement with the plaintiffs that would, among other things, result in the dismissal with prejudice of all claims against the Issuers and their officers and directors and the assignment of certain potential Issuer claims to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On February 24, 2006, the court dismissed litigation filed against certain underwriters in connection with certain claims to be assigned under the settlement. On April 24, 2006, the court held a Final Fairness Hearing to determine whether to grant final approval of the settlement. On December 5, 2006, the Second Circuit Court of Appeals vacated the lower court's earlier decision certifying as class actions the six IPO Cases designated as "focus cases." Thereafter, the District Court ordered a stay of all proceedings in all of the IPO Cases pending the outcome of plaintiffs' petition to the Second Circuit for rehearing en banc and resolution of the class certification issue. On April 6, 2007, the Second Circuit denied plaintiffs' rehearing petition, but clarified that the plaintiffs may seek to certify a more limited class in the District Court. Accordingly, the settlement was terminated pursuant to stipulation and will not receive final approval.</w:t>
      </w:r>
    </w:p>
    <w:p>
      <w:pPr>
        <w:spacing w:after="0" w:line="18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amended complaints in the six focus cases in August 2007. The Company is not one of the focus case issuers. In September 2007, the Company's named officers and directors again extended the tolling agreement with plaintiffs. In September 2007, plaintiffs moved to certify the classes alleged in the focus cases and to appoint class representatives and class counsel in those cases. The focus case issuers filed motions to dismiss the claims against them in November 2007 and an opposition to plaintiffs' motion for class certification in December 2007. The Court denied the motions to dismiss on March 16, 2008. A date for the focus case defendants to answer has not yet been set. Due to the inherent uncertainties of litigation, the ultimate outcome of this matter cannot be predicted. In accordance with FASB No. 5, "Accounting for Contingencies," the Company believes any contingent liability related to this claim is not probable or estimable and therefore no amounts have been accrued in regards to this matter.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right="100" w:firstLine="351"/>
        <w:spacing w:after="0" w:line="301" w:lineRule="auto"/>
        <w:rPr>
          <w:sz w:val="20"/>
          <w:szCs w:val="20"/>
          <w:color w:val="auto"/>
        </w:rPr>
      </w:pPr>
      <w:r>
        <w:rPr>
          <w:rFonts w:ascii="Arial" w:cs="Arial" w:eastAsia="Arial" w:hAnsi="Arial"/>
          <w:sz w:val="15"/>
          <w:szCs w:val="15"/>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action—In re Wireless Facilities, Inc. Securities Litigation, Master File</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No.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Under the tentative settlement, plaintiffs and the class will dismiss all claims, with prejudice, in exchange for a cash payment in the total amount of $12 million. The Company's directors' and officers' liability insurers will pay the settlement amount in accordance with the Company's insurance policies, less any applicable retention or co-insurance obligations that are expected to be paid directly by the Company. The Company estimates that the amount of its payment toward the settlement will be approximately $2.4 million. The Company has accrued approximately $2.4 million as of June 29, 2008 related to this matter. In June, the parties executed a Memorandum of Understanding documenting the essential terms of the proposed settlement and the parties currently are drafting the documents necessary to seek a determination by the Court that the proposed settlement is fair, reasonable and adequate. The Company makes no assurances at this time that the parties will reach agreement on settlement terms, that the Court will approve the proposed settlement terms or that the matter ultimately will be settled. Despite the tentative settlement reached in this action, the Company believes that the allegations lack merit.</w:t>
      </w:r>
    </w:p>
    <w:p>
      <w:pPr>
        <w:spacing w:after="0" w:line="17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No. 04CV1663; and Roth v. Wireless Facilities, Inc., Case No.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80"/>
        <w:spacing w:after="0" w:line="285" w:lineRule="auto"/>
        <w:rPr>
          <w:sz w:val="20"/>
          <w:szCs w:val="20"/>
          <w:color w:val="auto"/>
        </w:rPr>
      </w:pPr>
      <w:r>
        <w:rPr>
          <w:rFonts w:ascii="Arial" w:cs="Arial" w:eastAsia="Arial" w:hAnsi="Arial"/>
          <w:sz w:val="16"/>
          <w:szCs w:val="16"/>
          <w:color w:val="auto"/>
        </w:rPr>
        <w:t>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Plaintiffs have 30 days from that order to seek permission from the Ninth Circuit to appeal the jurisdictional order. The parties have conferred and discussed the Court's personal jurisdictional order and certification order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August 6,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8"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No. 07-CV-0680 BTM(RBB) (the "Hameed Action"), against several of the Company's current and former officers and directors. The allegations in this new derivative complaint mirror the amended allegations in the 2004 federal derivative action. Pursuant to the Court's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The parties have conferred and discussed the Court's order and have stipulated to a briefing schedule for any remaining motions to dismiss that the Company or the individual defendants may bring in an effort to dismiss the Hameed Action. Pursuant to the parties' stipulation, such motions must be brought on or before August 6, 2008. At this time, the parties have not set a date by which such motions must be brought.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No. GIC 834253. The plaintiffs filed a Consolidated Shareholder Derivative Complaint on October 14, 2004. This action has been stayed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ind w:right="140"/>
        <w:spacing w:after="0" w:line="256" w:lineRule="auto"/>
        <w:rPr>
          <w:sz w:val="20"/>
          <w:szCs w:val="20"/>
          <w:color w:val="auto"/>
        </w:rPr>
      </w:pPr>
      <w:r>
        <w:rPr>
          <w:rFonts w:ascii="Arial" w:cs="Arial" w:eastAsia="Arial" w:hAnsi="Arial"/>
          <w:sz w:val="18"/>
          <w:szCs w:val="18"/>
          <w:color w:val="auto"/>
        </w:rPr>
        <w:t>pending a decision in federal court on a motion to dismiss the federal derivative lawsuits. In April 2008, the parties notified the Court of the status of the federal action and the court continued the stay for an additional six months. The Court also ordered the parties to file an updated status report in October 2008.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$0.8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have been consolidated into a single action, In re Wireless Facilities, Inc. Securities Litigation II, Master File No. 07-CV-0482-BTM-NLS. The consolidated class action complaint was filed on November 19, 2007. In March 2008, following a voluntary mediation of the matter, the parties reached a tentative agreement to settle the class action. Under the settlement proposal, plaintiffs and the class will dismiss all claims, with prejudice, in exchange for a cash payment in the amount of $4.5 million. The Company's directors' and officers' liability insurers will pay the settlement amount, less any applicable retention or co-insurance obligations and contributions that are expected to be paid directly by the Company. The Company estimates that the total amount of its payment toward the settlement will be approximately $1.7 million. The Company has accrued approximately $1.7 million as of June 29, 2008 related to this matter. In May, the parties executed a Memorandum of Understanding documenting the essential terms of the proposed settlement and the parties currently are drafting the documents necessary to seek a determination by the Court that the proposed settlement is fair, reasonable and adequate. The Company makes no assurances at this time that the parties will reach agreement or settlement terms, the Court will approve the proposed settlement terms or that the matter ultimately will be settled. Despite the tentative settlement reached in this action, the Company believes that the allegations lack merit.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$0.6 million for his back wages, vacation pay and certain other benefits. The Company filed an appeal in the matter on July 20, 2006 and is challenging the basis for the award on several theories. The Company has accrued approximately $0.6 million as of June 29,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 the Superior Court of the State of California, Alameda County. The suit alleges various violations of the California Labor Code and seeks payments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4" w:name="page55"/>
    <w:bookmarkEnd w:id="54"/>
    <w:p>
      <w:pPr>
        <w:spacing w:after="0" w:line="294" w:lineRule="auto"/>
        <w:rPr>
          <w:sz w:val="20"/>
          <w:szCs w:val="20"/>
          <w:color w:val="auto"/>
        </w:rPr>
      </w:pPr>
      <w:r>
        <w:rPr>
          <w:rFonts w:ascii="Arial" w:cs="Arial" w:eastAsia="Arial" w:hAnsi="Arial"/>
          <w:sz w:val="16"/>
          <w:szCs w:val="16"/>
          <w:color w:val="auto"/>
        </w:rPr>
        <w:t>for allegedly unpaid straight time and overtime, meal period pay and associated penalties. The Company and the plaintiffs have agreed to venue for the suit in San Diego County. Although the Company believes that the allegations lack merit, it has agreed in principle with the plaintiffs to settle their claims for an aggregate amount in the range of $0.3 million to $0.5 million, to include individual and incentive awards, attorneys' fees and administrative costs, subject to court approval. The actual amount paid by the Company will depend upon the number of responses received from members of the purported class of plaintiffs. The Company has recorded an accrual for a contingent liability associated with this legal proceeding in the amount of $0.3 million.</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Kratos promptly reported to the SEC the discovery of the theft. The SEC initiated an informal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informal investigation and that it did not intend to recommend any enforcement action by the SEC against the Company. Kratos has cooperated with, and intends to continue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is in the process of liquidating the remaining assets which approximate $0.1 million in value.</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Quarterly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5" w:name="page56"/>
    <w:bookmarkEnd w:id="55"/>
    <w:p>
      <w:pPr>
        <w:ind w:left="360"/>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66"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agencies,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b w:val="1"/>
          <w:bCs w:val="1"/>
          <w:i w:val="1"/>
          <w:iCs w:val="1"/>
          <w:color w:val="auto"/>
        </w:rPr>
        <w:t>Recent acquisitions and potential future acquisitions could prove difficult to integrate, disrupt our business, dilute stockholder value and strain our resources.</w:t>
      </w:r>
    </w:p>
    <w:p>
      <w:pPr>
        <w:spacing w:after="0" w:line="186"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have completed several acquisitions of complementary businesses in recent years, including our December 2007 acquisition of Haverstick Consulting, Inc. and our June 2008 acquisition of SYS Technologies, Inc. The success of these acquisitions will depend in part on the success in integrating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57" w:name="page58"/>
    <w:bookmarkEnd w:id="57"/>
    <w:p>
      <w:pPr>
        <w:ind w:right="200"/>
        <w:spacing w:after="0" w:line="268" w:lineRule="auto"/>
        <w:rPr>
          <w:sz w:val="20"/>
          <w:szCs w:val="20"/>
          <w:color w:val="auto"/>
        </w:rPr>
      </w:pPr>
      <w:r>
        <w:rPr>
          <w:rFonts w:ascii="Arial" w:cs="Arial" w:eastAsia="Arial" w:hAnsi="Arial"/>
          <w:sz w:val="18"/>
          <w:szCs w:val="18"/>
          <w:color w:val="auto"/>
        </w:rPr>
        <w:t>operations, technologies and personnel of Haverstick and SYS. The failure to successfully integrate the operations of the two companies or otherwise to realize any of the anticipated benefits of the acquisition could seriously harm our results of operations.</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53"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b w:val="1"/>
          <w:bCs w:val="1"/>
          <w:i w:val="1"/>
          <w:iCs w:val="1"/>
          <w:color w:val="auto"/>
        </w:rPr>
        <w:t>We agreed to indemnify acquirers of our divested operations against specified losses in connection with the sale of these operations, and any demands for indemnification may result in expenses we do not anticipate and distract the attention of our management from our continuing businesses.</w:t>
      </w:r>
    </w:p>
    <w:p>
      <w:pPr>
        <w:spacing w:after="0" w:line="11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agreed to indemnify acquirers of our divested operations against specified losses in connection with their sale and generally retain responsibility for various legal liabilities that accrued prior to closing. We also made representations and warranties to these acquirers about the condition of the divested businesses and agreed to working capital adjustment provisions that could obligate us to make substantial payments to some of these acquirers. If any acquirer makes an indemnification claim because it has suffered a loss or a third party has commenced an action against the divested business, or if we are required to make payments in settlement of working capital adjustments, we may incur substantial expenses resolving such claims or defending against the third party action, which would harm our operating results. In addition, our ability to defend ourselves may be impaired because our former employees are now employees of the acquirer or other companies, and our management may have to devote a substantial amount of time to resolving the claim. In addition, these indemnity claims may divert management attention from responsibilities related to the daily ongoing concerns of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ind w:right="660"/>
        <w:spacing w:after="0" w:line="268" w:lineRule="auto"/>
        <w:rPr>
          <w:sz w:val="20"/>
          <w:szCs w:val="20"/>
          <w:color w:val="auto"/>
        </w:rPr>
      </w:pPr>
      <w:r>
        <w:rPr>
          <w:rFonts w:ascii="Arial" w:cs="Arial" w:eastAsia="Arial" w:hAnsi="Arial"/>
          <w:sz w:val="18"/>
          <w:szCs w:val="18"/>
          <w:color w:val="auto"/>
        </w:rPr>
        <w:t>business. In addition, we may be required to expend substantial resources trying to determine which party has responsibility for the claim, even if we are ultimately found to be not responsible.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variable purchasing patterns under the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9" w:name="page60"/>
    <w:bookmarkEnd w:id="59"/>
    <w:p>
      <w:pPr>
        <w:jc w:val="both"/>
        <w:ind w:right="8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six month period ended June 29, 2008, two customers comprised approximately 69% and 52% of our federal business revenues and total revenues, respectively, and our five largest customers accounted for approximately 86% and 65%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5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37.7% and 36.8%, respectively, of our federal business revenues for the period ended June 29, 2008.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ind w:left="360"/>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1" w:name="page62"/>
    <w:bookmarkEnd w:id="61"/>
    <w:p>
      <w:pPr>
        <w:ind w:right="660" w:firstLine="351"/>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 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20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federal government contracts, which affect how we do business with our clients and 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such policies. Any costs found to be improperly allocated to a specific contract will not be reimbursed, while such costs already reimbursed must be refunded.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Adverse findings in a DCAA audit could materially affect our competitive position and result in a substantial adjustment to our revenue and profit.</w:t>
      </w:r>
    </w:p>
    <w:p>
      <w:pPr>
        <w:spacing w:after="0" w:line="24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clients could assert claims against us for damages or refunds.</w:t>
      </w:r>
    </w:p>
    <w:p>
      <w:pPr>
        <w:spacing w:after="0" w:line="260"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3" w:name="page64"/>
    <w:bookmarkEnd w:id="63"/>
    <w:p>
      <w:pPr>
        <w:ind w:left="360"/>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line="256" w:lineRule="auto"/>
        <w:rPr>
          <w:sz w:val="20"/>
          <w:szCs w:val="20"/>
          <w:color w:val="auto"/>
        </w:rPr>
      </w:pPr>
      <w:r>
        <w:rPr>
          <w:rFonts w:ascii="Arial" w:cs="Arial" w:eastAsia="Arial" w:hAnsi="Arial"/>
          <w:sz w:val="18"/>
          <w:szCs w:val="18"/>
          <w:color w:val="auto"/>
        </w:rPr>
        <w:t>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5" w:name="page66"/>
    <w:bookmarkEnd w:id="65"/>
    <w:p>
      <w:pPr>
        <w:ind w:right="20"/>
        <w:spacing w:after="0" w:line="268" w:lineRule="auto"/>
        <w:rPr>
          <w:sz w:val="20"/>
          <w:szCs w:val="20"/>
          <w:color w:val="auto"/>
        </w:rPr>
      </w:pPr>
      <w:r>
        <w:rPr>
          <w:rFonts w:ascii="Arial" w:cs="Arial" w:eastAsia="Arial" w:hAnsi="Arial"/>
          <w:sz w:val="18"/>
          <w:szCs w:val="18"/>
          <w:color w:val="auto"/>
        </w:rPr>
        <w:t>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 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superseded and replaced in their entirety all of our previously issued financial statements and related reports filed with the Securities and Exchange Commission.</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II, Item 1, "Legal Proceedings," several derivative complaints have been filed in state and federal courts against our current directors, some of our former directors and some of our current and former executive officers pertaining to allegations relating to stock option grants. The SEC initiated an informal inquiry into our historical stock option granting practices and we received a subpoena from the United States Attorney's Office for the Southern District of California for the production of documents relating to our historical stock option granting practices. On April 1, 2008, the SEC notified us that it had completed its informal investigation and that it did not intend to recommend any enforcement action by the SEC against us. We are cooperating with the the United States Attorney's Office for the Southern District of California, and expect to continue to do so.</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period of time necessary to resolve the U.S. Attorneys Office inquiry is uncertain, and we cannot predict the outcome of the inquiry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 pending DOJ and recently concluded SEC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 federal government investigation uncovers improper or illegal activities, including any potential improper or illegal activities related to our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6" w:name="page67"/>
    <w:bookmarkEnd w:id="66"/>
    <w:p>
      <w:pPr>
        <w:ind w:left="360"/>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31, 2007.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 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of our control.</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 million to $13 million in 2008, including approximately $2.6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control. The degree to which we are leveraged could have other important negative consequences, including the following:</w:t>
      </w:r>
    </w:p>
    <w:p>
      <w:pPr>
        <w:spacing w:after="0" w:line="239" w:lineRule="exact"/>
        <w:rPr>
          <w:sz w:val="20"/>
          <w:szCs w:val="20"/>
          <w:color w:val="auto"/>
        </w:rPr>
      </w:pPr>
    </w:p>
    <w:p>
      <w:pPr>
        <w:ind w:left="1080" w:right="2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 in general;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businesses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We may not generate sufficient cash flow from operations and future borrowings may not be available in amounts sufficient to enable us to pay our indebtedness or to fund our other liquidity needs. Moreover, we may need to refinance all or a portion of our indebtedness on or before maturity. In such a case, we cannot make assurances that we will be able to refinance any of our indebtedness on commercially reasonable terms or at all. If we are unable to make scheduled debt payments or comply with the other provisions of our debt instruments, our various lenders may be permitted under certain circumstances to accelerate the maturity of the indebtedness owed to them and exercise other remedies provided for in those instruments and under applicable law.</w:t>
      </w:r>
    </w:p>
    <w:p>
      <w:pPr>
        <w:spacing w:after="0" w:line="15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21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secure performance bonds by letters of credit, thereby limiting the amount of work we may bid on or perform;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 a merger or consolidation, or sell all or substantially all of our assets;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68" w:name="page69"/>
    <w:bookmarkEnd w:id="68"/>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raise capital via equity securities.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failed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our assets may not be sufficient to repay those amounts in full.</w:t>
      </w:r>
    </w:p>
    <w:p>
      <w:pPr>
        <w:spacing w:after="0" w:line="14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are also subject to interest rate risk due to our indebtedness at variable interest rates, based on a base rate or LIBOR plus an applicable margin. Shifts in interest rates could have a material adverse effect on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9" w:name="page70"/>
    <w:bookmarkEnd w:id="69"/>
    <w:p>
      <w:pPr>
        <w:ind w:right="20"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incur goodwill impairment charges in our reporting entities which could harm our profitability.</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significant portion of our net assets come from goodwill and other intangible assets. In accordance with Statement of Financial Accounting Standards, or SFAS, No. 142, "Goodwill and Other Intangible Assets," we periodically review the carrying values of our goodwill to determine whether such carrying values exceed the fair market 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which could reduce our profitability.</w:t>
      </w:r>
    </w:p>
    <w:p>
      <w:pPr>
        <w:spacing w:after="0" w:line="1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Uses of Proceeds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February 2008, the Company and the former shareholders of Haverstick Consulting, Inc. agreed on the working capital calculation called for in the Agreement and Plan of Reorganization dated as of November 2, 2007. The calculation resulted in a working capital adjustment due to Haverstick in an amount of $1.5 million. The working capital adjustment was paid in part with 697,315 shares of Company stock. The shares issued pursuant to the settlement of the working capital adjustment with Haverstick were issued without registration under the Securities Act of 1933, as amended (the "Securities Act"), in reliance upon the exemption provided by Section 4(2) under the Securities Act and Regulation 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At the Company's Annual Meeting of Stockholders held on June 25, 2008, the following individuals were re-elected as directors of the Company for one-year terms: Scott I. Anderson, Bandel L. Carano, Eric M. DeMarco, William A. Hoglund and Scot B. Jarvis. For each elected director the results of the voting were:</w:t>
      </w:r>
    </w:p>
    <w:p>
      <w:pPr>
        <w:spacing w:after="0" w:line="244"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Affirmative Votes</w:t>
            </w: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w w:val="92"/>
              </w:rPr>
              <w:t>Votes Withheld</w:t>
            </w: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Scott I. Anderson</w:t>
            </w:r>
          </w:p>
        </w:tc>
        <w:tc>
          <w:tcPr>
            <w:tcW w:w="10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59,684,244</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15,993,771</w:t>
            </w:r>
          </w:p>
        </w:tc>
        <w:tc>
          <w:tcPr>
            <w:tcW w:w="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Bandel L. Carano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58,025,941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17,652,074</w:t>
            </w:r>
          </w:p>
        </w:tc>
        <w:tc>
          <w:tcPr>
            <w:tcW w:w="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Eric M. DeMarco</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75,149,665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528,650</w:t>
            </w:r>
          </w:p>
        </w:tc>
        <w:tc>
          <w:tcPr>
            <w:tcW w:w="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William A. Hoglund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57,995,904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17,682,111</w:t>
            </w:r>
          </w:p>
        </w:tc>
        <w:tc>
          <w:tcPr>
            <w:tcW w:w="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Scot B. Jarvis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58,542,077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17,135,938</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our stockholders also voted to approve the following proposals:</w:t>
      </w:r>
    </w:p>
    <w:p>
      <w:pPr>
        <w:spacing w:after="0" w:line="239" w:lineRule="exact"/>
        <w:rPr>
          <w:sz w:val="20"/>
          <w:szCs w:val="20"/>
          <w:color w:val="auto"/>
        </w:rPr>
      </w:pPr>
    </w:p>
    <w:p>
      <w:pPr>
        <w:ind w:left="1080" w:right="5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Ratify Grant Thornton LLP Ernst &amp; Young LLP as the Company's independent registered public accounting firm for the fiscal year ending December 31, 2008. The results of the voting on this proposal were:</w:t>
      </w:r>
    </w:p>
    <w:p>
      <w:pPr>
        <w:spacing w:after="0" w:line="200" w:lineRule="exact"/>
        <w:rPr>
          <w:sz w:val="20"/>
          <w:szCs w:val="20"/>
          <w:color w:val="auto"/>
        </w:rPr>
      </w:pPr>
    </w:p>
    <w:p>
      <w:pPr>
        <w:spacing w:after="0" w:line="212"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Negative</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Broker Non-</w:t>
            </w:r>
          </w:p>
        </w:tc>
      </w:tr>
      <w:tr>
        <w:trPr>
          <w:trHeight w:val="161"/>
        </w:trPr>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Affirmative Votes</w:t>
            </w:r>
          </w:p>
        </w:tc>
        <w:tc>
          <w:tcPr>
            <w:tcW w:w="4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8"/>
              </w:rPr>
              <w:t>Votes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Abstentions</w:t>
            </w: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78"/>
              </w:rPr>
              <w:t>Votes</w:t>
            </w:r>
          </w:p>
        </w:tc>
      </w:tr>
      <w:tr>
        <w:trPr>
          <w:trHeight w:val="216"/>
        </w:trPr>
        <w:tc>
          <w:tcPr>
            <w:tcW w:w="1340" w:type="dxa"/>
            <w:vAlign w:val="bottom"/>
            <w:tcBorders>
              <w:top w:val="single" w:sz="8" w:color="auto"/>
            </w:tcBorders>
          </w:tcPr>
          <w:p>
            <w:pPr>
              <w:jc w:val="right"/>
              <w:ind w:right="402"/>
              <w:spacing w:after="0"/>
              <w:rPr>
                <w:sz w:val="20"/>
                <w:szCs w:val="20"/>
                <w:color w:val="auto"/>
              </w:rPr>
            </w:pPr>
            <w:r>
              <w:rPr>
                <w:rFonts w:ascii="Arial" w:cs="Arial" w:eastAsia="Arial" w:hAnsi="Arial"/>
                <w:sz w:val="18"/>
                <w:szCs w:val="18"/>
                <w:color w:val="auto"/>
                <w:w w:val="93"/>
              </w:rPr>
              <w:t>75,482,303</w:t>
            </w: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117,920</w:t>
            </w: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77,791</w:t>
            </w:r>
          </w:p>
        </w:tc>
        <w:tc>
          <w:tcPr>
            <w:tcW w:w="4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80" w:right="1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 an amendment to the Kratos 1999 Employee Stock Purchase Plan to increase the aggregate number of shares that may be issued under the plan by 1,500,000 shares. The results of the voting on this proposal were:</w:t>
      </w:r>
    </w:p>
    <w:p>
      <w:pPr>
        <w:spacing w:after="0" w:line="200" w:lineRule="exact"/>
        <w:rPr>
          <w:sz w:val="20"/>
          <w:szCs w:val="20"/>
          <w:color w:val="auto"/>
        </w:rPr>
      </w:pPr>
    </w:p>
    <w:p>
      <w:pPr>
        <w:spacing w:after="0" w:line="212"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Broker Non-</w:t>
            </w:r>
          </w:p>
        </w:tc>
      </w:tr>
      <w:tr>
        <w:trPr>
          <w:trHeight w:val="161"/>
        </w:trPr>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6"/>
              </w:rPr>
              <w:t>Affirmative Votes</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3"/>
              </w:rPr>
              <w:t>Negative Votes</w:t>
            </w:r>
          </w:p>
        </w:tc>
        <w:tc>
          <w:tcPr>
            <w:tcW w:w="4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1"/>
              </w:rPr>
              <w:t>Abstentions</w:t>
            </w:r>
          </w:p>
        </w:tc>
        <w:tc>
          <w:tcPr>
            <w:tcW w:w="4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78"/>
              </w:rPr>
              <w:t>Votes</w:t>
            </w:r>
          </w:p>
        </w:tc>
      </w:tr>
      <w:tr>
        <w:trPr>
          <w:trHeight w:val="216"/>
        </w:trPr>
        <w:tc>
          <w:tcPr>
            <w:tcW w:w="1020" w:type="dxa"/>
            <w:vAlign w:val="bottom"/>
            <w:tcBorders>
              <w:top w:val="single" w:sz="8" w:color="auto"/>
            </w:tcBorders>
          </w:tcPr>
          <w:p>
            <w:pPr>
              <w:jc w:val="right"/>
              <w:ind w:right="82"/>
              <w:spacing w:after="0"/>
              <w:rPr>
                <w:sz w:val="20"/>
                <w:szCs w:val="20"/>
                <w:color w:val="auto"/>
              </w:rPr>
            </w:pPr>
            <w:r>
              <w:rPr>
                <w:rFonts w:ascii="Arial" w:cs="Arial" w:eastAsia="Arial" w:hAnsi="Arial"/>
                <w:sz w:val="18"/>
                <w:szCs w:val="18"/>
                <w:color w:val="auto"/>
                <w:w w:val="93"/>
              </w:rPr>
              <w:t>59,081,246</w:t>
            </w:r>
          </w:p>
        </w:tc>
        <w:tc>
          <w:tcPr>
            <w:tcW w:w="4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1,757,053</w:t>
            </w: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276,999</w:t>
            </w:r>
          </w:p>
        </w:tc>
        <w:tc>
          <w:tcPr>
            <w:tcW w:w="4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14,562,717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Approve an amendment to the Kratos 2005 Equity Incentive Plan to increase the aggregate number of shares that may be issued under the plan by</w:t>
      </w:r>
    </w:p>
    <w:p>
      <w:pPr>
        <w:spacing w:after="0" w:line="49"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2,500,000 shares. The results of the voting on this proposal were:</w:t>
      </w:r>
    </w:p>
    <w:p>
      <w:pPr>
        <w:spacing w:after="0" w:line="200" w:lineRule="exact"/>
        <w:rPr>
          <w:sz w:val="20"/>
          <w:szCs w:val="20"/>
          <w:color w:val="auto"/>
        </w:rPr>
      </w:pPr>
    </w:p>
    <w:p>
      <w:pPr>
        <w:spacing w:after="0" w:line="245"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Broker Non-</w:t>
            </w:r>
          </w:p>
        </w:tc>
      </w:tr>
      <w:tr>
        <w:trPr>
          <w:trHeight w:val="161"/>
        </w:trPr>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Affirmative Votes</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Negative Votes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Abstentions</w:t>
            </w:r>
          </w:p>
        </w:tc>
        <w:tc>
          <w:tcPr>
            <w:tcW w:w="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3"/>
              </w:rPr>
              <w:t>Votes</w:t>
            </w: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88"/>
              </w:rPr>
              <w:t>43,593,103</w:t>
            </w:r>
          </w:p>
        </w:tc>
        <w:tc>
          <w:tcPr>
            <w:tcW w:w="4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17,243,783</w:t>
            </w:r>
          </w:p>
        </w:tc>
        <w:tc>
          <w:tcPr>
            <w:tcW w:w="4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273,412</w:t>
            </w:r>
          </w:p>
        </w:tc>
        <w:tc>
          <w:tcPr>
            <w:tcW w:w="4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14,562,717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80" w:right="82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Approve the issuance of the Company's common stock pursuant to the Agreement and Plan of Merger and Reorganization, dated as of February 20, 2008, by and among the Company, White Shadow, Inc. and SYS. The results of the voting on this proposal were:</w:t>
      </w:r>
    </w:p>
    <w:p>
      <w:pPr>
        <w:spacing w:after="0" w:line="365"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Negative</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0"/>
              </w:rPr>
              <w:t>Affirmative Votes</w:t>
            </w:r>
          </w:p>
        </w:tc>
        <w:tc>
          <w:tcPr>
            <w:tcW w:w="4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78"/>
              </w:rPr>
              <w:t>Votes</w:t>
            </w:r>
          </w:p>
        </w:tc>
        <w:tc>
          <w:tcPr>
            <w:tcW w:w="4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Abstentions</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Broker Non-Votes</w:t>
            </w:r>
          </w:p>
        </w:tc>
      </w:tr>
      <w:tr>
        <w:trPr>
          <w:trHeight w:val="216"/>
        </w:trPr>
        <w:tc>
          <w:tcPr>
            <w:tcW w:w="110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93"/>
              </w:rPr>
              <w:t>59,866,750</w:t>
            </w: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280,867</w:t>
            </w: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67,861</w:t>
            </w:r>
          </w:p>
        </w:tc>
        <w:tc>
          <w:tcPr>
            <w:tcW w:w="4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14,562,717</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80" w:right="2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approve any motion to adjourn or postpone the Annual Meeting to a later day or dates, if necessary, to solicit additional proxies if there are insufficient votes at the time of the Annual Meeting to approve the proposals listed above. The results of the voting on this proposal were:</w:t>
      </w:r>
    </w:p>
    <w:p>
      <w:pPr>
        <w:spacing w:after="0" w:line="365"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w:t>
            </w:r>
          </w:p>
        </w:tc>
      </w:tr>
      <w:tr>
        <w:trPr>
          <w:trHeight w:val="161"/>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Affirmative Votes</w:t>
            </w:r>
          </w:p>
        </w:tc>
        <w:tc>
          <w:tcPr>
            <w:tcW w:w="4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Negative Votes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Abstentions</w:t>
            </w:r>
          </w:p>
        </w:tc>
        <w:tc>
          <w:tcPr>
            <w:tcW w:w="4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Votes</w:t>
            </w:r>
          </w:p>
        </w:tc>
      </w:tr>
      <w:tr>
        <w:trPr>
          <w:trHeight w:val="216"/>
        </w:trPr>
        <w:tc>
          <w:tcPr>
            <w:tcW w:w="1100" w:type="dxa"/>
            <w:vAlign w:val="bottom"/>
          </w:tcPr>
          <w:p>
            <w:pPr>
              <w:jc w:val="right"/>
              <w:ind w:right="182"/>
              <w:spacing w:after="0"/>
              <w:rPr>
                <w:sz w:val="20"/>
                <w:szCs w:val="20"/>
                <w:color w:val="auto"/>
              </w:rPr>
            </w:pPr>
            <w:r>
              <w:rPr>
                <w:rFonts w:ascii="Arial" w:cs="Arial" w:eastAsia="Arial" w:hAnsi="Arial"/>
                <w:sz w:val="18"/>
                <w:szCs w:val="18"/>
                <w:color w:val="auto"/>
                <w:w w:val="90"/>
              </w:rPr>
              <w:t>55,981,894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19,563,830</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132,291</w:t>
            </w:r>
          </w:p>
        </w:tc>
        <w:tc>
          <w:tcPr>
            <w:tcW w:w="40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r>
    </w:tbl>
    <w:p>
      <w:pPr>
        <w:spacing w:after="0" w:line="200" w:lineRule="exact"/>
        <w:rPr>
          <w:sz w:val="20"/>
          <w:szCs w:val="20"/>
          <w:color w:val="auto"/>
        </w:rPr>
      </w:pPr>
    </w:p>
    <w:p>
      <w:pPr>
        <w:sectPr>
          <w:pgSz w:w="11900" w:h="16838" w:orient="portrait"/>
          <w:cols w:equalWidth="0" w:num="1">
            <w:col w:w="11340"/>
          </w:cols>
          <w:pgMar w:left="240" w:top="584" w:right="319" w:bottom="1440" w:gutter="0" w:footer="0" w:header="0"/>
        </w:sectPr>
      </w:pP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type w:val="continuous"/>
        </w:sectPr>
      </w:pPr>
    </w:p>
    <w:bookmarkStart w:id="71" w:name="page72"/>
    <w:bookmarkEnd w:id="71"/>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44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642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ind w:left="1200" w:hanging="381"/>
        <w:spacing w:after="0" w:line="259" w:lineRule="auto"/>
        <w:tabs>
          <w:tab w:leader="none" w:pos="1180" w:val="left"/>
        </w:tabs>
        <w:rPr>
          <w:sz w:val="20"/>
          <w:szCs w:val="20"/>
          <w:color w:val="auto"/>
        </w:rPr>
      </w:pPr>
      <w:r>
        <w:rPr>
          <w:rFonts w:ascii="Arial" w:cs="Arial" w:eastAsia="Arial" w:hAnsi="Arial"/>
          <w:sz w:val="18"/>
          <w:szCs w:val="18"/>
          <w:color w:val="auto"/>
        </w:rPr>
        <w:t>2.1</w:t>
        <w:tab/>
        <w:t>Agreement, dated as of March 9, 2007, by and between LCC Wireless Engineering Services Limited and the Company**</w:t>
      </w:r>
    </w:p>
    <w:p>
      <w:pPr>
        <w:spacing w:after="0" w:line="200" w:lineRule="exact"/>
        <w:rPr>
          <w:sz w:val="20"/>
          <w:szCs w:val="20"/>
          <w:color w:val="auto"/>
        </w:rPr>
      </w:pPr>
    </w:p>
    <w:p>
      <w:pPr>
        <w:spacing w:after="0" w:line="210" w:lineRule="exact"/>
        <w:rPr>
          <w:sz w:val="20"/>
          <w:szCs w:val="20"/>
          <w:color w:val="auto"/>
        </w:rPr>
      </w:pPr>
    </w:p>
    <w:p>
      <w:pPr>
        <w:ind w:left="1200" w:right="1380" w:hanging="381"/>
        <w:spacing w:after="0" w:line="268" w:lineRule="auto"/>
        <w:tabs>
          <w:tab w:leader="none" w:pos="1180" w:val="left"/>
        </w:tabs>
        <w:rPr>
          <w:sz w:val="20"/>
          <w:szCs w:val="20"/>
          <w:color w:val="auto"/>
        </w:rPr>
      </w:pPr>
      <w:r>
        <w:rPr>
          <w:rFonts w:ascii="Arial" w:cs="Arial" w:eastAsia="Arial" w:hAnsi="Arial"/>
          <w:sz w:val="18"/>
          <w:szCs w:val="18"/>
          <w:color w:val="auto"/>
        </w:rPr>
        <w:t>2.2</w:t>
        <w:tab/>
        <w:t>Asset Purchase Agreement, dated May 29, 2007, by and between the Company and LCC International, Inc.**</w:t>
      </w:r>
    </w:p>
    <w:p>
      <w:pPr>
        <w:spacing w:after="0" w:line="186" w:lineRule="exact"/>
        <w:rPr>
          <w:sz w:val="20"/>
          <w:szCs w:val="20"/>
          <w:color w:val="auto"/>
        </w:rPr>
      </w:pPr>
    </w:p>
    <w:p>
      <w:pPr>
        <w:ind w:left="1200" w:right="280" w:hanging="381"/>
        <w:spacing w:after="0" w:line="268" w:lineRule="auto"/>
        <w:tabs>
          <w:tab w:leader="none" w:pos="1180" w:val="left"/>
        </w:tabs>
        <w:rPr>
          <w:sz w:val="20"/>
          <w:szCs w:val="20"/>
          <w:color w:val="auto"/>
        </w:rPr>
      </w:pPr>
      <w:r>
        <w:rPr>
          <w:rFonts w:ascii="Arial" w:cs="Arial" w:eastAsia="Arial" w:hAnsi="Arial"/>
          <w:sz w:val="18"/>
          <w:szCs w:val="18"/>
          <w:color w:val="auto"/>
        </w:rPr>
        <w:t>2.3</w:t>
        <w:tab/>
        <w:t>Asset Purchase Agreement, dated July 7, 2007, by and between the Company and Burgundy Acquisition Corporation**</w:t>
      </w:r>
    </w:p>
    <w:p>
      <w:pPr>
        <w:spacing w:after="0" w:line="186" w:lineRule="exact"/>
        <w:rPr>
          <w:sz w:val="20"/>
          <w:szCs w:val="20"/>
          <w:color w:val="auto"/>
        </w:rPr>
      </w:pPr>
    </w:p>
    <w:p>
      <w:pPr>
        <w:ind w:left="1200" w:right="120" w:hanging="381"/>
        <w:spacing w:after="0" w:line="268" w:lineRule="auto"/>
        <w:tabs>
          <w:tab w:leader="none" w:pos="1180" w:val="left"/>
        </w:tabs>
        <w:rPr>
          <w:sz w:val="20"/>
          <w:szCs w:val="20"/>
          <w:color w:val="auto"/>
        </w:rPr>
      </w:pPr>
      <w:r>
        <w:rPr>
          <w:rFonts w:ascii="Arial" w:cs="Arial" w:eastAsia="Arial" w:hAnsi="Arial"/>
          <w:sz w:val="18"/>
          <w:szCs w:val="18"/>
          <w:color w:val="auto"/>
        </w:rPr>
        <w:t>2.4</w:t>
        <w:tab/>
        <w:t>Agreement and Plan of Merger dated November 2, 2007, by and among the Company, Kratos Government Solutions, Haverstick Acquisition Corp. and Haverstick Consulting, Inc.**</w:t>
      </w:r>
    </w:p>
    <w:p>
      <w:pPr>
        <w:spacing w:after="0" w:line="186" w:lineRule="exact"/>
        <w:rPr>
          <w:sz w:val="20"/>
          <w:szCs w:val="20"/>
          <w:color w:val="auto"/>
        </w:rPr>
      </w:pPr>
    </w:p>
    <w:p>
      <w:pPr>
        <w:ind w:left="1200" w:right="180" w:hanging="381"/>
        <w:spacing w:after="0" w:line="268" w:lineRule="auto"/>
        <w:tabs>
          <w:tab w:leader="none" w:pos="1180" w:val="left"/>
        </w:tabs>
        <w:rPr>
          <w:sz w:val="20"/>
          <w:szCs w:val="20"/>
          <w:color w:val="auto"/>
        </w:rPr>
      </w:pPr>
      <w:r>
        <w:rPr>
          <w:rFonts w:ascii="Arial" w:cs="Arial" w:eastAsia="Arial" w:hAnsi="Arial"/>
          <w:sz w:val="18"/>
          <w:szCs w:val="18"/>
          <w:color w:val="auto"/>
        </w:rPr>
        <w:t>2.5</w:t>
        <w:tab/>
        <w:t>Agreement and Plan of Merger and Reorganization, dated February 20, 2008 by and among the Company, White Shadow, Inc. and SYS**</w:t>
      </w:r>
    </w:p>
    <w:p>
      <w:pPr>
        <w:spacing w:after="0" w:line="186"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Amended and Restated Certificate of Incorporation</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Ownership and Merger of Kratos</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Defense &amp; Security Solutions, Inc. into Wireless Facilities, Inc.</w:t>
      </w:r>
    </w:p>
    <w:p>
      <w:pPr>
        <w:spacing w:after="0" w:line="219"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Amended and Restated Bylaws</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Certificate of Designations, Preferences and Rights of Series A Preferred Stock</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Certificate of Designations, Preferences and Rights of Series B Preferred Stock</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Certificate of Designation of Series C Preferred Stock</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Reference is made to Exhibits 3.1 and 3.2</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Specimen Stock Certificate.</w:t>
      </w:r>
    </w:p>
    <w:p>
      <w:pPr>
        <w:spacing w:after="0" w:line="225" w:lineRule="exact"/>
        <w:rPr>
          <w:sz w:val="20"/>
          <w:szCs w:val="20"/>
          <w:color w:val="auto"/>
        </w:rPr>
      </w:pPr>
    </w:p>
    <w:p>
      <w:pPr>
        <w:ind w:left="820"/>
        <w:spacing w:after="0"/>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Rights Agreement, dated as of December 16, 2004, between the Company and Wells Fargo, N.A.</w:t>
      </w:r>
    </w:p>
    <w:p>
      <w:pPr>
        <w:spacing w:after="0" w:line="225" w:lineRule="exact"/>
        <w:rPr>
          <w:sz w:val="20"/>
          <w:szCs w:val="20"/>
          <w:color w:val="auto"/>
        </w:rPr>
      </w:pPr>
    </w:p>
    <w:p>
      <w:pPr>
        <w:ind w:left="1200" w:right="100" w:hanging="468"/>
        <w:spacing w:after="0" w:line="306" w:lineRule="auto"/>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Second Amendment to First Lien Credit Agreement, dated as of June 26, 2008, among Kratos Defense &amp; Security Solutions, Inc., KeyBank National Association, as Administrative Agent and Lender and the other financial institutions parties thereto and KeyBanc Capital Markets as lead arranger and book runner.</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Incorporated by Reference</w:t>
            </w:r>
          </w:p>
        </w:tc>
        <w:tc>
          <w:tcPr>
            <w:tcW w:w="80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4"/>
              </w:rPr>
              <w:t>Filed—</w:t>
            </w: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940" w:type="dxa"/>
            <w:vAlign w:val="bottom"/>
          </w:tcPr>
          <w:p>
            <w:pPr>
              <w:jc w:val="center"/>
              <w:ind w:left="72"/>
              <w:spacing w:after="0" w:line="129" w:lineRule="exact"/>
              <w:rPr>
                <w:sz w:val="20"/>
                <w:szCs w:val="20"/>
                <w:color w:val="auto"/>
              </w:rPr>
            </w:pPr>
            <w:r>
              <w:rPr>
                <w:rFonts w:ascii="Arial" w:cs="Arial" w:eastAsia="Arial" w:hAnsi="Arial"/>
                <w:sz w:val="14"/>
                <w:szCs w:val="14"/>
                <w:b w:val="1"/>
                <w:bCs w:val="1"/>
                <w:color w:val="auto"/>
                <w:w w:val="90"/>
              </w:rPr>
              <w:t>Filing Date/</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94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Period End</w:t>
            </w:r>
          </w:p>
        </w:tc>
        <w:tc>
          <w:tcPr>
            <w:tcW w:w="80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74"/>
        </w:trPr>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Form</w:t>
            </w:r>
          </w:p>
        </w:tc>
        <w:tc>
          <w:tcPr>
            <w:tcW w:w="940" w:type="dxa"/>
            <w:vAlign w:val="bottom"/>
          </w:tcPr>
          <w:p>
            <w:pPr>
              <w:jc w:val="center"/>
              <w:ind w:left="72"/>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ind w:left="152"/>
              <w:spacing w:after="0"/>
              <w:rPr>
                <w:sz w:val="20"/>
                <w:szCs w:val="20"/>
                <w:color w:val="auto"/>
              </w:rPr>
            </w:pPr>
            <w:r>
              <w:rPr>
                <w:rFonts w:ascii="Arial" w:cs="Arial" w:eastAsia="Arial" w:hAnsi="Arial"/>
                <w:sz w:val="14"/>
                <w:szCs w:val="14"/>
                <w:b w:val="1"/>
                <w:bCs w:val="1"/>
                <w:u w:val="single" w:color="auto"/>
                <w:color w:val="auto"/>
                <w:w w:val="91"/>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9950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jc w:val="both"/>
        <w:ind w:left="240"/>
        <w:spacing w:after="0"/>
        <w:tabs>
          <w:tab w:leader="none" w:pos="92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12/31/06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800"/>
        <w:spacing w:after="0"/>
        <w:tabs>
          <w:tab w:leader="none" w:pos="14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05/30/07</w:t>
      </w:r>
    </w:p>
    <w:p>
      <w:pPr>
        <w:spacing w:after="0" w:line="200" w:lineRule="exact"/>
        <w:rPr>
          <w:sz w:val="20"/>
          <w:szCs w:val="20"/>
          <w:color w:val="auto"/>
        </w:rPr>
      </w:pPr>
    </w:p>
    <w:p>
      <w:pPr>
        <w:spacing w:after="0" w:line="241" w:lineRule="exact"/>
        <w:rPr>
          <w:sz w:val="20"/>
          <w:szCs w:val="20"/>
          <w:color w:val="auto"/>
        </w:rPr>
      </w:pPr>
    </w:p>
    <w:p>
      <w:pPr>
        <w:jc w:val="right"/>
        <w:ind w:right="800"/>
        <w:spacing w:after="0"/>
        <w:tabs>
          <w:tab w:leader="none" w:pos="14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07/12/07</w:t>
      </w:r>
    </w:p>
    <w:p>
      <w:pPr>
        <w:spacing w:after="0" w:line="200" w:lineRule="exact"/>
        <w:rPr>
          <w:sz w:val="20"/>
          <w:szCs w:val="20"/>
          <w:color w:val="auto"/>
        </w:rPr>
      </w:pPr>
    </w:p>
    <w:p>
      <w:pPr>
        <w:spacing w:after="0" w:line="241" w:lineRule="exact"/>
        <w:rPr>
          <w:sz w:val="20"/>
          <w:szCs w:val="20"/>
          <w:color w:val="auto"/>
        </w:rPr>
      </w:pPr>
    </w:p>
    <w:p>
      <w:pPr>
        <w:jc w:val="right"/>
        <w:ind w:right="800"/>
        <w:spacing w:after="0"/>
        <w:tabs>
          <w:tab w:leader="none" w:pos="13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11/7/07</w:t>
      </w:r>
    </w:p>
    <w:p>
      <w:pPr>
        <w:spacing w:after="0" w:line="200" w:lineRule="exact"/>
        <w:rPr>
          <w:sz w:val="20"/>
          <w:szCs w:val="20"/>
          <w:color w:val="auto"/>
        </w:rPr>
      </w:pPr>
    </w:p>
    <w:p>
      <w:pPr>
        <w:spacing w:after="0" w:line="241" w:lineRule="exact"/>
        <w:rPr>
          <w:sz w:val="20"/>
          <w:szCs w:val="20"/>
          <w:color w:val="auto"/>
        </w:rPr>
      </w:pPr>
    </w:p>
    <w:p>
      <w:pPr>
        <w:jc w:val="right"/>
        <w:ind w:right="800"/>
        <w:spacing w:after="0"/>
        <w:tabs>
          <w:tab w:leader="none" w:pos="13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6"/>
          <w:szCs w:val="16"/>
          <w:color w:val="auto"/>
        </w:rPr>
        <w:t>2/21/08</w:t>
      </w: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09/30/01</w:t>
      </w:r>
    </w:p>
    <w:p>
      <w:pPr>
        <w:spacing w:after="0" w:line="225" w:lineRule="exact"/>
        <w:rPr>
          <w:sz w:val="20"/>
          <w:szCs w:val="20"/>
          <w:color w:val="auto"/>
        </w:rPr>
      </w:pPr>
    </w:p>
    <w:p>
      <w:pPr>
        <w:jc w:val="right"/>
        <w:ind w:right="800"/>
        <w:spacing w:after="0"/>
        <w:tabs>
          <w:tab w:leader="none" w:pos="13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6"/>
          <w:szCs w:val="16"/>
          <w:color w:val="auto"/>
        </w:rPr>
        <w:t>9/12/07</w:t>
      </w:r>
    </w:p>
    <w:p>
      <w:pPr>
        <w:spacing w:after="0" w:line="200" w:lineRule="exact"/>
        <w:rPr>
          <w:sz w:val="20"/>
          <w:szCs w:val="20"/>
          <w:color w:val="auto"/>
        </w:rPr>
      </w:pPr>
    </w:p>
    <w:p>
      <w:pPr>
        <w:spacing w:after="0" w:line="24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10K/A</w:t>
      </w:r>
      <w:r>
        <w:rPr>
          <w:sz w:val="20"/>
          <w:szCs w:val="20"/>
          <w:color w:val="auto"/>
        </w:rPr>
        <w:tab/>
      </w:r>
      <w:r>
        <w:rPr>
          <w:rFonts w:ascii="Arial" w:cs="Arial" w:eastAsia="Arial" w:hAnsi="Arial"/>
          <w:sz w:val="18"/>
          <w:szCs w:val="18"/>
          <w:color w:val="auto"/>
        </w:rPr>
        <w:t>4/29/08</w:t>
      </w:r>
    </w:p>
    <w:p>
      <w:pPr>
        <w:spacing w:after="0" w:line="225"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5"/>
          <w:szCs w:val="15"/>
          <w:color w:val="auto"/>
        </w:rPr>
        <w:t>09/30/01</w:t>
      </w:r>
    </w:p>
    <w:p>
      <w:pPr>
        <w:spacing w:after="0" w:line="225"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8-K/A</w:t>
      </w:r>
      <w:r>
        <w:rPr>
          <w:sz w:val="20"/>
          <w:szCs w:val="20"/>
          <w:color w:val="auto"/>
        </w:rPr>
        <w:tab/>
      </w:r>
      <w:r>
        <w:rPr>
          <w:rFonts w:ascii="Arial" w:cs="Arial" w:eastAsia="Arial" w:hAnsi="Arial"/>
          <w:sz w:val="15"/>
          <w:szCs w:val="15"/>
          <w:color w:val="auto"/>
        </w:rPr>
        <w:t>06/05/02</w:t>
      </w:r>
    </w:p>
    <w:p>
      <w:pPr>
        <w:spacing w:after="0" w:line="225" w:lineRule="exact"/>
        <w:rPr>
          <w:sz w:val="20"/>
          <w:szCs w:val="20"/>
          <w:color w:val="auto"/>
        </w:rPr>
      </w:pPr>
    </w:p>
    <w:p>
      <w:pPr>
        <w:jc w:val="right"/>
        <w:ind w:right="800"/>
        <w:spacing w:after="0"/>
        <w:tabs>
          <w:tab w:leader="none" w:pos="14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12/17/04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800"/>
        <w:spacing w:after="0"/>
        <w:tabs>
          <w:tab w:leader="none" w:pos="14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5"/>
          <w:szCs w:val="15"/>
          <w:color w:val="auto"/>
        </w:rPr>
        <w:t>08/18/99</w:t>
      </w:r>
    </w:p>
    <w:p>
      <w:pPr>
        <w:spacing w:after="0" w:line="225" w:lineRule="exact"/>
        <w:rPr>
          <w:sz w:val="20"/>
          <w:szCs w:val="20"/>
          <w:color w:val="auto"/>
        </w:rPr>
      </w:pPr>
    </w:p>
    <w:p>
      <w:pPr>
        <w:jc w:val="right"/>
        <w:ind w:right="800"/>
        <w:spacing w:after="0"/>
        <w:tabs>
          <w:tab w:leader="none" w:pos="14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12/17/04</w:t>
      </w:r>
    </w:p>
    <w:p>
      <w:pPr>
        <w:spacing w:after="0" w:line="225" w:lineRule="exact"/>
        <w:rPr>
          <w:sz w:val="20"/>
          <w:szCs w:val="20"/>
          <w:color w:val="auto"/>
        </w:rPr>
      </w:pPr>
    </w:p>
    <w:p>
      <w:pPr>
        <w:jc w:val="right"/>
        <w:ind w:right="800"/>
        <w:spacing w:after="0"/>
        <w:tabs>
          <w:tab w:leader="none" w:pos="148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5"/>
          <w:szCs w:val="15"/>
          <w:color w:val="auto"/>
        </w:rPr>
        <w:t>6/28/2008</w:t>
      </w:r>
    </w:p>
    <w:p>
      <w:pPr>
        <w:sectPr>
          <w:pgSz w:w="11900" w:h="16838" w:orient="portrait"/>
          <w:cols w:equalWidth="0" w:num="2">
            <w:col w:w="8820" w:space="240"/>
            <w:col w:w="2360"/>
          </w:cols>
          <w:pgMar w:left="240" w:top="125"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Incorporated by</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2"/>
              </w:rPr>
              <w:t>Reference</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Period End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Furnished</w:t>
            </w:r>
          </w:p>
        </w:tc>
        <w:tc>
          <w:tcPr>
            <w:tcW w:w="0" w:type="dxa"/>
            <w:vAlign w:val="bottom"/>
          </w:tcPr>
          <w:p>
            <w:pPr>
              <w:spacing w:after="0"/>
              <w:rPr>
                <w:sz w:val="1"/>
                <w:szCs w:val="1"/>
                <w:color w:val="auto"/>
              </w:rPr>
            </w:pPr>
          </w:p>
        </w:tc>
      </w:tr>
      <w:tr>
        <w:trPr>
          <w:trHeight w:val="161"/>
        </w:trPr>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8"/>
              </w:rPr>
              <w:t>Exhibit Number</w:t>
            </w:r>
          </w:p>
        </w:tc>
        <w:tc>
          <w:tcPr>
            <w:tcW w:w="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20" w:type="dxa"/>
            <w:vAlign w:val="bottom"/>
            <w:gridSpan w:val="2"/>
          </w:tcPr>
          <w:p>
            <w:pPr>
              <w:ind w:left="1560"/>
              <w:spacing w:after="0"/>
              <w:rPr>
                <w:sz w:val="20"/>
                <w:szCs w:val="20"/>
                <w:color w:val="auto"/>
              </w:rPr>
            </w:pPr>
            <w:r>
              <w:rPr>
                <w:rFonts w:ascii="Arial" w:cs="Arial" w:eastAsia="Arial" w:hAnsi="Arial"/>
                <w:sz w:val="14"/>
                <w:szCs w:val="14"/>
                <w:b w:val="1"/>
                <w:bCs w:val="1"/>
                <w:color w:val="auto"/>
              </w:rPr>
              <w:t>Exhibit Description</w:t>
            </w: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78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Second Amendment to Second Lien Credit Agreement, dated as of June 26, 2008, among Kratos Defense &amp;</w:t>
            </w:r>
          </w:p>
        </w:tc>
        <w:tc>
          <w:tcPr>
            <w:tcW w:w="160" w:type="dxa"/>
            <w:vAlign w:val="bottom"/>
          </w:tcPr>
          <w:p>
            <w:pPr>
              <w:spacing w:after="0"/>
              <w:rPr>
                <w:sz w:val="17"/>
                <w:szCs w:val="17"/>
                <w:color w:val="auto"/>
              </w:rPr>
            </w:pPr>
          </w:p>
        </w:tc>
        <w:tc>
          <w:tcPr>
            <w:tcW w:w="40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92"/>
              </w:rPr>
              <w:t>8-K</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6/28/2008</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w w:val="98"/>
              </w:rPr>
              <w:t>Security Solutions, Inc., KeyBank National Association, as Administrative Agent and Lender, the other</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financial institutions parties thereto and KeyBanc Capital Markets as lead arranger and book runner.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Executive Employment Agreement Amended and Restated as of August 4, 2008 Eric DeMarco</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Executive Employment Agreement Amended and Restated as of August 4, 2008 Deanna Lund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Executive Employment Agreement Amended and Restated as of August 4, 2008 Laura Siegal</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Act of 2002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Act of 2002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6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52" w:lineRule="exact"/>
        <w:rPr>
          <w:sz w:val="20"/>
          <w:szCs w:val="20"/>
          <w:color w:val="auto"/>
        </w:rPr>
      </w:pPr>
    </w:p>
    <w:p>
      <w:pPr>
        <w:ind w:left="540" w:right="300" w:hanging="532"/>
        <w:spacing w:after="0" w:line="26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schedules and exhibits referenced in the merger agreement have been omitted in accordance with Item 601(b)(2) of Regulation S-K. A copy of any omitted schedules and/or exhibits will be furnished supplementally to the SEC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3" w:name="page74"/>
    <w:bookmarkEnd w:id="73"/>
    <w:p>
      <w:pPr>
        <w:jc w:val="center"/>
        <w:ind w:right="-8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jc w:val="center"/>
        <w:ind w:left="126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3069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72"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Eric M. DeMarco</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Chief Executive Officer, President</w:t>
      </w:r>
    </w:p>
    <w:p>
      <w:pPr>
        <w:spacing w:after="0" w:line="219" w:lineRule="exact"/>
        <w:rPr>
          <w:sz w:val="20"/>
          <w:szCs w:val="20"/>
          <w:color w:val="auto"/>
        </w:rPr>
      </w:pPr>
    </w:p>
    <w:p>
      <w:pPr>
        <w:jc w:val="center"/>
        <w:ind w:left="1200"/>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3069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72"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Deanna H. Lund</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Senior Vice President, Chief Financial Officer</w:t>
      </w:r>
    </w:p>
    <w:p>
      <w:pPr>
        <w:spacing w:after="0" w:line="219" w:lineRule="exact"/>
        <w:rPr>
          <w:sz w:val="20"/>
          <w:szCs w:val="20"/>
          <w:color w:val="auto"/>
        </w:rPr>
      </w:pPr>
    </w:p>
    <w:p>
      <w:pPr>
        <w:ind w:left="524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L. SIEGAL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3069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72"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Laura L. Siegal</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Vice President, Corporate Controller and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341" w:right="109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ind w:left="54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Item 2. Management's Discussion and Analysis of Financial Condition and Results of Operations</w:t>
        </w:r>
      </w:hyperlink>
    </w:p>
    <w:p>
      <w:pPr>
        <w:spacing w:after="0" w:line="248" w:lineRule="exact"/>
        <w:rPr>
          <w:sz w:val="20"/>
          <w:szCs w:val="20"/>
          <w:color w:val="auto"/>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3.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4. Controls and Procedures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Item 1A. Risk Factors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2. Unregistered Sales of Equity Securities and Uses of Proceeds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4. Submission of Matters to a Vote of Security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SIGNATURE</w:t>
        </w:r>
      </w:hyperlink>
    </w:p>
    <w:p>
      <w:pPr>
        <w:sectPr>
          <w:pgSz w:w="11900" w:h="16838" w:orient="portrait"/>
          <w:cols w:equalWidth="0" w:num="1">
            <w:col w:w="10219"/>
          </w:cols>
          <w:pgMar w:left="240" w:top="820" w:right="1440" w:bottom="1440" w:gutter="0" w:footer="0" w:header="0"/>
        </w:sectPr>
      </w:pPr>
    </w:p>
    <w:bookmarkStart w:id="75" w:name="page76"/>
    <w:bookmarkEnd w:id="75"/>
    <w:p>
      <w:pPr>
        <w:spacing w:after="0"/>
        <w:rPr>
          <w:rFonts w:ascii="Arial" w:cs="Arial" w:eastAsia="Arial" w:hAnsi="Arial"/>
          <w:sz w:val="22"/>
          <w:szCs w:val="22"/>
          <w:color w:val="0000EE"/>
        </w:rPr>
      </w:pPr>
      <w:hyperlink w:anchor="page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as of August 4, 2008</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This Executive Employment Agreement ("Agreement") is made effective November 14, 2003 ("Effective Date"), by and between Kratos Defense &amp; Security Solutions, Inc. ("Company") and Eric DeMarco ("Executive"), and as amended and restated as of August 4, 2008.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parties agree as follows:</w:t>
      </w:r>
    </w:p>
    <w:p>
      <w:pPr>
        <w:spacing w:after="0" w:line="225" w:lineRule="exact"/>
        <w:rPr>
          <w:sz w:val="20"/>
          <w:szCs w:val="20"/>
          <w:color w:val="auto"/>
        </w:rPr>
      </w:pPr>
    </w:p>
    <w:p>
      <w:pPr>
        <w:ind w:left="660" w:hanging="301"/>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Employment</w:t>
      </w:r>
      <w:r>
        <w:rPr>
          <w:rFonts w:ascii="Arial" w:cs="Arial" w:eastAsia="Arial" w:hAnsi="Arial"/>
          <w:sz w:val="16"/>
          <w:szCs w:val="16"/>
          <w:color w:val="auto"/>
        </w:rPr>
        <w:t>.  Company hereby employs Executive, and Executive hereby accepts such employment, upon the terms and conditions set forth herein.</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Duties.</w:t>
      </w:r>
    </w:p>
    <w:p>
      <w:pPr>
        <w:spacing w:after="0" w:line="225" w:lineRule="exact"/>
        <w:rPr>
          <w:sz w:val="20"/>
          <w:szCs w:val="20"/>
          <w:color w:val="auto"/>
        </w:rPr>
      </w:pPr>
    </w:p>
    <w:p>
      <w:pPr>
        <w:jc w:val="both"/>
        <w:ind w:left="540" w:right="60" w:firstLine="351"/>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Position</w:t>
      </w:r>
      <w:r>
        <w:rPr>
          <w:rFonts w:ascii="Arial" w:cs="Arial" w:eastAsia="Arial" w:hAnsi="Arial"/>
          <w:sz w:val="16"/>
          <w:szCs w:val="16"/>
          <w:color w:val="auto"/>
        </w:rPr>
        <w:t>. Executive shall initially be employed as a non-officer regular, full-time employee but will become Company's President and Chief Operating Officer ("COO") within two (2) weeks of the Effective Date. Immediately upon the announcement of Executive's assumption of the President and COO roles, Company shall announce a 3 to 6 month succession plan for Executive to transfer into Company's Chief Executive Officer ("CEO") role. Executive shall have the duties and responsibilities assigned by Company's Board of Directors ("Board of Directors") both upon initial hire and as may be reasonably assigned from time to time. Executive will also be offered a seat on Company's Board of Directors.</w:t>
      </w:r>
    </w:p>
    <w:p>
      <w:pPr>
        <w:spacing w:after="0" w:line="170" w:lineRule="exact"/>
        <w:rPr>
          <w:sz w:val="20"/>
          <w:szCs w:val="20"/>
          <w:color w:val="auto"/>
        </w:rPr>
      </w:pPr>
    </w:p>
    <w:p>
      <w:pPr>
        <w:ind w:left="540" w:right="140" w:firstLine="351"/>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Best Efforts/Full-time</w:t>
      </w:r>
      <w:r>
        <w:rPr>
          <w:rFonts w:ascii="Arial" w:cs="Arial" w:eastAsia="Arial" w:hAnsi="Arial"/>
          <w:sz w:val="16"/>
          <w:szCs w:val="16"/>
          <w:color w:val="auto"/>
        </w:rPr>
        <w:t>. Executive will expend his best efforts on behalf of Company, and will abide by all policies and decisions made by Company, as well as all applicable federal, state and local laws, regulations or ordinances. Executive will act in the best interest of Company at all times. Executive shall devote his full business time and efforts to the performance of his assigned duties for Company, unless Executive notifies the Board of Directors in advance of his intent to engage in other paid work and receives the Board of Directors' express written consent to do so.</w:t>
      </w:r>
    </w:p>
    <w:p>
      <w:pPr>
        <w:spacing w:after="0" w:line="167" w:lineRule="exact"/>
        <w:rPr>
          <w:sz w:val="20"/>
          <w:szCs w:val="20"/>
          <w:color w:val="auto"/>
        </w:rPr>
      </w:pPr>
    </w:p>
    <w:p>
      <w:pPr>
        <w:ind w:firstLine="359"/>
        <w:spacing w:after="0" w:line="318" w:lineRule="auto"/>
        <w:tabs>
          <w:tab w:leader="none" w:pos="655"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At-will Employment Relationship</w:t>
      </w:r>
      <w:r>
        <w:rPr>
          <w:rFonts w:ascii="Arial" w:cs="Arial" w:eastAsia="Arial" w:hAnsi="Arial"/>
          <w:sz w:val="15"/>
          <w:szCs w:val="15"/>
          <w:color w:val="auto"/>
        </w:rPr>
        <w:t>. Executive's employment with Company is at-will and not for any specified period and may be terminated by either</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or Company at any time, with or without cause. In addition, Company reserves the right to modify Executive's position or duties to meet business needs and to use discretion in deciding on appropriate discipline. No representative of Company, other than the Board of Directors, has the authority to alter the at-will employment relationship between Executive and Company. Any change to the at-will employment relationship must be by specific, written agreement signed by Executive and the Board of Directors. Nothing in this Agreement is intended to or should be construed to contradict, modify or alter this at-will relationship.</w:t>
      </w:r>
    </w:p>
    <w:p>
      <w:pPr>
        <w:spacing w:after="0" w:line="153" w:lineRule="exact"/>
        <w:rPr>
          <w:rFonts w:ascii="Arial" w:cs="Arial" w:eastAsia="Arial" w:hAnsi="Arial"/>
          <w:sz w:val="15"/>
          <w:szCs w:val="15"/>
          <w:color w:val="auto"/>
        </w:rPr>
      </w:pPr>
    </w:p>
    <w:p>
      <w:pPr>
        <w:ind w:left="660" w:hanging="301"/>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Compensation.</w:t>
      </w:r>
    </w:p>
    <w:p>
      <w:pPr>
        <w:spacing w:after="0" w:line="225" w:lineRule="exact"/>
        <w:rPr>
          <w:sz w:val="20"/>
          <w:szCs w:val="20"/>
          <w:color w:val="auto"/>
        </w:rPr>
      </w:pPr>
    </w:p>
    <w:p>
      <w:pPr>
        <w:ind w:left="540" w:right="60" w:firstLine="351"/>
        <w:spacing w:after="0" w:line="29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Base Salary</w:t>
      </w:r>
      <w:r>
        <w:rPr>
          <w:rFonts w:ascii="Arial" w:cs="Arial" w:eastAsia="Arial" w:hAnsi="Arial"/>
          <w:sz w:val="16"/>
          <w:szCs w:val="16"/>
          <w:color w:val="auto"/>
        </w:rPr>
        <w:t>. As compensation for Executive's performance of his duties hereunder, Company shall pay to Executive an initial base salary of $275,000 per year (the "Base Salary"), payable in accordance with the normal payroll practices of Company, less required deductions for state and federal withholding tax, social security and all other employment taxes and payroll deductions. In the event Executive's employment under this Agreement is terminated by either party, for any reason, Executive will earn the Base Salary prorated to the date of termination.</w:t>
      </w:r>
    </w:p>
    <w:p>
      <w:pPr>
        <w:spacing w:after="0" w:line="167" w:lineRule="exact"/>
        <w:rPr>
          <w:sz w:val="20"/>
          <w:szCs w:val="20"/>
          <w:color w:val="auto"/>
        </w:rPr>
      </w:pPr>
    </w:p>
    <w:p>
      <w:pPr>
        <w:ind w:left="540" w:right="400" w:firstLine="351"/>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Incentive Compensation</w:t>
      </w:r>
      <w:r>
        <w:rPr>
          <w:rFonts w:ascii="Arial" w:cs="Arial" w:eastAsia="Arial" w:hAnsi="Arial"/>
          <w:sz w:val="16"/>
          <w:szCs w:val="16"/>
          <w:color w:val="auto"/>
        </w:rPr>
        <w:t>. Executive will be eligible to earn an annual performance bonus, up to a maximum amount of 100% of his Base Salary, based upon the achievement of certain goals and objectives to be mutually determined by Executive and Company.</w:t>
      </w:r>
    </w:p>
    <w:p>
      <w:pPr>
        <w:spacing w:after="0" w:line="139" w:lineRule="exact"/>
        <w:rPr>
          <w:sz w:val="20"/>
          <w:szCs w:val="20"/>
          <w:color w:val="auto"/>
        </w:rPr>
      </w:pPr>
    </w:p>
    <w:p>
      <w:pPr>
        <w:ind w:left="540" w:right="200" w:firstLine="351"/>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Stock Options</w:t>
      </w:r>
      <w:r>
        <w:rPr>
          <w:rFonts w:ascii="Arial" w:cs="Arial" w:eastAsia="Arial" w:hAnsi="Arial"/>
          <w:sz w:val="18"/>
          <w:szCs w:val="18"/>
          <w:color w:val="auto"/>
        </w:rPr>
        <w:t>. Subject to the Board of Directors' approval, Executive will be granted a nonqualified stock option to purchase 1,250,000 shares of Company's Common Stock under Company's 1999 Equity Incentive Plan (the "Plan") at an exercise price equal to $12.80 (the "Option"). The Option will vest in accordance with the following schedule: 20% of the Option will vest on the first anniversary of the Effective Date and the remaining 80% will vest in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6" w:name="page77"/>
    <w:bookmarkEnd w:id="76"/>
    <w:p>
      <w:pPr>
        <w:ind w:left="181"/>
        <w:spacing w:after="0" w:line="306" w:lineRule="auto"/>
        <w:rPr>
          <w:sz w:val="20"/>
          <w:szCs w:val="20"/>
          <w:color w:val="auto"/>
        </w:rPr>
      </w:pPr>
      <w:r>
        <w:rPr>
          <w:rFonts w:ascii="Arial" w:cs="Arial" w:eastAsia="Arial" w:hAnsi="Arial"/>
          <w:sz w:val="16"/>
          <w:szCs w:val="16"/>
          <w:color w:val="auto"/>
        </w:rPr>
        <w:t>monthly increments over the following 48 months. The Option will be subject to the terms and conditions of the Plan and the standard stock option agreement provided pursuant to the Plan, which Executive will be required to sign as a condition of receiving the Option. Executive will also be eligible to receive additional stock options based upon his performance as determined by Company in its sole and absolute discretion.</w:t>
      </w:r>
    </w:p>
    <w:p>
      <w:pPr>
        <w:spacing w:after="0" w:line="161" w:lineRule="exact"/>
        <w:rPr>
          <w:sz w:val="20"/>
          <w:szCs w:val="20"/>
          <w:color w:val="auto"/>
        </w:rPr>
      </w:pPr>
    </w:p>
    <w:p>
      <w:pPr>
        <w:ind w:left="541"/>
        <w:spacing w:after="0"/>
        <w:tabs>
          <w:tab w:leader="none" w:pos="920" w:val="left"/>
          <w:tab w:leader="none" w:pos="3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color w:val="auto"/>
        </w:rPr>
        <w:t>Performance and Salary Review</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Board of Directors will periodically review Executive's performance on no less than an annual basis.</w:t>
      </w:r>
    </w:p>
    <w:p>
      <w:pPr>
        <w:spacing w:after="0" w:line="15" w:lineRule="exact"/>
        <w:rPr>
          <w:sz w:val="20"/>
          <w:szCs w:val="20"/>
          <w:color w:val="auto"/>
        </w:rPr>
      </w:pPr>
    </w:p>
    <w:p>
      <w:pPr>
        <w:ind w:left="181"/>
        <w:spacing w:after="0"/>
        <w:rPr>
          <w:sz w:val="20"/>
          <w:szCs w:val="20"/>
          <w:color w:val="auto"/>
        </w:rPr>
      </w:pPr>
      <w:r>
        <w:rPr>
          <w:rFonts w:ascii="Arial" w:cs="Arial" w:eastAsia="Arial" w:hAnsi="Arial"/>
          <w:sz w:val="18"/>
          <w:szCs w:val="18"/>
          <w:color w:val="auto"/>
        </w:rPr>
        <w:t>Adjustments to Base Salary or other compensation, if any, will be made by the Board of Directors in its sole and absolute discretion.</w:t>
      </w:r>
    </w:p>
    <w:p>
      <w:pPr>
        <w:spacing w:after="0" w:line="219" w:lineRule="exact"/>
        <w:rPr>
          <w:sz w:val="20"/>
          <w:szCs w:val="20"/>
          <w:color w:val="auto"/>
        </w:rPr>
      </w:pPr>
    </w:p>
    <w:p>
      <w:pPr>
        <w:ind w:left="-359" w:right="20" w:firstLine="359"/>
        <w:spacing w:after="0" w:line="259" w:lineRule="auto"/>
        <w:tabs>
          <w:tab w:leader="none" w:pos="29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Customary Fringe Benefits</w:t>
      </w:r>
      <w:r>
        <w:rPr>
          <w:rFonts w:ascii="Arial" w:cs="Arial" w:eastAsia="Arial" w:hAnsi="Arial"/>
          <w:sz w:val="18"/>
          <w:szCs w:val="18"/>
          <w:color w:val="auto"/>
        </w:rPr>
        <w:t>. Executive will be eligible for all customary and usual fringe benefits generally available to executives of Company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Company's benefit plan documents. Company reserves the right to change or eliminate the fringe benefits on a prospective, company-wide basis, at any time, effective upon notice to Executive.</w:t>
      </w:r>
    </w:p>
    <w:p>
      <w:pPr>
        <w:spacing w:after="0" w:line="194" w:lineRule="exact"/>
        <w:rPr>
          <w:rFonts w:ascii="Arial" w:cs="Arial" w:eastAsia="Arial" w:hAnsi="Arial"/>
          <w:sz w:val="18"/>
          <w:szCs w:val="18"/>
          <w:color w:val="auto"/>
        </w:rPr>
      </w:pPr>
    </w:p>
    <w:p>
      <w:pPr>
        <w:ind w:left="-359" w:right="200" w:firstLine="359"/>
        <w:spacing w:after="0" w:line="259" w:lineRule="auto"/>
        <w:tabs>
          <w:tab w:leader="none" w:pos="299"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Business Expenses</w:t>
      </w:r>
      <w:r>
        <w:rPr>
          <w:rFonts w:ascii="Arial" w:cs="Arial" w:eastAsia="Arial" w:hAnsi="Arial"/>
          <w:sz w:val="18"/>
          <w:szCs w:val="18"/>
          <w:color w:val="auto"/>
        </w:rPr>
        <w:t>. Executive will be reimbursed for all reasonable, out-of-pocket business expenses incurred in the performance of his duties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Company. To obtain reimbursement, expenses must be submitted promptly with appropriate supporting documentation in accordance with Company's policies.</w:t>
      </w:r>
    </w:p>
    <w:p>
      <w:pPr>
        <w:spacing w:after="0" w:line="194" w:lineRule="exact"/>
        <w:rPr>
          <w:rFonts w:ascii="Arial" w:cs="Arial" w:eastAsia="Arial" w:hAnsi="Arial"/>
          <w:sz w:val="18"/>
          <w:szCs w:val="18"/>
          <w:color w:val="auto"/>
        </w:rPr>
      </w:pPr>
    </w:p>
    <w:p>
      <w:pPr>
        <w:ind w:left="301" w:hanging="301"/>
        <w:spacing w:after="0"/>
        <w:tabs>
          <w:tab w:leader="none" w:pos="30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Termination of Executive's Employment.</w:t>
      </w:r>
    </w:p>
    <w:p>
      <w:pPr>
        <w:spacing w:after="0" w:line="225" w:lineRule="exact"/>
        <w:rPr>
          <w:sz w:val="20"/>
          <w:szCs w:val="20"/>
          <w:color w:val="auto"/>
        </w:rPr>
      </w:pPr>
    </w:p>
    <w:p>
      <w:pPr>
        <w:ind w:left="181" w:firstLine="351"/>
        <w:spacing w:after="0" w:line="28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Termination for Cause by Company</w:t>
      </w:r>
      <w:r>
        <w:rPr>
          <w:rFonts w:ascii="Arial" w:cs="Arial" w:eastAsia="Arial" w:hAnsi="Arial"/>
          <w:sz w:val="16"/>
          <w:szCs w:val="16"/>
          <w:color w:val="auto"/>
        </w:rPr>
        <w:t>. Although Company anticipates a mutually rewarding employment relationship with Executive, Company may terminate Executive's employment immediately at any time for Cause. For purposes of this Agreement, "Cause" is defined as: (a) acts or omissions constituting gross negligence, recklessness or willful misconduct on the part of Executive with respect to Executive's obligations or otherwise relating to the business of Company; (b) Executive's material breach of this Agreement or Company's standard form of confidentiality agreement; (c) Executive's conviction or entry of a plea of nolo contendere for fraud, misappropriation or embezzlement, or any felony or crime of moral turpitude; or (d) Executive's willful neglect of duties or poor performance. Notwithstanding the foregoing, a termination under subsection 7.1(d) above shall not constitute a termination for "Cause" unless Company has first given Executive written notice of the offending conduct (such notice shall include a description of remedial actions that Company reasonably deems appropriate to cure such offending conduct) and a thirty (30) opportunity to cure such offending conduct. In the event Company terminates Executive's employment under subsection 7.1(d) above, Company agrees to participate in binding arbitration, if requested by Executive, to determine whether the cause for termination was willful neglect of duties or poor performance as opposed to some other reason that does not constitute Cause under this Agreement. In the event Executive's employment is terminated in accordance with this subsection 7.1, Executive shall be entitled to receive only the Base Salary then in effect, prorated to the date of termination and any accrued but unpaid vacation (the "Standard Entitlements"). All other Company obligations to Executive pursuant to this Agreement will become automatically terminated and completely extinguished. In addition, Executive will not be entitled to receive the Severance Package described in subsection 7.2 below.</w:t>
      </w:r>
    </w:p>
    <w:p>
      <w:pPr>
        <w:spacing w:after="0" w:line="182" w:lineRule="exact"/>
        <w:rPr>
          <w:sz w:val="20"/>
          <w:szCs w:val="20"/>
          <w:color w:val="auto"/>
        </w:rPr>
      </w:pPr>
    </w:p>
    <w:p>
      <w:pPr>
        <w:ind w:left="181" w:firstLine="351"/>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Termination Without Cause by Company/Severance</w:t>
      </w:r>
      <w:r>
        <w:rPr>
          <w:rFonts w:ascii="Arial" w:cs="Arial" w:eastAsia="Arial" w:hAnsi="Arial"/>
          <w:sz w:val="18"/>
          <w:szCs w:val="18"/>
          <w:color w:val="auto"/>
        </w:rPr>
        <w:t>. Company may terminate Executive's employment under this Agreement without Cause at any time on thirty (30) days' advance written notice to Executive. In the event of such termination, Executive will receive the Standard Entitlements and the "Severance Package" described in subsection 7.2(a) below, provided that Executive agrees to comply with all of the conditions set forth in subsection 7.2(b) below. All other Company obligations to Executive pursuant to this Agreement will be automatically terminated and completely extinguished.</w:t>
      </w:r>
    </w:p>
    <w:p>
      <w:pPr>
        <w:spacing w:after="0" w:line="197" w:lineRule="exact"/>
        <w:rPr>
          <w:sz w:val="20"/>
          <w:szCs w:val="20"/>
          <w:color w:val="auto"/>
        </w:rPr>
      </w:pPr>
    </w:p>
    <w:p>
      <w:pPr>
        <w:ind w:left="1461" w:hanging="380"/>
        <w:spacing w:after="0"/>
        <w:tabs>
          <w:tab w:leader="none" w:pos="146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Severance Package</w:t>
      </w:r>
      <w:r>
        <w:rPr>
          <w:rFonts w:ascii="Arial" w:cs="Arial" w:eastAsia="Arial" w:hAnsi="Arial"/>
          <w:sz w:val="18"/>
          <w:szCs w:val="18"/>
          <w:color w:val="auto"/>
        </w:rPr>
        <w:t>.  The Severance Package will consist of the following:</w:t>
      </w:r>
    </w:p>
    <w:p>
      <w:pPr>
        <w:spacing w:after="0" w:line="225" w:lineRule="exact"/>
        <w:rPr>
          <w:rFonts w:ascii="Arial" w:cs="Arial" w:eastAsia="Arial" w:hAnsi="Arial"/>
          <w:sz w:val="18"/>
          <w:szCs w:val="18"/>
          <w:color w:val="auto"/>
        </w:rPr>
      </w:pPr>
    </w:p>
    <w:p>
      <w:pPr>
        <w:ind w:left="1261" w:right="500" w:firstLine="360"/>
        <w:spacing w:after="0" w:line="370" w:lineRule="auto"/>
        <w:tabs>
          <w:tab w:leader="none" w:pos="1953" w:val="left"/>
        </w:tabs>
        <w:numPr>
          <w:ilvl w:val="1"/>
          <w:numId w:val="28"/>
        </w:numPr>
        <w:rPr>
          <w:rFonts w:ascii="Arial" w:cs="Arial" w:eastAsia="Arial" w:hAnsi="Arial"/>
          <w:sz w:val="15"/>
          <w:szCs w:val="15"/>
          <w:color w:val="auto"/>
        </w:rPr>
      </w:pPr>
      <w:r>
        <w:rPr>
          <w:rFonts w:ascii="Arial" w:cs="Arial" w:eastAsia="Arial" w:hAnsi="Arial"/>
          <w:sz w:val="15"/>
          <w:szCs w:val="15"/>
          <w:color w:val="auto"/>
        </w:rPr>
        <w:t>a "Severance Payment" equivalent to the sum of three (3) years of Executive's Base Salary then in effect on the date of termination plus three (3) times Executive's bonus potential for the year in which Executive was terminated, less any bonus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77470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590" w:right="239" w:bottom="1440" w:gutter="0" w:footer="0" w:header="0"/>
        </w:sectPr>
      </w:pPr>
    </w:p>
    <w:bookmarkStart w:id="77" w:name="page78"/>
    <w:bookmarkEnd w:id="77"/>
    <w:p>
      <w:pPr>
        <w:jc w:val="center"/>
        <w:ind w:right="80"/>
        <w:spacing w:after="0"/>
        <w:rPr>
          <w:sz w:val="20"/>
          <w:szCs w:val="20"/>
          <w:color w:val="auto"/>
        </w:rPr>
      </w:pPr>
      <w:r>
        <w:rPr>
          <w:rFonts w:ascii="Arial" w:cs="Arial" w:eastAsia="Arial" w:hAnsi="Arial"/>
          <w:sz w:val="18"/>
          <w:szCs w:val="18"/>
          <w:color w:val="auto"/>
        </w:rPr>
        <w:t>already received and applicable taxes and withholdings, payable in a lump sum within thirty (30) days of such termination;</w:t>
      </w:r>
    </w:p>
    <w:p>
      <w:pPr>
        <w:spacing w:after="0" w:line="225" w:lineRule="exact"/>
        <w:rPr>
          <w:sz w:val="20"/>
          <w:szCs w:val="20"/>
          <w:color w:val="auto"/>
        </w:rPr>
      </w:pPr>
    </w:p>
    <w:p>
      <w:pPr>
        <w:ind w:left="1080" w:firstLine="360"/>
        <w:spacing w:after="0" w:line="268" w:lineRule="auto"/>
        <w:tabs>
          <w:tab w:leader="none" w:pos="1777" w:val="left"/>
        </w:tabs>
        <w:numPr>
          <w:ilvl w:val="3"/>
          <w:numId w:val="29"/>
        </w:numPr>
        <w:rPr>
          <w:rFonts w:ascii="Arial" w:cs="Arial" w:eastAsia="Arial" w:hAnsi="Arial"/>
          <w:sz w:val="18"/>
          <w:szCs w:val="18"/>
          <w:color w:val="auto"/>
        </w:rPr>
      </w:pPr>
      <w:r>
        <w:rPr>
          <w:rFonts w:ascii="Arial" w:cs="Arial" w:eastAsia="Arial" w:hAnsi="Arial"/>
          <w:sz w:val="18"/>
          <w:szCs w:val="18"/>
          <w:color w:val="auto"/>
        </w:rPr>
        <w:t>accelerated vesting of any and all of Executive's stock options, restricted stock units and any other outstanding equity awards that remain unvested as of the date of termination; and</w:t>
      </w:r>
    </w:p>
    <w:p>
      <w:pPr>
        <w:spacing w:after="0" w:line="185" w:lineRule="exact"/>
        <w:rPr>
          <w:rFonts w:ascii="Arial" w:cs="Arial" w:eastAsia="Arial" w:hAnsi="Arial"/>
          <w:sz w:val="18"/>
          <w:szCs w:val="18"/>
          <w:color w:val="auto"/>
        </w:rPr>
      </w:pPr>
    </w:p>
    <w:p>
      <w:pPr>
        <w:ind w:left="1800" w:hanging="360"/>
        <w:spacing w:after="0"/>
        <w:tabs>
          <w:tab w:leader="none" w:pos="1800" w:val="left"/>
        </w:tabs>
        <w:numPr>
          <w:ilvl w:val="3"/>
          <w:numId w:val="29"/>
        </w:numPr>
        <w:rPr>
          <w:rFonts w:ascii="Arial" w:cs="Arial" w:eastAsia="Arial" w:hAnsi="Arial"/>
          <w:sz w:val="16"/>
          <w:szCs w:val="16"/>
          <w:color w:val="auto"/>
        </w:rPr>
      </w:pPr>
      <w:r>
        <w:rPr>
          <w:rFonts w:ascii="Arial" w:cs="Arial" w:eastAsia="Arial" w:hAnsi="Arial"/>
          <w:sz w:val="16"/>
          <w:szCs w:val="16"/>
          <w:color w:val="auto"/>
        </w:rPr>
        <w:t>continuation of Executive's group health insurance benefits on the same terms as during his employment until the sooner of one</w:t>
      </w:r>
    </w:p>
    <w:p>
      <w:pPr>
        <w:spacing w:after="0" w:line="38" w:lineRule="exact"/>
        <w:rPr>
          <w:rFonts w:ascii="Arial" w:cs="Arial" w:eastAsia="Arial" w:hAnsi="Arial"/>
          <w:sz w:val="16"/>
          <w:szCs w:val="16"/>
          <w:color w:val="auto"/>
        </w:rPr>
      </w:pPr>
    </w:p>
    <w:p>
      <w:pPr>
        <w:ind w:left="1080" w:right="80" w:firstLine="9"/>
        <w:spacing w:after="0" w:line="292" w:lineRule="auto"/>
        <w:tabs>
          <w:tab w:leader="none" w:pos="1329" w:val="left"/>
        </w:tabs>
        <w:numPr>
          <w:ilvl w:val="2"/>
          <w:numId w:val="30"/>
        </w:numPr>
        <w:rPr>
          <w:rFonts w:ascii="Arial" w:cs="Arial" w:eastAsia="Arial" w:hAnsi="Arial"/>
          <w:sz w:val="16"/>
          <w:szCs w:val="16"/>
          <w:color w:val="auto"/>
        </w:rPr>
      </w:pPr>
      <w:r>
        <w:rPr>
          <w:rFonts w:ascii="Arial" w:cs="Arial" w:eastAsia="Arial" w:hAnsi="Arial"/>
          <w:sz w:val="16"/>
          <w:szCs w:val="16"/>
          <w:color w:val="auto"/>
        </w:rPr>
        <w:t>year following the Separation Date or Executive's procurement of health care coverage through another employer (the "Benefits Continuation Period"), provided Company's insurance carrier allows for such benefits continuation. In the event Company's insurance carrier does not allow for such coverage continuation, Company agrees to pay the premiums required to continue Executive's group health care coverage during the Benefits Continuation Period, under the applicable provisions of the Consolidated Omnibus Budget Reconciliation Act of 1985 ("COBRA"), provided that Executive elects to continue and remains eligible for these benefits under COBRA.</w:t>
      </w:r>
    </w:p>
    <w:p>
      <w:pPr>
        <w:spacing w:after="0" w:line="170" w:lineRule="exact"/>
        <w:rPr>
          <w:rFonts w:ascii="Arial" w:cs="Arial" w:eastAsia="Arial" w:hAnsi="Arial"/>
          <w:sz w:val="16"/>
          <w:szCs w:val="16"/>
          <w:color w:val="auto"/>
        </w:rPr>
      </w:pPr>
    </w:p>
    <w:p>
      <w:pPr>
        <w:ind w:left="540" w:right="180" w:firstLine="360"/>
        <w:spacing w:after="0" w:line="268" w:lineRule="auto"/>
        <w:tabs>
          <w:tab w:leader="none" w:pos="1271"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Conditions to Receive Severance Package</w:t>
      </w:r>
      <w:r>
        <w:rPr>
          <w:rFonts w:ascii="Arial" w:cs="Arial" w:eastAsia="Arial" w:hAnsi="Arial"/>
          <w:sz w:val="18"/>
          <w:szCs w:val="18"/>
          <w:color w:val="auto"/>
        </w:rPr>
        <w:t>. Executive will receive the Severance Package described above only if he meets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conditions:</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3"/>
          <w:numId w:val="31"/>
        </w:numPr>
        <w:rPr>
          <w:rFonts w:ascii="Arial" w:cs="Arial" w:eastAsia="Arial" w:hAnsi="Arial"/>
          <w:sz w:val="18"/>
          <w:szCs w:val="18"/>
          <w:color w:val="auto"/>
        </w:rPr>
      </w:pPr>
      <w:r>
        <w:rPr>
          <w:rFonts w:ascii="Arial" w:cs="Arial" w:eastAsia="Arial" w:hAnsi="Arial"/>
          <w:sz w:val="18"/>
          <w:szCs w:val="18"/>
          <w:color w:val="auto"/>
        </w:rPr>
        <w:t>complies with all surviving provisions of this Agreement as specified in subsection 13.8 below; and</w:t>
      </w:r>
    </w:p>
    <w:p>
      <w:pPr>
        <w:spacing w:after="0" w:line="225" w:lineRule="exact"/>
        <w:rPr>
          <w:rFonts w:ascii="Arial" w:cs="Arial" w:eastAsia="Arial" w:hAnsi="Arial"/>
          <w:sz w:val="18"/>
          <w:szCs w:val="18"/>
          <w:color w:val="auto"/>
        </w:rPr>
      </w:pPr>
    </w:p>
    <w:p>
      <w:pPr>
        <w:ind w:left="1080" w:right="240" w:firstLine="360"/>
        <w:spacing w:after="0" w:line="259" w:lineRule="auto"/>
        <w:tabs>
          <w:tab w:leader="none" w:pos="1777" w:val="left"/>
        </w:tabs>
        <w:numPr>
          <w:ilvl w:val="3"/>
          <w:numId w:val="31"/>
        </w:numPr>
        <w:rPr>
          <w:rFonts w:ascii="Arial" w:cs="Arial" w:eastAsia="Arial" w:hAnsi="Arial"/>
          <w:sz w:val="18"/>
          <w:szCs w:val="18"/>
          <w:color w:val="auto"/>
        </w:rPr>
      </w:pPr>
      <w:r>
        <w:rPr>
          <w:rFonts w:ascii="Arial" w:cs="Arial" w:eastAsia="Arial" w:hAnsi="Arial"/>
          <w:sz w:val="18"/>
          <w:szCs w:val="18"/>
          <w:color w:val="auto"/>
        </w:rPr>
        <w:t>executes a full general release, in a form acceptable to Company, releasing all claims, known or unknown, that Executive may have against Company, and any parent, subsidiary or related entity, their officers, directors, employees and agents, arising out of or any way related to Employee's employment or termination of employment with Company.</w:t>
      </w:r>
    </w:p>
    <w:p>
      <w:pPr>
        <w:spacing w:after="0" w:line="194" w:lineRule="exact"/>
        <w:rPr>
          <w:rFonts w:ascii="Arial" w:cs="Arial" w:eastAsia="Arial" w:hAnsi="Arial"/>
          <w:sz w:val="18"/>
          <w:szCs w:val="18"/>
          <w:color w:val="auto"/>
        </w:rPr>
      </w:pPr>
    </w:p>
    <w:p>
      <w:pPr>
        <w:ind w:left="540" w:right="80" w:firstLine="360"/>
        <w:spacing w:after="0" w:line="283" w:lineRule="auto"/>
        <w:tabs>
          <w:tab w:leader="none" w:pos="12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if Executive is a "specified employee" within the meaning of Section 409A of the Internal Revenue Code of 1986, as amended (the "Code") and the related guidance ("Section 409A") at the time of Executive's separation from service, then only that portion of the Severance Package, together with any other severance payments or benefits, that may be considered deferred compensation under Section 409A, which (when considered together) do not exceed the Section 409A Limit (as defined below) and which qualify as separation pay under Treasury Regulation Section 1.409A-1(b)(9)(iii), may be paid within the first six</w:t>
      </w:r>
    </w:p>
    <w:p>
      <w:pPr>
        <w:spacing w:after="0" w:line="2" w:lineRule="exact"/>
        <w:rPr>
          <w:rFonts w:ascii="Arial" w:cs="Arial" w:eastAsia="Arial" w:hAnsi="Arial"/>
          <w:sz w:val="16"/>
          <w:szCs w:val="16"/>
          <w:color w:val="auto"/>
        </w:rPr>
      </w:pPr>
    </w:p>
    <w:p>
      <w:pPr>
        <w:ind w:left="540" w:right="60" w:firstLine="8"/>
        <w:spacing w:after="0" w:line="286" w:lineRule="auto"/>
        <w:tabs>
          <w:tab w:leader="none" w:pos="7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in accordance with Section 7.2(a) above or (for payments or benefits not provided under this Agreement) with the payment schedule applicable to each such other payment or benefit. Otherwise, the portion of the Severance Package, together with any other severance payments or benefits that may be considered deferred compensation under Section 409A, that would otherwise be payable within the six (6) month period following Executive's separation from service will be paid in a lump sum on the date six (6) months and one (1) day following the date of Executive's separation from service (or the next business day if such date is not business day). For purposes of this Agreement, "Section 409A Limit" means the lesser of two (2) times: (i) the sum of Executive's annualized compensation based upon the annual rate of pay for services provided to Company for the taxable year of Executive preceding the taxable year of Executive's separation from service from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78"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Resignation by Executive Without Good Reason</w:t>
      </w:r>
      <w:r>
        <w:rPr>
          <w:rFonts w:ascii="Arial" w:cs="Arial" w:eastAsia="Arial" w:hAnsi="Arial"/>
          <w:sz w:val="16"/>
          <w:szCs w:val="16"/>
          <w:color w:val="auto"/>
        </w:rPr>
        <w:t>. Executive may resign Executive's position with Company for any reason, at any time on thirty (30) days' advance written notice. In the event of Executive's resignation, Executive will be entitled to receive only the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91440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78" w:name="page79"/>
    <w:bookmarkEnd w:id="78"/>
    <w:p>
      <w:pPr>
        <w:ind w:right="340"/>
        <w:spacing w:after="0" w:line="332" w:lineRule="auto"/>
        <w:rPr>
          <w:sz w:val="20"/>
          <w:szCs w:val="20"/>
          <w:color w:val="auto"/>
        </w:rPr>
      </w:pPr>
      <w:r>
        <w:rPr>
          <w:rFonts w:ascii="Arial" w:cs="Arial" w:eastAsia="Arial" w:hAnsi="Arial"/>
          <w:sz w:val="16"/>
          <w:szCs w:val="16"/>
          <w:color w:val="auto"/>
        </w:rPr>
        <w:t>Entitlements and no other amount. All other Company obligations to Executive pursuant to this Agreement will become automatically terminated and completely extinguished. In addition, Executive will not be entitled to receive the Severance Package described in subsection 7.2 above.</w:t>
      </w:r>
    </w:p>
    <w:p>
      <w:pPr>
        <w:spacing w:after="0" w:line="13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i w:val="1"/>
          <w:iCs w:val="1"/>
          <w:color w:val="auto"/>
        </w:rPr>
        <w:t>Termination Upon A Change Of Control.</w:t>
      </w:r>
    </w:p>
    <w:p>
      <w:pPr>
        <w:spacing w:after="0" w:line="225" w:lineRule="exact"/>
        <w:rPr>
          <w:sz w:val="20"/>
          <w:szCs w:val="20"/>
          <w:color w:val="auto"/>
        </w:rPr>
      </w:pPr>
    </w:p>
    <w:p>
      <w:pPr>
        <w:ind w:left="540" w:firstLine="360"/>
        <w:spacing w:after="0" w:line="286" w:lineRule="auto"/>
        <w:tabs>
          <w:tab w:leader="none" w:pos="125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Accelerated Vesting Upon A Change Of Control</w:t>
      </w:r>
      <w:r>
        <w:rPr>
          <w:rFonts w:ascii="Arial" w:cs="Arial" w:eastAsia="Arial" w:hAnsi="Arial"/>
          <w:sz w:val="16"/>
          <w:szCs w:val="16"/>
          <w:color w:val="auto"/>
        </w:rPr>
        <w:t>. Upon the close of a transaction that constitutes a Change of Control (as that term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defined below), Company shall immediately accelerate vesting of 50% of any portion of the Option and 50% of the portion of any other outstanding equity awards that remain unvested. On the one (1)-year anniversary of such Change of Control or upon a "Triggering Event" (as defined below), whichever occurs sooner, the remaining unvested portion of the Option and any other outstanding equity awards shall immediately vest. For purposes of this subsection 7.4(a), a "Triggering Event" shall mean: (i) Executive's termination from employment by the Company without Cause; (ii) a material change in the nature of Executive's role or job responsibilities so that Executive's job duties and responsibilities after the Change of Control, when considered in their totality as a whole, are substantially different in nature from the job duties Executive performed immediately prior to the Change of Control; or (iii) the relocation of Executive' s principal place of work to a location more than thirty (30) miles from the location Executive was assigned to immediately prior to the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a Triggering Event described in clause (ii) or (iii) hereof, such condition shall not exist unless Executive provides written notice to Company within ninety (90) days of its initial existence and Company does not cure such condition within thirty (30) days from the date it receives such notice from Executive. In addition, no Triggering Event will be deemed to have occurred unless Executive separates from service within twelve (12) months from the date such Triggering Event initially occurs.</w:t>
      </w:r>
    </w:p>
    <w:p>
      <w:pPr>
        <w:spacing w:after="0" w:line="174" w:lineRule="exact"/>
        <w:rPr>
          <w:rFonts w:ascii="Arial" w:cs="Arial" w:eastAsia="Arial" w:hAnsi="Arial"/>
          <w:sz w:val="16"/>
          <w:szCs w:val="16"/>
          <w:color w:val="auto"/>
        </w:rPr>
      </w:pPr>
    </w:p>
    <w:p>
      <w:pPr>
        <w:ind w:left="540" w:right="120" w:firstLine="360"/>
        <w:spacing w:after="0" w:line="306" w:lineRule="auto"/>
        <w:tabs>
          <w:tab w:leader="none" w:pos="127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Continued Validity of Severance Package After A Change Of Control</w:t>
      </w:r>
      <w:r>
        <w:rPr>
          <w:rFonts w:ascii="Arial" w:cs="Arial" w:eastAsia="Arial" w:hAnsi="Arial"/>
          <w:sz w:val="16"/>
          <w:szCs w:val="16"/>
          <w:color w:val="auto"/>
        </w:rPr>
        <w:t>. In the event of a Change of Control, the termination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section 7 above shall remain in full force and effect and Executive shall continue to be entitled to receive the Severance Package described in subsection 7.2(a) above, provided Executive complies with all of the conditions described in subsection 7.2(b) above.</w:t>
      </w:r>
    </w:p>
    <w:p>
      <w:pPr>
        <w:spacing w:after="0" w:line="160" w:lineRule="exact"/>
        <w:rPr>
          <w:rFonts w:ascii="Arial" w:cs="Arial" w:eastAsia="Arial" w:hAnsi="Arial"/>
          <w:sz w:val="16"/>
          <w:szCs w:val="16"/>
          <w:color w:val="auto"/>
        </w:rPr>
      </w:pPr>
    </w:p>
    <w:p>
      <w:pPr>
        <w:ind w:left="540" w:right="140" w:firstLine="360"/>
        <w:spacing w:after="0" w:line="254" w:lineRule="auto"/>
        <w:tabs>
          <w:tab w:leader="none" w:pos="126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A "Change of Control" is defined as any one of the following occurrences: (i) the acquisition by an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or a group of individuals or entities acting in concert, directly or indirectly, through one transaction or a series of related transaction, of more than 50% of the outstanding voting securities of Company; (ii) a merger or consolidation of Company with or into another entity after which the stockholders of Company immediately prior to such transaction hold less than 50% of the voting securities of the surviving entity; (iii) a sale of all or substantially all of the assets of Company; or (iv) the change in the majority of the Board of Directors pursuant to a successful hostile proxy contest.</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Termination Due to Death or Disability</w:t>
      </w:r>
      <w:r>
        <w:rPr>
          <w:rFonts w:ascii="Arial" w:cs="Arial" w:eastAsia="Arial" w:hAnsi="Arial"/>
          <w:sz w:val="16"/>
          <w:szCs w:val="16"/>
          <w:color w:val="auto"/>
        </w:rPr>
        <w:t>. This Agreement will immediately terminate upon Executive's death or Disability (as defined below). In the event of Executive's death or Disability, Executive, or Executive's heirs, personal representatives or estate, as the case may be, will be entitled to receive only the Standard Entitlements and those benefits available under any applicable Company plan or insurance policy, subject to such plan or policy requirements. All other Company obligations to Executive pursuant to this Agreement will become automatically terminated and completely extinguished. In addition, neither Executive nor Executive's heirs, personal representatives or estate will be entitled to receive the Severance Package described in subsection 7.2. For purposes of this Agreement, "Disability" shall be defined as Executive's inability to perform the essential functions of his job, with or without reasonable accommodation, due to a mental or physical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113030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79" w:name="page80"/>
    <w:bookmarkEnd w:id="79"/>
    <w:p>
      <w:pPr>
        <w:spacing w:after="0"/>
        <w:tabs>
          <w:tab w:leader="none" w:pos="3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5"/>
          <w:szCs w:val="15"/>
          <w:i w:val="1"/>
          <w:iCs w:val="1"/>
          <w:color w:val="auto"/>
        </w:rPr>
        <w:t>Parachute Payment Excise Tax.</w:t>
      </w:r>
    </w:p>
    <w:p>
      <w:pPr>
        <w:spacing w:after="0" w:line="225" w:lineRule="exact"/>
        <w:rPr>
          <w:sz w:val="20"/>
          <w:szCs w:val="20"/>
          <w:color w:val="auto"/>
        </w:rPr>
      </w:pPr>
    </w:p>
    <w:p>
      <w:pPr>
        <w:ind w:left="180" w:firstLine="360"/>
        <w:spacing w:after="0" w:line="288" w:lineRule="auto"/>
        <w:tabs>
          <w:tab w:leader="none" w:pos="8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to Executive for Executive's benefit, paid or payable or distributed or distributable pursuant to the terms of this Agreement or otherwise in connection with, or arising out of, the Executive's employment with Company or a Change of Control (a "Payment" or "Payments"), would be subject to the excise tax imposed by Code Section 4999, or any interest or penalties are incurred by Executive with respect to such excise tax (such excise tax, together with any such interest and penalties, are hereinafter collectively referred to as the "Excise Tax"), then Executive will be entitled to receive an additional payment (a "Gross-Up Payment") in an amount such that after payment by Executive of all taxes (including any interest or penalties (other than interest and penalties imposed by reason of Executive's failure to file timely a tax return or pay taxes shown due on Executive's return) imposed with respect to such taxes and the Excise Tax), including any Excise Tax imposed upon the Gross-Up Payment, Executive retains an amount of the Gross-Up Payment equal to the Excise Tax imposed upon the Payments.</w:t>
      </w:r>
    </w:p>
    <w:p>
      <w:pPr>
        <w:spacing w:after="0" w:line="173" w:lineRule="exact"/>
        <w:rPr>
          <w:rFonts w:ascii="Arial" w:cs="Arial" w:eastAsia="Arial" w:hAnsi="Arial"/>
          <w:sz w:val="16"/>
          <w:szCs w:val="16"/>
          <w:color w:val="auto"/>
        </w:rPr>
      </w:pPr>
    </w:p>
    <w:p>
      <w:pPr>
        <w:ind w:left="180" w:right="180" w:firstLine="360"/>
        <w:spacing w:after="0" w:line="289" w:lineRule="auto"/>
        <w:tabs>
          <w:tab w:leader="none" w:pos="8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initial determination as to whether a Gross-Up Payment is required pursuant to this Agreement and the amount of such Gross-Up Payment shall be made by Company. Company shall provide its determination (the "Determination"), together with detailed supporting calculations and documentation, to Executive within fifteen (15) days of the date of Executive's termination, if applicable, or such other time as requested by Executive (provided Executive reasonably believes that any of the Payments may be subject to the Excise Tax). If requested by the Executive, Company shall furnish Executive, at Company's expense, with an opinion reasonably acceptable to Executive from Company's accounting firm (or an accounting firm of equivalent stature reasonably acceptable to Executive) that there is a reasonable basis for the Determination. Any Gross-Up Payment determined pursuant to this paragraph 6 shall be paid by Company to Executive within five (5) days of receipt of the Determination.</w:t>
      </w:r>
    </w:p>
    <w:p>
      <w:pPr>
        <w:spacing w:after="0" w:line="172" w:lineRule="exact"/>
        <w:rPr>
          <w:rFonts w:ascii="Arial" w:cs="Arial" w:eastAsia="Arial" w:hAnsi="Arial"/>
          <w:sz w:val="16"/>
          <w:szCs w:val="16"/>
          <w:color w:val="auto"/>
        </w:rPr>
      </w:pPr>
    </w:p>
    <w:p>
      <w:pPr>
        <w:ind w:left="180" w:right="120" w:firstLine="360"/>
        <w:spacing w:after="0" w:line="259" w:lineRule="auto"/>
        <w:tabs>
          <w:tab w:leader="none" w:pos="8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w:t>
      </w:r>
    </w:p>
    <w:p>
      <w:pPr>
        <w:spacing w:after="0" w:line="194" w:lineRule="exact"/>
        <w:rPr>
          <w:rFonts w:ascii="Arial" w:cs="Arial" w:eastAsia="Arial" w:hAnsi="Arial"/>
          <w:sz w:val="18"/>
          <w:szCs w:val="18"/>
          <w:color w:val="auto"/>
        </w:rPr>
      </w:pPr>
    </w:p>
    <w:p>
      <w:pPr>
        <w:ind w:left="180" w:firstLine="360"/>
        <w:spacing w:after="0" w:line="288" w:lineRule="auto"/>
        <w:tabs>
          <w:tab w:leader="none" w:pos="8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Underpayment shall be deemed to have occurred (A) upon notice (formal or informal) to Executive from any governmental taxing authority that Executive's tax liability (whether in respect of Executive's current taxable year or in respect of any prior taxable year) may be increased by reason of the imposition of the Excise Tax on a Payment or Payments with respect to which Company has failed to make a sufficient Gross-Up Payment, (B) upon a determination by a court, or (C) by reason of determination by Company (which shall include the position taken by Company, together with its consolidated group, on its federal income tax return). If an Underpayment occurs, Executive shall promptly notify Company and Company shall promptly, but in any event at least five (5) days prior to the date on which the applicable government taxing authority has requested payment, pay to Executive an additional Gross-Up Payment equal to the amount of the Underpayment plus any interest and penalties (other than interest and penalties imposed by reason of Executive's failure to file timely a tax return or pay taxes shown due on Executive's return) imposed on the Underpayment.</w:t>
      </w:r>
    </w:p>
    <w:p>
      <w:pPr>
        <w:spacing w:after="0" w:line="173" w:lineRule="exact"/>
        <w:rPr>
          <w:rFonts w:ascii="Arial" w:cs="Arial" w:eastAsia="Arial" w:hAnsi="Arial"/>
          <w:sz w:val="16"/>
          <w:szCs w:val="16"/>
          <w:color w:val="auto"/>
        </w:rPr>
      </w:pPr>
    </w:p>
    <w:p>
      <w:pPr>
        <w:ind w:left="180" w:firstLine="360"/>
        <w:spacing w:after="0" w:line="254" w:lineRule="auto"/>
        <w:tabs>
          <w:tab w:leader="none" w:pos="8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Excess Payment shall be deemed to have occurred upon a Final Determination (as hereinafter defined) that the Excise Tax shall not be imposed upon a Payment or Payments (or portion thereof) with respect to which Executive had previously received a Gross-Up Payment. A "Final Determination" shall be deemed to have occurred when Executive has received from the applicable government taxing authority a refund of taxes or other reduction in Executive's tax liability by reason of the Excise Payment and upon either (A) the date a determination is made by, or an agreement is entered into with, the applicable governmental taxing authority which finally and conclusively binds Executive and such taxing authority,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128905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40" w:top="131" w:right="259" w:bottom="1440" w:gutter="0" w:footer="0" w:header="0"/>
        </w:sectPr>
      </w:pPr>
    </w:p>
    <w:bookmarkStart w:id="80" w:name="page81"/>
    <w:bookmarkEnd w:id="80"/>
    <w:p>
      <w:pPr>
        <w:ind w:left="721" w:right="120"/>
        <w:spacing w:after="0" w:line="294" w:lineRule="auto"/>
        <w:rPr>
          <w:sz w:val="20"/>
          <w:szCs w:val="20"/>
          <w:color w:val="auto"/>
        </w:rPr>
      </w:pPr>
      <w:r>
        <w:rPr>
          <w:rFonts w:ascii="Arial" w:cs="Arial" w:eastAsia="Arial" w:hAnsi="Arial"/>
          <w:sz w:val="16"/>
          <w:szCs w:val="16"/>
          <w:color w:val="auto"/>
        </w:rPr>
        <w:t>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to Executive's applicable tax return has expired. If an Excess Payment is determined to have been made, the amount of the Excess Payment shall be repaid by Executive to Company unless, and only to the extent that, the repayment would either reduce the amount on which Executive is subject to tax under Code Section 4999 or generate a refund of tax imposed under Code Section 4999.</w:t>
      </w:r>
    </w:p>
    <w:p>
      <w:pPr>
        <w:spacing w:after="0" w:line="170" w:lineRule="exact"/>
        <w:rPr>
          <w:sz w:val="20"/>
          <w:szCs w:val="20"/>
          <w:color w:val="auto"/>
        </w:rPr>
      </w:pPr>
    </w:p>
    <w:p>
      <w:pPr>
        <w:ind w:left="721" w:right="80" w:firstLine="360"/>
        <w:spacing w:after="0" w:line="306" w:lineRule="auto"/>
        <w:tabs>
          <w:tab w:leader="none" w:pos="1423"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Notwithstanding anything contained in this Agreement to the contrary, in the event that, according to the Determination, an Excise Tax will be imposed on any Payment or Payments, Company shall pay to the applicable government taxing authorities, as Excise Tax withholding, the amount of the Excise Tax that Company has actually withheld from the Payment or Payments.</w:t>
      </w:r>
    </w:p>
    <w:p>
      <w:pPr>
        <w:spacing w:after="0" w:line="160" w:lineRule="exact"/>
        <w:rPr>
          <w:rFonts w:ascii="Arial" w:cs="Arial" w:eastAsia="Arial" w:hAnsi="Arial"/>
          <w:sz w:val="16"/>
          <w:szCs w:val="16"/>
          <w:color w:val="auto"/>
        </w:rPr>
      </w:pPr>
    </w:p>
    <w:p>
      <w:pPr>
        <w:ind w:left="-359" w:firstLine="359"/>
        <w:spacing w:after="0" w:line="287" w:lineRule="auto"/>
        <w:tabs>
          <w:tab w:leader="none" w:pos="29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No Conflict of Interest</w:t>
      </w:r>
      <w:r>
        <w:rPr>
          <w:rFonts w:ascii="Arial" w:cs="Arial" w:eastAsia="Arial" w:hAnsi="Arial"/>
          <w:sz w:val="16"/>
          <w:szCs w:val="16"/>
          <w:color w:val="auto"/>
        </w:rPr>
        <w:t>. During Executive's employment with Company and during any period Executive is receiving payments from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this Agreement, Executive must not engage in any work, paid or unpaid, that creates an actual conflict of interest with Company. Such work shall include, but is not limited to, directly or indirectly competing with Company in any way, or acting as an officer, director, employee, consultant, stockholder, volunteer, lender, or agent of any business enterprise of the same nature as, or which is in direct competition with, the business in which Company is now engaged or in which Company becomes engaged during Executive's employment with Company, as may be determined by the Board of Directors in its sole discretion. If the Board of Directors believes such a conflict exists during Executive's employment, the Board of Directors may ask Executive to choose to discontinue the other work or resign employment with Company. If the Board of Directors believes such a conflict exists during any period in which Executive is receiving payments pursuant to this Agreement, the Board of Directors may ask Executive to choose to discontinue the other work or forfeit the remaining severance payments. In addition, Executive agrees not to refer any client or potential client of Company to competitors of Company, without obtaining Company's prior written consent, during Executive's employment and during any period in which Executive is receiving payments from Company pursuant to this Agreement.</w:t>
      </w:r>
    </w:p>
    <w:p>
      <w:pPr>
        <w:spacing w:after="0" w:line="176" w:lineRule="exact"/>
        <w:rPr>
          <w:rFonts w:ascii="Arial" w:cs="Arial" w:eastAsia="Arial" w:hAnsi="Arial"/>
          <w:sz w:val="16"/>
          <w:szCs w:val="16"/>
          <w:color w:val="auto"/>
        </w:rPr>
      </w:pPr>
    </w:p>
    <w:p>
      <w:pPr>
        <w:ind w:left="-359" w:right="220" w:firstLine="359"/>
        <w:spacing w:after="0" w:line="268" w:lineRule="auto"/>
        <w:tabs>
          <w:tab w:leader="none" w:pos="29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Confidentiality and Proprietary Rights</w:t>
      </w:r>
      <w:r>
        <w:rPr>
          <w:rFonts w:ascii="Arial" w:cs="Arial" w:eastAsia="Arial" w:hAnsi="Arial"/>
          <w:sz w:val="18"/>
          <w:szCs w:val="18"/>
          <w:color w:val="auto"/>
        </w:rPr>
        <w:t>. Executive agrees to read, sign and abide by Company's standard form of confidentiality agreement,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with this Agreement and incorporated herein by reference.</w:t>
      </w:r>
    </w:p>
    <w:p>
      <w:pPr>
        <w:spacing w:after="0" w:line="185" w:lineRule="exact"/>
        <w:rPr>
          <w:rFonts w:ascii="Arial" w:cs="Arial" w:eastAsia="Arial" w:hAnsi="Arial"/>
          <w:sz w:val="18"/>
          <w:szCs w:val="18"/>
          <w:color w:val="auto"/>
        </w:rPr>
      </w:pPr>
    </w:p>
    <w:p>
      <w:pPr>
        <w:ind w:left="-359" w:right="80" w:firstLine="359"/>
        <w:spacing w:after="0" w:line="290" w:lineRule="auto"/>
        <w:tabs>
          <w:tab w:leader="none" w:pos="387"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Executive understands and agrees that Company's employees and customers and any information regarding Company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and/or customers is confidential and constitutes trade secrets. Accordingly, Executive agrees that during his employment and for a period of one (1) year after the termination of his employment, Executive will not, either directly or indirectly, separately or in association with others: (a) interfere with, impair, disrupt or damage Company's relationship with any of its customers or customer prospects by soliciting or encouraging others to solicit any of them for the purpose of diverting or taking away business from Company; or (b) directly or indirectly, separately or in association with others, interfere with, impair, disrupt or damage Company's business by soliciting, encouraging or attempting to hire any of Company's employees or causing others to solicit or encourage any of Company's employees to discontinue their employment with Company.</w:t>
      </w:r>
    </w:p>
    <w:p>
      <w:pPr>
        <w:spacing w:after="0" w:line="172" w:lineRule="exact"/>
        <w:rPr>
          <w:rFonts w:ascii="Arial" w:cs="Arial" w:eastAsia="Arial" w:hAnsi="Arial"/>
          <w:sz w:val="16"/>
          <w:szCs w:val="16"/>
          <w:color w:val="auto"/>
        </w:rPr>
      </w:pPr>
    </w:p>
    <w:p>
      <w:pPr>
        <w:jc w:val="both"/>
        <w:ind w:left="-359" w:right="20" w:firstLine="359"/>
        <w:spacing w:after="0" w:line="306"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Injunctive Relief</w:t>
      </w:r>
      <w:r>
        <w:rPr>
          <w:rFonts w:ascii="Arial" w:cs="Arial" w:eastAsia="Arial" w:hAnsi="Arial"/>
          <w:sz w:val="16"/>
          <w:szCs w:val="16"/>
          <w:color w:val="auto"/>
        </w:rPr>
        <w:t>. Executive acknowledges that his breach of the covenants contained in sections 8-10 would cause irreparable injury to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that in the event of any such breach, Company shall be entitled to seek temporary, preliminary and permanent injunctive relief, to the extent allowed under the California Arbitration Act, without the necessity of proving actual damages or posting any bond or 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105410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590" w:right="239" w:bottom="1440" w:gutter="0" w:footer="0" w:header="0"/>
        </w:sectPr>
      </w:pPr>
    </w:p>
    <w:bookmarkStart w:id="81" w:name="page82"/>
    <w:bookmarkEnd w:id="81"/>
    <w:p>
      <w:pPr>
        <w:ind w:left="401" w:hanging="401"/>
        <w:spacing w:after="0"/>
        <w:tabs>
          <w:tab w:leader="none" w:pos="40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Agreement to Arbitrate.</w:t>
      </w:r>
    </w:p>
    <w:p>
      <w:pPr>
        <w:spacing w:after="0" w:line="225" w:lineRule="exact"/>
        <w:rPr>
          <w:sz w:val="20"/>
          <w:szCs w:val="20"/>
          <w:color w:val="auto"/>
        </w:rPr>
      </w:pPr>
    </w:p>
    <w:p>
      <w:pPr>
        <w:ind w:left="181" w:firstLine="351"/>
        <w:spacing w:after="0" w:line="28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Scope</w:t>
      </w:r>
      <w:r>
        <w:rPr>
          <w:rFonts w:ascii="Arial" w:cs="Arial" w:eastAsia="Arial" w:hAnsi="Arial"/>
          <w:sz w:val="16"/>
          <w:szCs w:val="16"/>
          <w:color w:val="auto"/>
        </w:rPr>
        <w:t>. To the fullest extent permitted by law, Executive and Company agree to arbitrate any controversy, claim or dispute between them arising out of or in any way related to this Agreement, the employment relationship between Company and Executive and any disputes upon termination of employment, including but not limited to breach of contract, tort, discrimination, harassment, wrongful termination, demotion, discipline, failure to accommodate, family and medical leave, compensation or benefits claims, constitutional claims; and any claims for violation of any local, state or federal law, statute, regulation or ordinance or common law. For the purpose of this agreement to arbitrate, references to "Company" include all parent, subsidiary or related entities and their employees, supervisors, officers, directors, agents, pension or benefit plans, pension or benefit plan sponsors, fiduciaries, administrators, affiliates and all successors and assigns of any of them, and this agreement to arbitrate shall apply to them to the extent Executive's claims arise out of or relate to their actions on behalf of Company.</w:t>
      </w:r>
    </w:p>
    <w:p>
      <w:pPr>
        <w:spacing w:after="0" w:line="172" w:lineRule="exact"/>
        <w:rPr>
          <w:sz w:val="20"/>
          <w:szCs w:val="20"/>
          <w:color w:val="auto"/>
        </w:rPr>
      </w:pPr>
    </w:p>
    <w:p>
      <w:pPr>
        <w:ind w:left="181" w:firstLine="351"/>
        <w:spacing w:after="0" w:line="28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Arbitration Procedure</w:t>
      </w:r>
      <w:r>
        <w:rPr>
          <w:rFonts w:ascii="Arial" w:cs="Arial" w:eastAsia="Arial" w:hAnsi="Arial"/>
          <w:sz w:val="16"/>
          <w:szCs w:val="16"/>
          <w:color w:val="auto"/>
        </w:rPr>
        <w:t>. Either party may exercise the right to arbitrate by providing the other party with written notice of any and all claims forming the basis of such right in sufficient detail to inform the other party of the substance of such claims. In no event shall the request for arbitration be made after the date when institution of legal or equitable proceedings based on such claims would be barred by the applicable statute of limitations. The arbitration will be conducted in San Diego, California by a single neutral arbitrator and in accordance with the then current rules for resolution of employment disputes of the American Arbitration Association ("AAA"). The parties are entitled to representation by an attorney or other representative of their choosing. The arbitrator shall have the power to enter any award that could be entered by a judge of the trial court of the State of California, and only such power, and shall follow the law. The parties agree to abide by and perform any award rendered by the arbitrator. The arbitrator shall issue the award in writing and therein state the essential findings and conclusions on which the award is based. Judgment on the award may be entered in any court having jurisdiction thereof. Company shall bear the costs of the arbitration filing and hearing fees and the cost of the arbitrator.</w:t>
      </w:r>
    </w:p>
    <w:p>
      <w:pPr>
        <w:spacing w:after="0" w:line="174" w:lineRule="exact"/>
        <w:rPr>
          <w:sz w:val="20"/>
          <w:szCs w:val="20"/>
          <w:color w:val="auto"/>
        </w:rPr>
      </w:pPr>
    </w:p>
    <w:p>
      <w:pPr>
        <w:ind w:left="401" w:hanging="401"/>
        <w:spacing w:after="0"/>
        <w:tabs>
          <w:tab w:leader="none" w:pos="40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General Provisions.</w:t>
      </w:r>
    </w:p>
    <w:p>
      <w:pPr>
        <w:spacing w:after="0" w:line="225" w:lineRule="exact"/>
        <w:rPr>
          <w:sz w:val="20"/>
          <w:szCs w:val="20"/>
          <w:color w:val="auto"/>
        </w:rPr>
      </w:pPr>
    </w:p>
    <w:p>
      <w:pPr>
        <w:ind w:left="181" w:right="20" w:firstLine="351"/>
        <w:spacing w:after="0" w:line="33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i w:val="1"/>
          <w:iCs w:val="1"/>
          <w:color w:val="auto"/>
        </w:rPr>
        <w:t>Successors and Assigns</w:t>
      </w:r>
      <w:r>
        <w:rPr>
          <w:rFonts w:ascii="Arial" w:cs="Arial" w:eastAsia="Arial" w:hAnsi="Arial"/>
          <w:sz w:val="16"/>
          <w:szCs w:val="16"/>
          <w:color w:val="auto"/>
        </w:rPr>
        <w:t>. The rights and obligations of Company under this Agreement shall inure to the benefit of and shall be binding upon the successors and assigns of Company. Executive shall not be entitled to assign any of Executive's rights or obligations under this Agreement.</w:t>
      </w:r>
    </w:p>
    <w:p>
      <w:pPr>
        <w:spacing w:after="0" w:line="139" w:lineRule="exact"/>
        <w:rPr>
          <w:sz w:val="20"/>
          <w:szCs w:val="20"/>
          <w:color w:val="auto"/>
        </w:rPr>
      </w:pPr>
    </w:p>
    <w:p>
      <w:pPr>
        <w:ind w:left="181" w:right="720" w:firstLine="351"/>
        <w:spacing w:after="0" w:line="26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86" w:lineRule="exact"/>
        <w:rPr>
          <w:sz w:val="20"/>
          <w:szCs w:val="20"/>
          <w:color w:val="auto"/>
        </w:rPr>
      </w:pPr>
    </w:p>
    <w:p>
      <w:pPr>
        <w:ind w:left="181" w:right="160" w:firstLine="351"/>
        <w:spacing w:after="0" w:line="268"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Attorneys' Fees</w:t>
      </w:r>
      <w:r>
        <w:rPr>
          <w:rFonts w:ascii="Arial" w:cs="Arial" w:eastAsia="Arial" w:hAnsi="Arial"/>
          <w:sz w:val="18"/>
          <w:szCs w:val="18"/>
          <w:color w:val="auto"/>
        </w:rPr>
        <w:t>. Each side will bear its own attorneys' fees in any dispute unless a statutory section at issue, if any, authorizes the award of attorneys' fees to the prevailing party.</w:t>
      </w:r>
    </w:p>
    <w:p>
      <w:pPr>
        <w:spacing w:after="0" w:line="186" w:lineRule="exact"/>
        <w:rPr>
          <w:sz w:val="20"/>
          <w:szCs w:val="20"/>
          <w:color w:val="auto"/>
        </w:rPr>
      </w:pPr>
    </w:p>
    <w:p>
      <w:pPr>
        <w:ind w:left="181" w:right="200" w:firstLine="351"/>
        <w:spacing w:after="0" w:line="255"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97" w:lineRule="exact"/>
        <w:rPr>
          <w:sz w:val="20"/>
          <w:szCs w:val="20"/>
          <w:color w:val="auto"/>
        </w:rPr>
      </w:pPr>
    </w:p>
    <w:p>
      <w:pPr>
        <w:ind w:left="181" w:right="20" w:firstLine="351"/>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i w:val="1"/>
          <w:iCs w:val="1"/>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This Agreement has been drafted by legal counsel representing Company, but Executive has participated in the negotiation of its terms. Furthermore, Executive acknowledges that Executive has had an opportunity to review and revise the Agreement and have it reviewed by legal counsel, if desired, and, therefore,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128270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131" w:right="259" w:bottom="1440" w:gutter="0" w:footer="0" w:header="0"/>
        </w:sectPr>
      </w:pPr>
    </w:p>
    <w:bookmarkStart w:id="82" w:name="page83"/>
    <w:bookmarkEnd w:id="82"/>
    <w:p>
      <w:pPr>
        <w:ind w:left="540"/>
        <w:spacing w:after="0" w:line="268" w:lineRule="auto"/>
        <w:rPr>
          <w:sz w:val="20"/>
          <w:szCs w:val="20"/>
          <w:color w:val="auto"/>
        </w:rPr>
      </w:pPr>
      <w:r>
        <w:rPr>
          <w:rFonts w:ascii="Arial" w:cs="Arial" w:eastAsia="Arial" w:hAnsi="Arial"/>
          <w:sz w:val="18"/>
          <w:szCs w:val="18"/>
          <w:color w:val="auto"/>
        </w:rPr>
        <w:t>normal rule of construction to the effect that any ambiguities are to be resolved against the drafting party shall not be employed in the interpretation of this Agreement.</w:t>
      </w:r>
    </w:p>
    <w:p>
      <w:pPr>
        <w:spacing w:after="0" w:line="186" w:lineRule="exact"/>
        <w:rPr>
          <w:sz w:val="20"/>
          <w:szCs w:val="20"/>
          <w:color w:val="auto"/>
        </w:rPr>
      </w:pPr>
    </w:p>
    <w:p>
      <w:pPr>
        <w:ind w:left="540" w:right="300" w:firstLine="351"/>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will be governed by and construed in accordance with the laws of the United States and the State of California. Each party consents to the jurisdiction and venue of the state or federal courts in San Diego, California, if applicable, in any action, suit, or proceeding arising out of or relating to this Agreement.</w:t>
      </w:r>
    </w:p>
    <w:p>
      <w:pPr>
        <w:spacing w:after="0" w:line="194" w:lineRule="exact"/>
        <w:rPr>
          <w:sz w:val="20"/>
          <w:szCs w:val="20"/>
          <w:color w:val="auto"/>
        </w:rPr>
      </w:pPr>
    </w:p>
    <w:p>
      <w:pPr>
        <w:jc w:val="both"/>
        <w:ind w:left="540" w:right="60" w:firstLine="351"/>
        <w:spacing w:after="0" w:line="298"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i w:val="1"/>
          <w:iCs w:val="1"/>
          <w:color w:val="auto"/>
        </w:rPr>
        <w:t>Notices</w:t>
      </w:r>
      <w:r>
        <w:rPr>
          <w:rFonts w:ascii="Arial" w:cs="Arial" w:eastAsia="Arial" w:hAnsi="Arial"/>
          <w:sz w:val="16"/>
          <w:szCs w:val="16"/>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or facsimile transmission upon acknowledgment of receipt of electronic transmission; or (d) by certified or registered mail, return receipt requested, upon verification of receipt. Notice shall be sent to the addresses set forth below, or such other address as either party may specify in writing.</w:t>
      </w:r>
    </w:p>
    <w:p>
      <w:pPr>
        <w:spacing w:after="0" w:line="167" w:lineRule="exact"/>
        <w:rPr>
          <w:sz w:val="20"/>
          <w:szCs w:val="20"/>
          <w:color w:val="auto"/>
        </w:rPr>
      </w:pPr>
    </w:p>
    <w:p>
      <w:pPr>
        <w:ind w:left="540" w:right="80" w:firstLine="351"/>
        <w:spacing w:after="0" w:line="259"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i w:val="1"/>
          <w:iCs w:val="1"/>
          <w:color w:val="auto"/>
        </w:rPr>
        <w:t>Survival</w:t>
      </w:r>
      <w:r>
        <w:rPr>
          <w:rFonts w:ascii="Arial" w:cs="Arial" w:eastAsia="Arial" w:hAnsi="Arial"/>
          <w:sz w:val="18"/>
          <w:szCs w:val="18"/>
          <w:color w:val="auto"/>
        </w:rPr>
        <w:t>. Sections 8 ("No Conflict of Interest"), 9 ("Confidentiality and Proprietary Rights"), 10 ("Nonsolicitation"), 11 ("Injunctive Relief"), 12 ("Agreement to Arbitrate"), 13 ("General Provisions") and 14 ("Entire Agreement") of this Agreement shall survive Executive's employment by Company.</w:t>
      </w:r>
    </w:p>
    <w:p>
      <w:pPr>
        <w:spacing w:after="0" w:line="194" w:lineRule="exact"/>
        <w:rPr>
          <w:sz w:val="20"/>
          <w:szCs w:val="20"/>
          <w:color w:val="auto"/>
        </w:rPr>
      </w:pPr>
    </w:p>
    <w:p>
      <w:pPr>
        <w:ind w:left="540" w:right="100" w:firstLine="351"/>
        <w:spacing w:after="0" w:line="289"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i w:val="1"/>
          <w:iCs w:val="1"/>
          <w:color w:val="auto"/>
        </w:rPr>
        <w:t>Code Section 409A</w:t>
      </w:r>
      <w:r>
        <w:rPr>
          <w:rFonts w:ascii="Arial" w:cs="Arial" w:eastAsia="Arial" w:hAnsi="Arial"/>
          <w:sz w:val="16"/>
          <w:szCs w:val="16"/>
          <w:color w:val="auto"/>
        </w:rPr>
        <w:t>. This Agreement is intended to comply with Code Section 409A (as amplified by any Internal Revenue Service or U.S. Treasury Department guidance), and shall be construed and interpreted in accordance with such intent. Executive and Company acknowledge that Executive and Company intend that the compensation arrangements set forth in this Agreement are in compliance with Section 409A, and Executive and Company agree to cooperate with one another, to the extent reasonably requested by the other party, to restructure any compensation set forth in this Agreement in a manner, if possible and without any increase in cost to Company, such that no earlier and/or additional taxes to Executive or Company will arise under Section 409A.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w:t>
      </w:r>
    </w:p>
    <w:p>
      <w:pPr>
        <w:spacing w:after="0" w:line="172" w:lineRule="exact"/>
        <w:rPr>
          <w:sz w:val="20"/>
          <w:szCs w:val="20"/>
          <w:color w:val="auto"/>
        </w:rPr>
      </w:pPr>
    </w:p>
    <w:p>
      <w:pPr>
        <w:ind w:left="760" w:hanging="401"/>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including Company's standard form of confidentiality agreement incorporated herein by reference and</w:t>
      </w:r>
    </w:p>
    <w:p>
      <w:pPr>
        <w:spacing w:after="0" w:line="38" w:lineRule="exact"/>
        <w:rPr>
          <w:rFonts w:ascii="Arial" w:cs="Arial" w:eastAsia="Arial" w:hAnsi="Arial"/>
          <w:sz w:val="16"/>
          <w:szCs w:val="16"/>
          <w:color w:val="auto"/>
        </w:rPr>
      </w:pPr>
    </w:p>
    <w:p>
      <w:pPr>
        <w:jc w:val="both"/>
        <w:ind w:right="80"/>
        <w:spacing w:after="0" w:line="295" w:lineRule="auto"/>
        <w:rPr>
          <w:rFonts w:ascii="Arial" w:cs="Arial" w:eastAsia="Arial" w:hAnsi="Arial"/>
          <w:sz w:val="16"/>
          <w:szCs w:val="16"/>
          <w:color w:val="auto"/>
        </w:rPr>
      </w:pPr>
      <w:r>
        <w:rPr>
          <w:rFonts w:ascii="Arial" w:cs="Arial" w:eastAsia="Arial" w:hAnsi="Arial"/>
          <w:sz w:val="16"/>
          <w:szCs w:val="16"/>
          <w:color w:val="auto"/>
        </w:rPr>
        <w:t>Company's 1999 Equity Incentive Plan and related option documents described in subsection 4.3 of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Board of Directors of Company. No oral waiver, amendment or modification will be effective under any circumstances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3" w:name="page84"/>
    <w:bookmarkEnd w:id="83"/>
    <w:p>
      <w:pPr>
        <w:spacing w:after="0" w:line="339" w:lineRule="auto"/>
        <w:rPr>
          <w:sz w:val="20"/>
          <w:szCs w:val="20"/>
          <w:color w:val="auto"/>
        </w:rPr>
      </w:pPr>
      <w:r>
        <w:rPr>
          <w:rFonts w:ascii="Arial" w:cs="Arial" w:eastAsia="Arial" w:hAnsi="Arial"/>
          <w:sz w:val="16"/>
          <w:szCs w:val="16"/>
          <w:b w:val="1"/>
          <w:bCs w:val="1"/>
          <w:color w:val="auto"/>
        </w:rPr>
        <w:t>THE PARTIES TO THIS AGREEMENT HAVE READ THE FOREGOING AGREEMENT AND FULLY UNDERSTAND EACH AND EVERY PROVISION CONTAINED HEREIN. WHEREFORE, THE PARTIES HAVE EXECUTED THIS AGREEMENT ON THE DATES SHOWN BELOW.</w:t>
      </w:r>
    </w:p>
    <w:p>
      <w:pPr>
        <w:spacing w:after="0" w:line="12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Eric DeMarco</w:t>
      </w:r>
    </w:p>
    <w:p>
      <w:pPr>
        <w:spacing w:after="0" w:line="23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71120</wp:posOffset>
            </wp:positionV>
            <wp:extent cx="20840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31" w:lineRule="exact"/>
        <w:rPr>
          <w:sz w:val="20"/>
          <w:szCs w:val="20"/>
          <w:color w:val="auto"/>
        </w:rPr>
      </w:pPr>
    </w:p>
    <w:p>
      <w:pPr>
        <w:ind w:left="2580"/>
        <w:spacing w:after="0"/>
        <w:tabs>
          <w:tab w:leader="none" w:pos="5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71120</wp:posOffset>
            </wp:positionV>
            <wp:extent cx="18180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Exhibit 10.3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EXECUTIVE EMPLOYMENT AGREEMENT Amended and Restated as of August 4, 2008</w:t>
        </w:r>
      </w:hyperlink>
    </w:p>
    <w:p>
      <w:pPr>
        <w:sectPr>
          <w:pgSz w:w="11900" w:h="16838" w:orient="portrait"/>
          <w:cols w:equalWidth="0" w:num="1">
            <w:col w:w="10219"/>
          </w:cols>
          <w:pgMar w:left="240" w:top="820" w:right="1440" w:bottom="1440" w:gutter="0" w:footer="0" w:header="0"/>
        </w:sectPr>
      </w:pPr>
    </w:p>
    <w:bookmarkStart w:id="85" w:name="page86"/>
    <w:bookmarkEnd w:id="85"/>
    <w:p>
      <w:pPr>
        <w:spacing w:after="0"/>
        <w:rPr>
          <w:rFonts w:ascii="Arial" w:cs="Arial" w:eastAsia="Arial" w:hAnsi="Arial"/>
          <w:sz w:val="22"/>
          <w:szCs w:val="22"/>
          <w:color w:val="0000EE"/>
        </w:rPr>
      </w:pPr>
      <w:hyperlink w:anchor="page9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AMENDED AND RESTATED SEVERANCE</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AND CHANGE OF CONTROL AGREEMENT</w:t>
      </w:r>
    </w:p>
    <w:p>
      <w:pPr>
        <w:spacing w:after="0" w:line="219"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This Amended and Restated Severance and Change of Control Agreement ("</w:t>
      </w:r>
      <w:r>
        <w:rPr>
          <w:rFonts w:ascii="Arial" w:cs="Arial" w:eastAsia="Arial" w:hAnsi="Arial"/>
          <w:sz w:val="16"/>
          <w:szCs w:val="16"/>
          <w:i w:val="1"/>
          <w:iCs w:val="1"/>
          <w:color w:val="auto"/>
        </w:rPr>
        <w:t>Agreement</w:t>
      </w:r>
      <w:r>
        <w:rPr>
          <w:rFonts w:ascii="Arial" w:cs="Arial" w:eastAsia="Arial" w:hAnsi="Arial"/>
          <w:sz w:val="16"/>
          <w:szCs w:val="16"/>
          <w:color w:val="auto"/>
        </w:rPr>
        <w:t>") is effective as of August 4, 2008, between Kratos Defense &amp; Security Solutions, Inc. (the "</w:t>
      </w:r>
      <w:r>
        <w:rPr>
          <w:rFonts w:ascii="Arial" w:cs="Arial" w:eastAsia="Arial" w:hAnsi="Arial"/>
          <w:sz w:val="16"/>
          <w:szCs w:val="16"/>
          <w:i w:val="1"/>
          <w:iCs w:val="1"/>
          <w:color w:val="auto"/>
        </w:rPr>
        <w:t>Company</w:t>
      </w:r>
      <w:r>
        <w:rPr>
          <w:rFonts w:ascii="Arial" w:cs="Arial" w:eastAsia="Arial" w:hAnsi="Arial"/>
          <w:sz w:val="16"/>
          <w:szCs w:val="16"/>
          <w:color w:val="auto"/>
        </w:rPr>
        <w:t>") and Deanna Lund ("</w:t>
      </w:r>
      <w:r>
        <w:rPr>
          <w:rFonts w:ascii="Arial" w:cs="Arial" w:eastAsia="Arial" w:hAnsi="Arial"/>
          <w:sz w:val="16"/>
          <w:szCs w:val="16"/>
          <w:i w:val="1"/>
          <w:iCs w:val="1"/>
          <w:color w:val="auto"/>
        </w:rPr>
        <w:t>Lund</w:t>
      </w:r>
      <w:r>
        <w:rPr>
          <w:rFonts w:ascii="Arial" w:cs="Arial" w:eastAsia="Arial" w:hAnsi="Arial"/>
          <w:sz w:val="16"/>
          <w:szCs w:val="16"/>
          <w:color w:val="auto"/>
        </w:rPr>
        <w:t>"), as approved by the Company's Board Compensation Committee.</w:t>
      </w:r>
    </w:p>
    <w:p>
      <w:pPr>
        <w:spacing w:after="0" w:line="139" w:lineRule="exact"/>
        <w:rPr>
          <w:sz w:val="20"/>
          <w:szCs w:val="20"/>
          <w:color w:val="auto"/>
        </w:rPr>
      </w:pPr>
    </w:p>
    <w:p>
      <w:pPr>
        <w:ind w:left="700" w:hanging="351"/>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Lund is presently employed as Chief Financial Officer pursuant to an offer letter dated March 15, 2004 (the "</w:t>
      </w:r>
      <w:r>
        <w:rPr>
          <w:rFonts w:ascii="Arial" w:cs="Arial" w:eastAsia="Arial" w:hAnsi="Arial"/>
          <w:sz w:val="18"/>
          <w:szCs w:val="18"/>
          <w:i w:val="1"/>
          <w:iCs w:val="1"/>
          <w:color w:val="auto"/>
        </w:rPr>
        <w:t>Offer Letter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60" w:firstLine="359"/>
        <w:spacing w:after="0" w:line="298" w:lineRule="auto"/>
        <w:tabs>
          <w:tab w:leader="none" w:pos="6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March 28, 2005, the Company and Lund entered into a Change of Control Agreement, which memorialized in writing their understanding regarding the vesting of stock options and stock appreciation rights granted to Lund under the Company's equity incentive plans in the event of a Change of Control, which was amended and restated on March 28, 2006 (the original agreement together with any and all prior amendments is hereinafter referred to as the "</w:t>
      </w:r>
      <w:r>
        <w:rPr>
          <w:rFonts w:ascii="Arial" w:cs="Arial" w:eastAsia="Arial" w:hAnsi="Arial"/>
          <w:sz w:val="16"/>
          <w:szCs w:val="16"/>
          <w:i w:val="1"/>
          <w:iCs w:val="1"/>
          <w:color w:val="auto"/>
        </w:rPr>
        <w:t>Original</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to enhance severance and address compliance with Section 409A of the Internal Revenue Code of 1986 (the "</w:t>
      </w:r>
      <w:r>
        <w:rPr>
          <w:rFonts w:ascii="Arial" w:cs="Arial" w:eastAsia="Arial" w:hAnsi="Arial"/>
          <w:sz w:val="16"/>
          <w:szCs w:val="16"/>
          <w:i w:val="1"/>
          <w:iCs w:val="1"/>
          <w:color w:val="auto"/>
        </w:rPr>
        <w:t>Code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right="60" w:firstLine="359"/>
        <w:spacing w:after="0" w:line="306" w:lineRule="auto"/>
        <w:tabs>
          <w:tab w:leader="none" w:pos="6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consideration for Lund's agreement to undertake and continue her duties and responsibilities in her role as Chief Financial Officer, the Company and Lund desire to enter into this Agreement to (i) make further changes to comply with subsequent guidance issued under Section 409A of the Code, and (ii) to give Lund additional protection if there is a Change of Control of the Company as set forth in paragraph 6 hereof.</w:t>
      </w:r>
    </w:p>
    <w:p>
      <w:pPr>
        <w:spacing w:after="0" w:line="16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86" w:lineRule="exact"/>
        <w:rPr>
          <w:sz w:val="20"/>
          <w:szCs w:val="20"/>
          <w:color w:val="auto"/>
        </w:rPr>
      </w:pPr>
    </w:p>
    <w:p>
      <w:pPr>
        <w:jc w:val="both"/>
        <w:ind w:right="40" w:firstLine="359"/>
        <w:spacing w:after="0" w:line="254" w:lineRule="auto"/>
        <w:tabs>
          <w:tab w:leader="none" w:pos="65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closing of a transaction that constitutes a Change of Control (as defined in paragraph 3(a)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50% of all stock options, stock appreciation rights, restricted stock units and any other equity awards granted to Lund under the Company's equity incentive plans that as of the date of such Change of Control remain unvested shall accelerate, to the extent permissible by law, notwithstanding and in addition to any existing vesting provisions set forth in the applicable equity award agreement and/or the Company equity incentive plan. On the one year anniversary of such Change of Control or upon a Triggering Event (as defined in paragraph 3(b) below), whichever occurs sooner, the remaining unvested portion of any outstanding equity awards shall immediately vest.</w:t>
      </w:r>
    </w:p>
    <w:p>
      <w:pPr>
        <w:spacing w:after="0" w:line="198" w:lineRule="exact"/>
        <w:rPr>
          <w:rFonts w:ascii="Arial" w:cs="Arial" w:eastAsia="Arial" w:hAnsi="Arial"/>
          <w:sz w:val="18"/>
          <w:szCs w:val="18"/>
          <w:color w:val="auto"/>
        </w:rPr>
      </w:pPr>
    </w:p>
    <w:p>
      <w:pPr>
        <w:ind w:left="660" w:hanging="301"/>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Severance Payments.</w:t>
      </w:r>
    </w:p>
    <w:p>
      <w:pPr>
        <w:spacing w:after="0" w:line="225" w:lineRule="exact"/>
        <w:rPr>
          <w:rFonts w:ascii="Arial" w:cs="Arial" w:eastAsia="Arial" w:hAnsi="Arial"/>
          <w:sz w:val="18"/>
          <w:szCs w:val="18"/>
          <w:color w:val="auto"/>
        </w:rPr>
      </w:pPr>
    </w:p>
    <w:p>
      <w:pPr>
        <w:ind w:left="540" w:firstLine="359"/>
        <w:spacing w:after="0" w:line="288" w:lineRule="auto"/>
        <w:tabs>
          <w:tab w:leader="none" w:pos="1218"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Lund is (x) terminated without Cause (as defined in paragraph 3(c) below) prior to a Change of Control or (y) terminates as a result of a Triggering Event (as defined in paragraph 3(b) below) after a Change of Control (as defined in paragraph 3(a) below), then Lund will be entitled to receive in satisfaction of all obligations (other than as provided in paragraph 1 above) that the Company may have to Lund: (i) in the case of clause (x) hereof, severance compensation equal to one year of her base salary then in effect; or in the case of clause (y) hereof, severance compensation equal to two years of her base salary plus her maximum potential bonus amount for two years; in either case, less applicable taxes and withholding; and, if needed by Lund, (ii) her then-current health insurance coverage, at the then current employee cost, during the twelve (12) month period following a termination in the case of clause (x); or during the twenty-four (24) month period following a resignation in the case of clause (y). Such benefits will be provided for the twelve (12) month or twenty-four (24) month period, as applicable, following the date of Lund's termination. In addition, in the event that Lund is terminated without Cause, the vesting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6" w:name="page87"/>
    <w:bookmarkEnd w:id="86"/>
    <w:p>
      <w:pPr>
        <w:ind w:left="181" w:right="140"/>
        <w:spacing w:after="0" w:line="302" w:lineRule="auto"/>
        <w:rPr>
          <w:sz w:val="20"/>
          <w:szCs w:val="20"/>
          <w:color w:val="auto"/>
        </w:rPr>
      </w:pPr>
      <w:r>
        <w:rPr>
          <w:rFonts w:ascii="Arial" w:cs="Arial" w:eastAsia="Arial" w:hAnsi="Arial"/>
          <w:sz w:val="15"/>
          <w:szCs w:val="15"/>
          <w:color w:val="auto"/>
        </w:rPr>
        <w:t>100% of all stock options, stock appreciation rights, restricted stock units and any other equity awards granted to Lund under the Company's equity incentive plans that as of the date of such termination remain unvested shall accelerate, to the extent permissible by law, notwithstanding and in addition to any existing vesting provisions set forth in the applicable equity award agreement and/or the Company equity incentive plan. The foregoing severance compensation, health insurance coverage and acceleration of vesting will be conditioned upon Lund's execution of a separation agreement with a release of claims reasonably satisfactory to the Company and such cash severance compensation shall be paid in a single lump sum payment within thirty</w:t>
      </w:r>
    </w:p>
    <w:p>
      <w:pPr>
        <w:spacing w:after="0" w:line="2" w:lineRule="exact"/>
        <w:rPr>
          <w:sz w:val="20"/>
          <w:szCs w:val="20"/>
          <w:color w:val="auto"/>
        </w:rPr>
      </w:pPr>
    </w:p>
    <w:p>
      <w:pPr>
        <w:ind w:left="521" w:hanging="332"/>
        <w:spacing w:after="0"/>
        <w:tabs>
          <w:tab w:leader="none" w:pos="52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days following Lund's execution of such separation agreement.</w:t>
      </w:r>
    </w:p>
    <w:p>
      <w:pPr>
        <w:spacing w:after="0" w:line="218" w:lineRule="exact"/>
        <w:rPr>
          <w:rFonts w:ascii="Arial" w:cs="Arial" w:eastAsia="Arial" w:hAnsi="Arial"/>
          <w:sz w:val="18"/>
          <w:szCs w:val="18"/>
          <w:color w:val="auto"/>
        </w:rPr>
      </w:pPr>
    </w:p>
    <w:p>
      <w:pPr>
        <w:ind w:left="181" w:firstLine="359"/>
        <w:spacing w:after="0" w:line="285" w:lineRule="auto"/>
        <w:tabs>
          <w:tab w:leader="none" w:pos="868" w:val="left"/>
        </w:tabs>
        <w:numPr>
          <w:ilvl w:val="2"/>
          <w:numId w:val="4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if Lund is a "specified employee" within the meaning of Section 409A of the Code and the related guidance ("</w:t>
      </w:r>
      <w:r>
        <w:rPr>
          <w:rFonts w:ascii="Arial" w:cs="Arial" w:eastAsia="Arial" w:hAnsi="Arial"/>
          <w:sz w:val="16"/>
          <w:szCs w:val="16"/>
          <w:i w:val="1"/>
          <w:iCs w:val="1"/>
          <w:color w:val="auto"/>
        </w:rPr>
        <w:t>Section 409A</w:t>
      </w:r>
      <w:r>
        <w:rPr>
          <w:rFonts w:ascii="Arial" w:cs="Arial" w:eastAsia="Arial" w:hAnsi="Arial"/>
          <w:sz w:val="16"/>
          <w:szCs w:val="16"/>
          <w:color w:val="auto"/>
        </w:rPr>
        <w:t>") at the time of Lund's separation from service, then only that portion of the severance and benefits set forth in paragraph 2(a) above, together with any other severance payments or benefits, that may be considered deferred compensation under Section 409A, which (when considered together) do not exceed the Section 409A Limit (as defined below) and which qualify as separation pay under Treasury Regulation Section 1.409A-1(b)(9)(iii), may be paid within the first six (6) months following Lund's separation from service in accordance with paragraph 2(a) above or (for payments or benefits not provided under this Agreement) with the payment schedule applicable to each such other payment or benefit. Otherwise, the portion of the severance and benefits provided under this Agreement, together with any other severance payments or benefits that may be considered deferred compensation under Section 409A, that would otherwise be payable within the six (6) month period following Lund's separation from service will accrue during such six (6) month period and will be paid in a lump sum on the date six (6) months and one (1) day following the date of Lund's separation from service (or the next business day if such date is not business day). All remaining severance payments and benefits will be payable in accordance with the payment schedule applicable to such payments or benefits. For purposes of this Agreement, "Section 409A Limit" means the lesser of two (2) times: (i) the sum of Lund's annualized compensation based upon the annual rate of pay for services provided to the Company for the taxable year of Lund preceding the taxable year of Lund's separation from service from the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80" w:lineRule="exact"/>
        <w:rPr>
          <w:rFonts w:ascii="Arial" w:cs="Arial" w:eastAsia="Arial" w:hAnsi="Arial"/>
          <w:sz w:val="16"/>
          <w:szCs w:val="16"/>
          <w:color w:val="auto"/>
        </w:rPr>
      </w:pPr>
    </w:p>
    <w:p>
      <w:pPr>
        <w:ind w:left="301" w:hanging="301"/>
        <w:spacing w:after="0"/>
        <w:tabs>
          <w:tab w:leader="none" w:pos="30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25" w:lineRule="exact"/>
        <w:rPr>
          <w:rFonts w:ascii="Arial" w:cs="Arial" w:eastAsia="Arial" w:hAnsi="Arial"/>
          <w:sz w:val="18"/>
          <w:szCs w:val="18"/>
          <w:color w:val="auto"/>
        </w:rPr>
      </w:pPr>
    </w:p>
    <w:p>
      <w:pPr>
        <w:ind w:left="181" w:right="40" w:firstLine="359"/>
        <w:spacing w:after="0" w:line="290" w:lineRule="auto"/>
        <w:tabs>
          <w:tab w:leader="none" w:pos="849" w:val="left"/>
        </w:tabs>
        <w:numPr>
          <w:ilvl w:val="2"/>
          <w:numId w:val="43"/>
        </w:numPr>
        <w:rPr>
          <w:rFonts w:ascii="Arial" w:cs="Arial" w:eastAsia="Arial" w:hAnsi="Arial"/>
          <w:sz w:val="16"/>
          <w:szCs w:val="16"/>
          <w:color w:val="auto"/>
        </w:rPr>
      </w:pPr>
      <w:r>
        <w:rPr>
          <w:rFonts w:ascii="Arial" w:cs="Arial" w:eastAsia="Arial" w:hAnsi="Arial"/>
          <w:sz w:val="16"/>
          <w:szCs w:val="16"/>
          <w:color w:val="auto"/>
        </w:rPr>
        <w:t>A Change of Control means: (i) the acquisition by an individual person or entity or a group of individuals or entities acting in concert, directly or indirectly, through one transaction or a series of transactions, of more than 50% of the outstanding voting securities of the Company; (ii) a merger or consolidation of the Company with or into another entity after which the stockholders of the Company immediately prior to such transaction hold less than 50% of the voting securities of the surviving entity; (iii) any action or event that results in the Board of Directors consisting of fewer than a majority of Incumbent Directors ("</w:t>
      </w:r>
      <w:r>
        <w:rPr>
          <w:rFonts w:ascii="Arial" w:cs="Arial" w:eastAsia="Arial" w:hAnsi="Arial"/>
          <w:sz w:val="16"/>
          <w:szCs w:val="16"/>
          <w:i w:val="1"/>
          <w:iCs w:val="1"/>
          <w:color w:val="auto"/>
        </w:rPr>
        <w:t>Incumbent Directors</w:t>
      </w:r>
      <w:r>
        <w:rPr>
          <w:rFonts w:ascii="Arial" w:cs="Arial" w:eastAsia="Arial" w:hAnsi="Arial"/>
          <w:sz w:val="16"/>
          <w:szCs w:val="16"/>
          <w:color w:val="auto"/>
        </w:rPr>
        <w:t>" shall mean directors who either (A) are directors of the Company as of the date hereof, or (B) are elected or nominated for election, to the Board with the affirmative votes of at least a majority of the Incumbent Directors at the time of such election or nomination); or (iv) a sale of all or substantially all of the assets of the Company.</w:t>
      </w:r>
    </w:p>
    <w:p>
      <w:pPr>
        <w:spacing w:after="0" w:line="172" w:lineRule="exact"/>
        <w:rPr>
          <w:rFonts w:ascii="Arial" w:cs="Arial" w:eastAsia="Arial" w:hAnsi="Arial"/>
          <w:sz w:val="16"/>
          <w:szCs w:val="16"/>
          <w:color w:val="auto"/>
        </w:rPr>
      </w:pPr>
    </w:p>
    <w:p>
      <w:pPr>
        <w:ind w:left="181" w:right="200" w:firstLine="359"/>
        <w:spacing w:after="0" w:line="259" w:lineRule="auto"/>
        <w:tabs>
          <w:tab w:leader="none" w:pos="859" w:val="left"/>
        </w:tabs>
        <w:numPr>
          <w:ilvl w:val="2"/>
          <w:numId w:val="43"/>
        </w:numPr>
        <w:rPr>
          <w:rFonts w:ascii="Arial" w:cs="Arial" w:eastAsia="Arial" w:hAnsi="Arial"/>
          <w:sz w:val="18"/>
          <w:szCs w:val="18"/>
          <w:color w:val="auto"/>
        </w:rPr>
      </w:pPr>
      <w:r>
        <w:rPr>
          <w:rFonts w:ascii="Arial" w:cs="Arial" w:eastAsia="Arial" w:hAnsi="Arial"/>
          <w:sz w:val="18"/>
          <w:szCs w:val="18"/>
          <w:color w:val="auto"/>
        </w:rPr>
        <w:t>A Triggering Event means (i) Lund's termination from employment by the Company without Cause; (ii) a material change in the nature of Lund's role or job responsibilities so that Lund's job duties and responsibilities after the Change of Control, when considered in their totality as a whole, are substantially different in nature from the job duties Lund performed immediately</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131" w:right="239" w:bottom="1440" w:gutter="0" w:footer="0" w:header="0"/>
        </w:sectPr>
      </w:pPr>
    </w:p>
    <w:bookmarkStart w:id="87" w:name="page88"/>
    <w:bookmarkEnd w:id="87"/>
    <w:p>
      <w:pPr>
        <w:jc w:val="both"/>
        <w:ind w:left="500" w:right="100"/>
        <w:spacing w:after="0" w:line="294" w:lineRule="auto"/>
        <w:rPr>
          <w:sz w:val="20"/>
          <w:szCs w:val="20"/>
          <w:color w:val="auto"/>
        </w:rPr>
      </w:pPr>
      <w:r>
        <w:rPr>
          <w:rFonts w:ascii="Arial" w:cs="Arial" w:eastAsia="Arial" w:hAnsi="Arial"/>
          <w:sz w:val="16"/>
          <w:szCs w:val="16"/>
          <w:color w:val="auto"/>
        </w:rPr>
        <w:t xml:space="preserve">prior to the Change of Control; or (iii) the relocation of Lund's principal place of work to a location of more that thirty (30) miles from the location Lund was assigned to immediately prior to the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a Triggering Event described in clause (ii) or (iii) hereof, such condition shall not exist unless Lund provides written notice to the Company within ninety (90) days of its initial existence and the Company does not cure such condition within thirty (30) days from the date it receives such notice from Lund. In addition, no Triggering Event will be deemed to have occurred unless Lund separates from service within twelve (12) months from the date such Triggering Event initially occurs.</w:t>
      </w:r>
    </w:p>
    <w:p>
      <w:pPr>
        <w:spacing w:after="0" w:line="170" w:lineRule="exact"/>
        <w:rPr>
          <w:sz w:val="20"/>
          <w:szCs w:val="20"/>
          <w:color w:val="auto"/>
        </w:rPr>
      </w:pPr>
    </w:p>
    <w:p>
      <w:pPr>
        <w:ind w:left="500" w:right="20" w:firstLine="359"/>
        <w:spacing w:after="0" w:line="287" w:lineRule="auto"/>
        <w:tabs>
          <w:tab w:leader="none" w:pos="1178"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"Cause" means (i) acts or omissions constituting gross negligence, recklessness or willful misconduct on the part of Lund with respect to Lund's obligations or otherwise relating to the business of the Company; (ii) Lund's material breach of this Agreement or the Company's standard form of confidentiality agreement; (iii) Lund's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(iv) Lund's failure to perform her duties and responsibilities as Chief Financial Officer to the reasonable satisfaction of the Board after being provided with notice thereof and thirty (30) days opportunity to remedy such failure; and (v) Lund's willful neglect of duties or poor performance. Notwithstanding the foregoing, a termination under subsection (v) shall not constitute a termination for "Cause" unless the Company has first given Lund written notice of the offending conduct (such notice shall include a description of remedial actions that the Company reasonably deems appropriate to cure such offending conduct) and a thirty (30) day opportunity to cure such offending conduct. In the event the Company terminates Lund's employment under subsection (v), the Company agrees to participate in binding arbitration, if requested by Lund, to determine whether the cause for termination was willful neglect of duties or poor performance as opposed to some other reason that does not constitute Cause under this Agreement.</w:t>
      </w:r>
    </w:p>
    <w:p>
      <w:pPr>
        <w:spacing w:after="0" w:line="176" w:lineRule="exact"/>
        <w:rPr>
          <w:rFonts w:ascii="Arial" w:cs="Arial" w:eastAsia="Arial" w:hAnsi="Arial"/>
          <w:sz w:val="16"/>
          <w:szCs w:val="16"/>
          <w:color w:val="auto"/>
        </w:rPr>
      </w:pPr>
    </w:p>
    <w:p>
      <w:pPr>
        <w:ind w:left="-40" w:firstLine="359"/>
        <w:spacing w:after="0" w:line="294" w:lineRule="auto"/>
        <w:tabs>
          <w:tab w:leader="none" w:pos="618"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Except as set forth in this Agreement, the terms of the Offer Letter remain unchanged. Nothing in this Agreement is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at-will nature of Lund's employment with the Company. This Agreement and the Offer Letter, including the Additional Terms and Conditions attached thereto and the Proprietary Information and Innovations Agreement signed by Lund, constitute the entire agreement between Lund and the Company with respect to Lund's employment with the Company, and supersedes and replaces the Original Agreement in its entirety. No amendment or modification of the terms or conditions of this Agreement shall be valid unless in writing and signed by the parties.</w:t>
      </w:r>
    </w:p>
    <w:p>
      <w:pPr>
        <w:spacing w:after="0" w:line="169" w:lineRule="exact"/>
        <w:rPr>
          <w:rFonts w:ascii="Arial" w:cs="Arial" w:eastAsia="Arial" w:hAnsi="Arial"/>
          <w:sz w:val="16"/>
          <w:szCs w:val="16"/>
          <w:color w:val="auto"/>
        </w:rPr>
      </w:pPr>
    </w:p>
    <w:p>
      <w:pPr>
        <w:ind w:left="-40" w:right="120" w:firstLine="359"/>
        <w:spacing w:after="0" w:line="290" w:lineRule="auto"/>
        <w:tabs>
          <w:tab w:leader="none" w:pos="618"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Compliance with Section 409A of the Code</w:t>
      </w:r>
      <w:r>
        <w:rPr>
          <w:rFonts w:ascii="Arial" w:cs="Arial" w:eastAsia="Arial" w:hAnsi="Arial"/>
          <w:sz w:val="16"/>
          <w:szCs w:val="16"/>
          <w:color w:val="auto"/>
        </w:rPr>
        <w:t>. This Agreement is intended to comply with Section 409A of the Code (or any regulations or rulings</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and shall be construed and interpreted in accordance with such intent. Notwithstanding anything to the contrary in this Agreement, the Company, in the exercise of its sole discretion and without the consent of Lund, may amend or modify this Agreement in any manner in order to meet the requirements of Section 409A of the Code as amplified by any Internal Revenue Service or U.S. Treasury Department guidance.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 Lund is encouraged to consult a tax adviser regarding the potential impact of Section 409A of the Code.</w:t>
      </w:r>
    </w:p>
    <w:p>
      <w:pPr>
        <w:spacing w:after="0" w:line="172" w:lineRule="exact"/>
        <w:rPr>
          <w:rFonts w:ascii="Arial" w:cs="Arial" w:eastAsia="Arial" w:hAnsi="Arial"/>
          <w:sz w:val="16"/>
          <w:szCs w:val="16"/>
          <w:color w:val="auto"/>
        </w:rPr>
      </w:pPr>
    </w:p>
    <w:p>
      <w:pPr>
        <w:ind w:left="620" w:hanging="301"/>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Parachute Payment Excise Tax.</w:t>
      </w:r>
    </w:p>
    <w:p>
      <w:pPr>
        <w:spacing w:after="0" w:line="225" w:lineRule="exact"/>
        <w:rPr>
          <w:rFonts w:ascii="Arial" w:cs="Arial" w:eastAsia="Arial" w:hAnsi="Arial"/>
          <w:sz w:val="18"/>
          <w:szCs w:val="18"/>
          <w:color w:val="auto"/>
        </w:rPr>
      </w:pPr>
    </w:p>
    <w:p>
      <w:pPr>
        <w:ind w:left="500" w:right="120" w:firstLine="359"/>
        <w:spacing w:after="0" w:line="256" w:lineRule="auto"/>
        <w:tabs>
          <w:tab w:leader="none" w:pos="11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event that any payment or benefit (within the meaning of Section 280G(b)(2) of the Code) to Lund for Lund's benefit, paid or payable or distributed or distributable pursuant to the terms of this Agreement or otherwise in connection with, or arising out of, the Lund's employment with the Company or a Change of Control (a "</w:t>
      </w:r>
      <w:r>
        <w:rPr>
          <w:rFonts w:ascii="Arial" w:cs="Arial" w:eastAsia="Arial" w:hAnsi="Arial"/>
          <w:sz w:val="18"/>
          <w:szCs w:val="18"/>
          <w:i w:val="1"/>
          <w:iCs w:val="1"/>
          <w:color w:val="auto"/>
        </w:rPr>
        <w:t>Payment</w:t>
      </w:r>
      <w:r>
        <w:rPr>
          <w:rFonts w:ascii="Arial" w:cs="Arial" w:eastAsia="Arial" w:hAnsi="Arial"/>
          <w:sz w:val="18"/>
          <w:szCs w:val="18"/>
          <w:color w:val="auto"/>
        </w:rPr>
        <w:t>" or "</w:t>
      </w:r>
      <w:r>
        <w:rPr>
          <w:rFonts w:ascii="Arial" w:cs="Arial" w:eastAsia="Arial" w:hAnsi="Arial"/>
          <w:sz w:val="18"/>
          <w:szCs w:val="18"/>
          <w:i w:val="1"/>
          <w:iCs w:val="1"/>
          <w:color w:val="auto"/>
        </w:rPr>
        <w:t>Payments</w:t>
      </w:r>
      <w:r>
        <w:rPr>
          <w:rFonts w:ascii="Arial" w:cs="Arial" w:eastAsia="Arial" w:hAnsi="Arial"/>
          <w:sz w:val="18"/>
          <w:szCs w:val="18"/>
          <w:color w:val="auto"/>
        </w:rPr>
        <w:t>"), would be subject to the excise tax imposed by Code Section 4999, or any interest or penalties are incurred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590" w:right="27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by Lund with respect to such excise tax (such excise tax, together with any such interest and penalties, are hereinafter collectively referred to as the</w:t>
      </w:r>
    </w:p>
    <w:p>
      <w:pPr>
        <w:spacing w:after="0" w:line="3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Excise Tax</w:t>
      </w:r>
      <w:r>
        <w:rPr>
          <w:rFonts w:ascii="Arial" w:cs="Arial" w:eastAsia="Arial" w:hAnsi="Arial"/>
          <w:sz w:val="16"/>
          <w:szCs w:val="16"/>
          <w:color w:val="auto"/>
        </w:rPr>
        <w:t>"), then Lund will be entitled to receive an additional payment (a "</w:t>
      </w:r>
      <w:r>
        <w:rPr>
          <w:rFonts w:ascii="Arial" w:cs="Arial" w:eastAsia="Arial" w:hAnsi="Arial"/>
          <w:sz w:val="16"/>
          <w:szCs w:val="16"/>
          <w:i w:val="1"/>
          <w:iCs w:val="1"/>
          <w:color w:val="auto"/>
        </w:rPr>
        <w:t>Gross-Up Payment</w:t>
      </w:r>
      <w:r>
        <w:rPr>
          <w:rFonts w:ascii="Arial" w:cs="Arial" w:eastAsia="Arial" w:hAnsi="Arial"/>
          <w:sz w:val="16"/>
          <w:szCs w:val="16"/>
          <w:color w:val="auto"/>
        </w:rPr>
        <w:t>") in an amount such that after payment by Lund of all taxes (including any interest or penalties (other than interest and penalties imposed by reason of Lund's failure to file timely a tax return or pay taxes shown due on Lund's return) imposed with respect to such taxes and the Excise Tax), including any Excise Tax imposed upon the Gross-Up Payment, Lund retains an amount of the Gross-Up Payment equal to the Excise Tax imposed upon the Payments.</w:t>
      </w:r>
    </w:p>
    <w:p>
      <w:pPr>
        <w:spacing w:after="0" w:line="169" w:lineRule="exact"/>
        <w:rPr>
          <w:sz w:val="20"/>
          <w:szCs w:val="20"/>
          <w:color w:val="auto"/>
        </w:rPr>
      </w:pPr>
    </w:p>
    <w:p>
      <w:pPr>
        <w:ind w:right="120" w:firstLine="359"/>
        <w:spacing w:after="0" w:line="290" w:lineRule="auto"/>
        <w:tabs>
          <w:tab w:leader="none" w:pos="6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initial determination as to whether a Gross-Up Payment is required pursuant to this Agreement and the amount of such Gross-Up Payment shall be made by the Company. the Company shall provide its determination (the "</w:t>
      </w:r>
      <w:r>
        <w:rPr>
          <w:rFonts w:ascii="Arial" w:cs="Arial" w:eastAsia="Arial" w:hAnsi="Arial"/>
          <w:sz w:val="16"/>
          <w:szCs w:val="16"/>
          <w:i w:val="1"/>
          <w:iCs w:val="1"/>
          <w:color w:val="auto"/>
        </w:rPr>
        <w:t>Determination</w:t>
      </w:r>
      <w:r>
        <w:rPr>
          <w:rFonts w:ascii="Arial" w:cs="Arial" w:eastAsia="Arial" w:hAnsi="Arial"/>
          <w:sz w:val="16"/>
          <w:szCs w:val="16"/>
          <w:color w:val="auto"/>
        </w:rPr>
        <w:t>"), together with detailed supporting calculations and documentation, to Lund within fifteen (15) days of the date of Lund's termination, if applicable, or such other time as requested by Lund (provided Lund reasonably believes that any of the Payments may be subject to the Excise Tax). If requested by the Lund, the Company shall furnish Lund, at the Company's expense, with an opinion reasonably acceptable to Lund from the Company's accounting firm (or an accounting firm of equivalent stature reasonably acceptable to Lund) that there is a reasonable basis for the Determination. Any Gross-Up Payment determined pursuant to this paragraph 6 shall be paid by the Company to Lund within five (5) days of receipt of the Determination.</w:t>
      </w:r>
    </w:p>
    <w:p>
      <w:pPr>
        <w:spacing w:after="0" w:line="172" w:lineRule="exact"/>
        <w:rPr>
          <w:rFonts w:ascii="Arial" w:cs="Arial" w:eastAsia="Arial" w:hAnsi="Arial"/>
          <w:sz w:val="16"/>
          <w:szCs w:val="16"/>
          <w:color w:val="auto"/>
        </w:rPr>
      </w:pPr>
    </w:p>
    <w:p>
      <w:pPr>
        <w:ind w:right="120" w:firstLine="359"/>
        <w:spacing w:after="0" w:line="259" w:lineRule="auto"/>
        <w:tabs>
          <w:tab w:leader="none" w:pos="6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w:t>
      </w:r>
      <w:r>
        <w:rPr>
          <w:rFonts w:ascii="Arial" w:cs="Arial" w:eastAsia="Arial" w:hAnsi="Arial"/>
          <w:sz w:val="18"/>
          <w:szCs w:val="18"/>
          <w:i w:val="1"/>
          <w:iCs w:val="1"/>
          <w:color w:val="auto"/>
        </w:rPr>
        <w:t>Excess Payment</w:t>
      </w:r>
      <w:r>
        <w:rPr>
          <w:rFonts w:ascii="Arial" w:cs="Arial" w:eastAsia="Arial" w:hAnsi="Arial"/>
          <w:sz w:val="18"/>
          <w:szCs w:val="18"/>
          <w:color w:val="auto"/>
        </w:rPr>
        <w:t>") or a Gross-Up Payment (or a portion thereof) which should have been paid will not have been paid (an "</w:t>
      </w:r>
      <w:r>
        <w:rPr>
          <w:rFonts w:ascii="Arial" w:cs="Arial" w:eastAsia="Arial" w:hAnsi="Arial"/>
          <w:sz w:val="18"/>
          <w:szCs w:val="18"/>
          <w:i w:val="1"/>
          <w:iCs w:val="1"/>
          <w:color w:val="auto"/>
        </w:rPr>
        <w:t>Underpayment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40" w:firstLine="359"/>
        <w:spacing w:after="0" w:line="289" w:lineRule="auto"/>
        <w:tabs>
          <w:tab w:leader="none" w:pos="67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Underpayment shall be deemed to have occurred (A) upon notice (formal or informal) to Lund from any governmental taxing authority that Lund's tax liability (whether in respect of Lund's current taxable year or in respect of any prior taxable year) may be increased by reason of the imposition of the Excise Tax on a Payment or Payments with respect to which the Company has failed to make a sufficient Gross-Up Payment, (B) upon a determination by a court, or (C) by reason of determination by the Company (which shall include the position taken by the Company, together with its consolidated group, on its federal income tax return). If an Underpayment occurs, Lund shall promptly notify the Company and the Company shall promptly, but in any event at least five (5) days prior to the date on which the applicable government taxing authority has requested payment, pay to Lund an additional Gross-Up Payment equal to the amount of the Underpayment plus any interest and penalties (other than interest and penalties imposed by reason of Lund's failure to file timely a tax return or pay taxes shown due on Lund's return) imposed on the Underpayment.</w:t>
      </w:r>
    </w:p>
    <w:p>
      <w:pPr>
        <w:spacing w:after="0" w:line="172" w:lineRule="exact"/>
        <w:rPr>
          <w:rFonts w:ascii="Arial" w:cs="Arial" w:eastAsia="Arial" w:hAnsi="Arial"/>
          <w:sz w:val="16"/>
          <w:szCs w:val="16"/>
          <w:color w:val="auto"/>
        </w:rPr>
      </w:pPr>
    </w:p>
    <w:p>
      <w:pPr>
        <w:ind w:firstLine="359"/>
        <w:spacing w:after="0" w:line="288" w:lineRule="auto"/>
        <w:tabs>
          <w:tab w:leader="none" w:pos="668"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Excess Payment shall be deemed to have occurred upon a Final Determination (as hereinafter defined) that the Excise Tax shall not be imposed upon a Payment or Payments (or portion thereof) with respect to which Lund had previously received a Gross-Up Payment. A "Final Determination" shall be deemed to have occurred when Lund has received from the applicable government taxing authority a refund of taxes or other reduction in Lund's tax liability by reason of the Excise Payment and upon either (A) the date a determination is made by, or an agreement is entered into with, the applicable governmental taxing authority which finally and conclusively binds Lund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to Lund's applicable tax return has expired. If an Excess Payment is determined to have been made, the amount of the Excess Payment shall be repaid by Lund to the Company unless, and only to the extent that, the repayment would either</w:t>
      </w:r>
    </w:p>
    <w:p>
      <w:pPr>
        <w:spacing w:after="0" w:line="1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reduce the amount on which Lund is subject to tax under Code Section 4999 or generate a refund of tax imposed under Code Section 4999.</w:t>
      </w:r>
    </w:p>
    <w:p>
      <w:pPr>
        <w:spacing w:after="0" w:line="248" w:lineRule="exact"/>
        <w:rPr>
          <w:sz w:val="20"/>
          <w:szCs w:val="20"/>
          <w:color w:val="auto"/>
        </w:rPr>
      </w:pPr>
    </w:p>
    <w:p>
      <w:pPr>
        <w:jc w:val="both"/>
        <w:ind w:firstLine="359"/>
        <w:spacing w:after="0" w:line="259" w:lineRule="auto"/>
        <w:tabs>
          <w:tab w:leader="none" w:pos="70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in the event that, according to the Determination, an Excise Tax will be imposed on any Payment or Payments, the Company shall pay to the applicable government taxing authorities, as Excise Tax withholding, the amount of the Excise Tax that the Company has actually withheld from the Payment or Payments.</w:t>
      </w:r>
    </w:p>
    <w:p>
      <w:pPr>
        <w:spacing w:after="0" w:line="18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Deanna H. Lund</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3204210</wp:posOffset>
            </wp:positionH>
            <wp:positionV relativeFrom="paragraph">
              <wp:posOffset>71120</wp:posOffset>
            </wp:positionV>
            <wp:extent cx="20840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31" w:lineRule="exact"/>
        <w:rPr>
          <w:sz w:val="20"/>
          <w:szCs w:val="20"/>
          <w:color w:val="auto"/>
        </w:rPr>
      </w:pPr>
    </w:p>
    <w:p>
      <w:pPr>
        <w:ind w:left="2040"/>
        <w:spacing w:after="0"/>
        <w:tabs>
          <w:tab w:leader="none" w:pos="5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71120</wp:posOffset>
            </wp:positionV>
            <wp:extent cx="18180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780" w:top="590" w:right="35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 10.4</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AMENDED AND RESTATED SEVERANCE AND CHANGE OF CONTROL AGREEMENT</w:t>
        </w:r>
      </w:hyperlink>
    </w:p>
    <w:p>
      <w:pPr>
        <w:sectPr>
          <w:pgSz w:w="11900" w:h="16838" w:orient="portrait"/>
          <w:cols w:equalWidth="0" w:num="1">
            <w:col w:w="10219"/>
          </w:cols>
          <w:pgMar w:left="240" w:top="820" w:right="1440" w:bottom="1440" w:gutter="0" w:footer="0" w:header="0"/>
        </w:sectPr>
      </w:pPr>
    </w:p>
    <w:bookmarkStart w:id="91" w:name="page92"/>
    <w:bookmarkEnd w:id="91"/>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SEVERANCE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OF CONTROL AGREEMENT</w:t>
      </w:r>
    </w:p>
    <w:p>
      <w:pPr>
        <w:spacing w:after="0" w:line="219"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This Amended and Restated Severance and Change of Control Agreement ("</w:t>
      </w:r>
      <w:r>
        <w:rPr>
          <w:rFonts w:ascii="Arial" w:cs="Arial" w:eastAsia="Arial" w:hAnsi="Arial"/>
          <w:sz w:val="16"/>
          <w:szCs w:val="16"/>
          <w:i w:val="1"/>
          <w:iCs w:val="1"/>
          <w:color w:val="auto"/>
        </w:rPr>
        <w:t>Agreement</w:t>
      </w:r>
      <w:r>
        <w:rPr>
          <w:rFonts w:ascii="Arial" w:cs="Arial" w:eastAsia="Arial" w:hAnsi="Arial"/>
          <w:sz w:val="16"/>
          <w:szCs w:val="16"/>
          <w:color w:val="auto"/>
        </w:rPr>
        <w:t>") is effective as of August 4, 2008, between Kratos Defense &amp; Security Solutions, Inc. (the "</w:t>
      </w:r>
      <w:r>
        <w:rPr>
          <w:rFonts w:ascii="Arial" w:cs="Arial" w:eastAsia="Arial" w:hAnsi="Arial"/>
          <w:sz w:val="16"/>
          <w:szCs w:val="16"/>
          <w:i w:val="1"/>
          <w:iCs w:val="1"/>
          <w:color w:val="auto"/>
        </w:rPr>
        <w:t>Company</w:t>
      </w:r>
      <w:r>
        <w:rPr>
          <w:rFonts w:ascii="Arial" w:cs="Arial" w:eastAsia="Arial" w:hAnsi="Arial"/>
          <w:sz w:val="16"/>
          <w:szCs w:val="16"/>
          <w:color w:val="auto"/>
        </w:rPr>
        <w:t>") and Laura Siegal ("</w:t>
      </w:r>
      <w:r>
        <w:rPr>
          <w:rFonts w:ascii="Arial" w:cs="Arial" w:eastAsia="Arial" w:hAnsi="Arial"/>
          <w:sz w:val="16"/>
          <w:szCs w:val="16"/>
          <w:i w:val="1"/>
          <w:iCs w:val="1"/>
          <w:color w:val="auto"/>
        </w:rPr>
        <w:t>Siegal</w:t>
      </w:r>
      <w:r>
        <w:rPr>
          <w:rFonts w:ascii="Arial" w:cs="Arial" w:eastAsia="Arial" w:hAnsi="Arial"/>
          <w:sz w:val="16"/>
          <w:szCs w:val="16"/>
          <w:color w:val="auto"/>
        </w:rPr>
        <w:t>"), as approved by the Company's Board Compensation Committee.</w:t>
      </w:r>
    </w:p>
    <w:p>
      <w:pPr>
        <w:spacing w:after="0" w:line="139" w:lineRule="exact"/>
        <w:rPr>
          <w:sz w:val="20"/>
          <w:szCs w:val="20"/>
          <w:color w:val="auto"/>
        </w:rPr>
      </w:pPr>
    </w:p>
    <w:p>
      <w:pPr>
        <w:ind w:left="700" w:hanging="35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Siegal is presently employed as Vice President &amp; Controller of the Company.</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 The Company and Siegal entered into the original Severance and Change of Control Agreement, dated as of July , 2007 (the "</w:t>
      </w:r>
      <w:r>
        <w:rPr>
          <w:rFonts w:ascii="Arial" w:cs="Arial" w:eastAsia="Arial" w:hAnsi="Arial"/>
          <w:sz w:val="18"/>
          <w:szCs w:val="18"/>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to (i) provide for the payment of severance compensation to Siegal upon a termination without Cause, or (ii) in the event of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194" w:lineRule="exact"/>
        <w:rPr>
          <w:sz w:val="20"/>
          <w:szCs w:val="20"/>
          <w:color w:val="auto"/>
        </w:rPr>
      </w:pPr>
    </w:p>
    <w:p>
      <w:pPr>
        <w:jc w:val="both"/>
        <w:ind w:right="80" w:firstLine="359"/>
        <w:spacing w:after="0" w:line="305" w:lineRule="auto"/>
        <w:tabs>
          <w:tab w:leader="none" w:pos="67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 consideration for Siegal's agreement to continue her duties and responsibilities in her role as Chief Financial Officer, the Company and Siegal desire to amend the Original Agreement to (i) make changes to comply with Section 409A of the Code, and (ii) to give Siegal additional protection if there is a Change</w:t>
      </w:r>
    </w:p>
    <w:p>
      <w:pPr>
        <w:spacing w:after="0"/>
        <w:tabs>
          <w:tab w:leader="none" w:pos="4160" w:val="left"/>
        </w:tabs>
        <w:rPr>
          <w:sz w:val="20"/>
          <w:szCs w:val="20"/>
          <w:color w:val="auto"/>
        </w:rPr>
      </w:pPr>
      <w:r>
        <w:rPr>
          <w:rFonts w:ascii="Arial" w:cs="Arial" w:eastAsia="Arial" w:hAnsi="Arial"/>
          <w:sz w:val="18"/>
          <w:szCs w:val="18"/>
          <w:color w:val="auto"/>
        </w:rPr>
        <w:t>of Control of the Company as set forth in paragraph</w:t>
      </w:r>
      <w:r>
        <w:rPr>
          <w:sz w:val="20"/>
          <w:szCs w:val="20"/>
          <w:color w:val="auto"/>
        </w:rPr>
        <w:tab/>
      </w:r>
      <w:r>
        <w:rPr>
          <w:rFonts w:ascii="Arial" w:cs="Arial" w:eastAsia="Arial" w:hAnsi="Arial"/>
          <w:sz w:val="15"/>
          <w:szCs w:val="15"/>
          <w:color w:val="auto"/>
        </w:rPr>
        <w:t>hereof.</w:t>
      </w:r>
    </w:p>
    <w:p>
      <w:pPr>
        <w:spacing w:after="0" w:line="21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Therefore, in consideration of the promises and the mutual covenants contained below, and for other good and valuable consideration, receipt of which is hereby acknowledged, the parties agree as follows:</w:t>
      </w:r>
    </w:p>
    <w:p>
      <w:pPr>
        <w:spacing w:after="0" w:line="186" w:lineRule="exact"/>
        <w:rPr>
          <w:sz w:val="20"/>
          <w:szCs w:val="20"/>
          <w:color w:val="auto"/>
        </w:rPr>
      </w:pPr>
    </w:p>
    <w:p>
      <w:pPr>
        <w:ind w:right="40" w:firstLine="359"/>
        <w:spacing w:after="0" w:line="254" w:lineRule="auto"/>
        <w:tabs>
          <w:tab w:leader="none" w:pos="65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Vesting Upon Change of Control. </w:t>
      </w:r>
      <w:r>
        <w:rPr>
          <w:rFonts w:ascii="Arial" w:cs="Arial" w:eastAsia="Arial" w:hAnsi="Arial"/>
          <w:sz w:val="18"/>
          <w:szCs w:val="18"/>
          <w:color w:val="auto"/>
        </w:rPr>
        <w:t>Upon the closing of a transaction that constitutes a Change of Control (as defined in paragraph 3(a) below),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50% of all stock options, stock appreciation rights, restricted stock units and any other equity awards granted to Siegal under the Company's equity incentive plans that as of the date of such Change of Control remain unvested shall accelerate, to the extent permissible by law, notwithstanding and in addition to any existing vesting provisions set forth in the applicable equity award agreement and/or the Company equity incentive plan. On the one year anniversary of such Change of Control or upon a Triggering Event (as defined in paragraph 3(b) below), whichever occurs sooner, the remaining unvested portion of any outstanding equity awards shall immediately vest.</w:t>
      </w:r>
    </w:p>
    <w:p>
      <w:pPr>
        <w:spacing w:after="0" w:line="198" w:lineRule="exact"/>
        <w:rPr>
          <w:rFonts w:ascii="Arial" w:cs="Arial" w:eastAsia="Arial" w:hAnsi="Arial"/>
          <w:sz w:val="18"/>
          <w:szCs w:val="18"/>
          <w:color w:val="auto"/>
        </w:rPr>
      </w:pPr>
    </w:p>
    <w:p>
      <w:pPr>
        <w:ind w:left="660" w:hanging="301"/>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Severance Payments.</w:t>
      </w:r>
    </w:p>
    <w:p>
      <w:pPr>
        <w:spacing w:after="0" w:line="225" w:lineRule="exact"/>
        <w:rPr>
          <w:rFonts w:ascii="Arial" w:cs="Arial" w:eastAsia="Arial" w:hAnsi="Arial"/>
          <w:sz w:val="18"/>
          <w:szCs w:val="18"/>
          <w:color w:val="auto"/>
        </w:rPr>
      </w:pPr>
    </w:p>
    <w:p>
      <w:pPr>
        <w:ind w:left="540" w:firstLine="359"/>
        <w:spacing w:after="0" w:line="286" w:lineRule="auto"/>
        <w:tabs>
          <w:tab w:leader="none" w:pos="1218"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Siegal is (x) terminated without Cause (as defined in paragraph 3(c) below) prior to a Change of Control or (y) terminates as a result of a Triggering Event (as defined in paragraph 3(b) below) after a Change of Control (as defined in paragraph 3(a) below), then Siegal will be entitled to receive in satisfaction of all obligations (other than as provided in paragraph 1 above) that the Company may have to Siegal: (i) in the case of clause (x) hereof, severance compensation equal to nine (9) months of her base salary then in effect; or in the case of clause (y) hereof, severance compensation equal to nine (9) months of her base salary plus her maximum potential bonus amount for nine (9) months; in either case, less applicable taxes and withholding; and, if needed by Siegal, (ii) her then-current health insurance coverage, at the then current employee cost, during the nine (9) month period following a termination in the case of clause (x) or during the nine (9) month period following a resignation in the case of clause (y). Such benefits will be provided for the nine (9) month period following the date of Siegal's termination. In addition, in the event that Siegal is terminated without Cause, the vesting of 100% of all stock options, stock appreciation rights, restricted stock units and any other equity awards granted to Siegal under the Company's equity incentive plans that as of the date of such termination remain unvested shall accelerate, to the extent permissible by law, notwithstanding and in addition to any existing vesting provisions set forth in the applicable equity award agreement and/or the Company equity incentive plan. The foregoing severance compensation, health insurance coverage and acceleration of vesting will be conditioned upon Siegal's execution of a separation agreement with a release of claims reasonably satisfactory to the Company and such cash severance compensation shall be paid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2" w:name="page93"/>
    <w:bookmarkEnd w:id="92"/>
    <w:p>
      <w:pPr>
        <w:ind w:left="181"/>
        <w:spacing w:after="0"/>
        <w:rPr>
          <w:sz w:val="20"/>
          <w:szCs w:val="20"/>
          <w:color w:val="auto"/>
        </w:rPr>
      </w:pPr>
      <w:r>
        <w:rPr>
          <w:rFonts w:ascii="Arial" w:cs="Arial" w:eastAsia="Arial" w:hAnsi="Arial"/>
          <w:sz w:val="18"/>
          <w:szCs w:val="18"/>
          <w:color w:val="auto"/>
        </w:rPr>
        <w:t>single lump sum payment within thirty (30) days following Siegal's execution of such separation agreement.</w:t>
      </w:r>
    </w:p>
    <w:p>
      <w:pPr>
        <w:spacing w:after="0" w:line="225" w:lineRule="exact"/>
        <w:rPr>
          <w:sz w:val="20"/>
          <w:szCs w:val="20"/>
          <w:color w:val="auto"/>
        </w:rPr>
      </w:pPr>
    </w:p>
    <w:p>
      <w:pPr>
        <w:ind w:left="181" w:firstLine="359"/>
        <w:spacing w:after="0" w:line="285" w:lineRule="auto"/>
        <w:tabs>
          <w:tab w:leader="none" w:pos="868" w:val="left"/>
        </w:tabs>
        <w:numPr>
          <w:ilvl w:val="2"/>
          <w:numId w:val="5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if Siegal is a "specified employee" within the meaning of Section 409A of the Code and the related guidance ("</w:t>
      </w:r>
      <w:r>
        <w:rPr>
          <w:rFonts w:ascii="Arial" w:cs="Arial" w:eastAsia="Arial" w:hAnsi="Arial"/>
          <w:sz w:val="16"/>
          <w:szCs w:val="16"/>
          <w:i w:val="1"/>
          <w:iCs w:val="1"/>
          <w:color w:val="auto"/>
        </w:rPr>
        <w:t>Section 409A</w:t>
      </w:r>
      <w:r>
        <w:rPr>
          <w:rFonts w:ascii="Arial" w:cs="Arial" w:eastAsia="Arial" w:hAnsi="Arial"/>
          <w:sz w:val="16"/>
          <w:szCs w:val="16"/>
          <w:color w:val="auto"/>
        </w:rPr>
        <w:t>") at the time of Siegal's separation from service, then only that portion of the severance and benefits set forth in paragraph 2(a) above, together with any other severance payments or benefits, that may be considered deferred compensation under Section 409A, which (when considered together) do not exceed the Section 409A Limit (as defined below) and which qualify as separation pay under Treasury Regulation Section 1.409A-1(b)(9)(iii), may be paid within the first six (6) months following Siegal's separation from service in accordance with paragraph 2(a) above or (for payments or benefits not provided under this Agreement) with the payment schedule applicable to each such other payment or benefit. Otherwise, the portion of the severance and benefits provided under this Agreement, together with any other severance payments or benefits that may be considered deferred compensation under Section 409A, that would otherwise be payable within the six (6) month period following Siegal's separation from service will accrue during such six (6) month period and will be paid in a lump sum on the date six (6) months and one (1) day following the date of Siegal's separation from service (or the next business day if such date is not business day). All remaining severance payments and benefits will be payable in accordance with the payment schedule applicable to such payments or benefits. For purposes of this Agreement, "Section 409A Limit" means the lesser of two (2) times: (i) the sum of Siegal's annualized compensation based upon the annual rate of pay for services provided to the Company for the taxable year of Siegal preceding the taxable year of Siegal's separation from service from the Company as determined under Treasury Regulation Section 1.409A-1(b)(9)(iii)(A)(1) and any related Internal Revenue Service guidance; or (ii) the maximum amount that may be taken into account under a qualified plan pursuant to Section 401(a)(17) of the Code for the year in which such separation from service occurs.</w:t>
      </w:r>
    </w:p>
    <w:p>
      <w:pPr>
        <w:spacing w:after="0" w:line="180" w:lineRule="exact"/>
        <w:rPr>
          <w:rFonts w:ascii="Arial" w:cs="Arial" w:eastAsia="Arial" w:hAnsi="Arial"/>
          <w:sz w:val="16"/>
          <w:szCs w:val="16"/>
          <w:color w:val="auto"/>
        </w:rPr>
      </w:pPr>
    </w:p>
    <w:p>
      <w:pPr>
        <w:ind w:left="301" w:hanging="301"/>
        <w:spacing w:after="0"/>
        <w:tabs>
          <w:tab w:leader="none" w:pos="301"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Definition of Change of Control and Triggering Event.</w:t>
      </w:r>
    </w:p>
    <w:p>
      <w:pPr>
        <w:spacing w:after="0" w:line="225" w:lineRule="exact"/>
        <w:rPr>
          <w:rFonts w:ascii="Arial" w:cs="Arial" w:eastAsia="Arial" w:hAnsi="Arial"/>
          <w:sz w:val="18"/>
          <w:szCs w:val="18"/>
          <w:color w:val="auto"/>
        </w:rPr>
      </w:pPr>
    </w:p>
    <w:p>
      <w:pPr>
        <w:ind w:left="181" w:right="40" w:firstLine="359"/>
        <w:spacing w:after="0" w:line="290" w:lineRule="auto"/>
        <w:tabs>
          <w:tab w:leader="none" w:pos="849" w:val="left"/>
        </w:tabs>
        <w:numPr>
          <w:ilvl w:val="2"/>
          <w:numId w:val="52"/>
        </w:numPr>
        <w:rPr>
          <w:rFonts w:ascii="Arial" w:cs="Arial" w:eastAsia="Arial" w:hAnsi="Arial"/>
          <w:sz w:val="16"/>
          <w:szCs w:val="16"/>
          <w:color w:val="auto"/>
        </w:rPr>
      </w:pPr>
      <w:r>
        <w:rPr>
          <w:rFonts w:ascii="Arial" w:cs="Arial" w:eastAsia="Arial" w:hAnsi="Arial"/>
          <w:sz w:val="16"/>
          <w:szCs w:val="16"/>
          <w:color w:val="auto"/>
        </w:rPr>
        <w:t>A Change of Control means: (i) the acquisition by an individual person or entity or a group of individuals or entities acting in concert, directly or indirectly, through one transaction or a series of transactions, of more than 50% of the outstanding voting securities of the Company; (ii) a merger or consolidation of the Company with or into another entity after which the stockholders of the Company immediately prior to such transaction hold less than 50% of the voting securities of the surviving entity; (iii) any action or event that results in the Board of Directors consisting of fewer than a majority of Incumbent Directors ("</w:t>
      </w:r>
      <w:r>
        <w:rPr>
          <w:rFonts w:ascii="Arial" w:cs="Arial" w:eastAsia="Arial" w:hAnsi="Arial"/>
          <w:sz w:val="16"/>
          <w:szCs w:val="16"/>
          <w:i w:val="1"/>
          <w:iCs w:val="1"/>
          <w:color w:val="auto"/>
        </w:rPr>
        <w:t>Incumbent Directors</w:t>
      </w:r>
      <w:r>
        <w:rPr>
          <w:rFonts w:ascii="Arial" w:cs="Arial" w:eastAsia="Arial" w:hAnsi="Arial"/>
          <w:sz w:val="16"/>
          <w:szCs w:val="16"/>
          <w:color w:val="auto"/>
        </w:rPr>
        <w:t>" shall mean directors who either (A) are directors of the Company as of the date hereof, or (B) are elected or nominated for election, to the Board with the affirmative votes of at least a majority of the Incumbent Directors at the time of such election or nomination); or (iv) a sale of all or substantially all of the assets of the Company.</w:t>
      </w:r>
    </w:p>
    <w:p>
      <w:pPr>
        <w:spacing w:after="0" w:line="172" w:lineRule="exact"/>
        <w:rPr>
          <w:rFonts w:ascii="Arial" w:cs="Arial" w:eastAsia="Arial" w:hAnsi="Arial"/>
          <w:sz w:val="16"/>
          <w:szCs w:val="16"/>
          <w:color w:val="auto"/>
        </w:rPr>
      </w:pPr>
    </w:p>
    <w:p>
      <w:pPr>
        <w:ind w:left="181" w:right="60" w:firstLine="359"/>
        <w:spacing w:after="0" w:line="301" w:lineRule="auto"/>
        <w:tabs>
          <w:tab w:leader="none" w:pos="859" w:val="left"/>
        </w:tabs>
        <w:numPr>
          <w:ilvl w:val="2"/>
          <w:numId w:val="52"/>
        </w:numPr>
        <w:rPr>
          <w:rFonts w:ascii="Arial" w:cs="Arial" w:eastAsia="Arial" w:hAnsi="Arial"/>
          <w:sz w:val="15"/>
          <w:szCs w:val="15"/>
          <w:color w:val="auto"/>
        </w:rPr>
      </w:pPr>
      <w:r>
        <w:rPr>
          <w:rFonts w:ascii="Arial" w:cs="Arial" w:eastAsia="Arial" w:hAnsi="Arial"/>
          <w:sz w:val="15"/>
          <w:szCs w:val="15"/>
          <w:color w:val="auto"/>
        </w:rPr>
        <w:t xml:space="preserve">A Triggering Event means (i) Siegal's termination from employment by the Company without Cause; (ii) a material change in the nature of Siegal's role or job responsibilities so that Siegal's job duties and responsibilities after the Change of Control, when considered in their totality as a whole, are substantially different in nature from the job duties Siegal performed immediately prior to the Change of Control; or (iii) the relocation of Siegal's principal place of work to a location of more that thirty (30) miles from the location Siegal was assigned to immediately prior to the Change of Control;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in the case of a Triggering Event described in clause (ii) or (iii) hereof, such condition shall not exist unless Siegal provides written</w:t>
      </w:r>
      <w:r>
        <w:rPr>
          <w:rFonts w:ascii="Arial" w:cs="Arial" w:eastAsia="Arial" w:hAnsi="Arial"/>
          <w:sz w:val="15"/>
          <w:szCs w:val="15"/>
          <w:i w:val="1"/>
          <w:iCs w:val="1"/>
          <w:color w:val="auto"/>
        </w:rPr>
        <w:t xml:space="preserve"> </w:t>
      </w:r>
      <w:r>
        <w:rPr>
          <w:rFonts w:ascii="Arial" w:cs="Arial" w:eastAsia="Arial" w:hAnsi="Arial"/>
          <w:sz w:val="15"/>
          <w:szCs w:val="15"/>
          <w:color w:val="auto"/>
        </w:rPr>
        <w:t>notice to the Company within ninety (90) days of its initial existence and the Company does not cure such condition within thirty (30) days from the date it receives such notice from Siegal. In addition, no Triggering Event will be deemed to have occurred unless Siegal separates from service within twelve</w:t>
      </w:r>
    </w:p>
    <w:p>
      <w:pPr>
        <w:spacing w:after="0" w:line="4" w:lineRule="exact"/>
        <w:rPr>
          <w:rFonts w:ascii="Arial" w:cs="Arial" w:eastAsia="Arial" w:hAnsi="Arial"/>
          <w:sz w:val="15"/>
          <w:szCs w:val="15"/>
          <w:color w:val="auto"/>
        </w:rPr>
      </w:pPr>
    </w:p>
    <w:p>
      <w:pPr>
        <w:ind w:left="521" w:hanging="332"/>
        <w:spacing w:after="0"/>
        <w:tabs>
          <w:tab w:leader="none" w:pos="521" w:val="left"/>
        </w:tabs>
        <w:numPr>
          <w:ilvl w:val="1"/>
          <w:numId w:val="52"/>
        </w:numPr>
        <w:rPr>
          <w:rFonts w:ascii="Arial" w:cs="Arial" w:eastAsia="Arial" w:hAnsi="Arial"/>
          <w:sz w:val="18"/>
          <w:szCs w:val="18"/>
          <w:color w:val="auto"/>
        </w:rPr>
      </w:pPr>
      <w:r>
        <w:rPr>
          <w:rFonts w:ascii="Arial" w:cs="Arial" w:eastAsia="Arial" w:hAnsi="Arial"/>
          <w:sz w:val="18"/>
          <w:szCs w:val="18"/>
          <w:color w:val="auto"/>
        </w:rPr>
        <w:t>months from the date such Triggering Event initially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131" w:right="239" w:bottom="1440" w:gutter="0" w:footer="0" w:header="0"/>
        </w:sectPr>
      </w:pPr>
    </w:p>
    <w:bookmarkStart w:id="93" w:name="page94"/>
    <w:bookmarkEnd w:id="93"/>
    <w:p>
      <w:pPr>
        <w:ind w:left="181" w:right="20" w:firstLine="359"/>
        <w:spacing w:after="0" w:line="286" w:lineRule="auto"/>
        <w:tabs>
          <w:tab w:leader="none" w:pos="859"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"Cause" means (i) acts or omissions constituting gross negligence, recklessness or willful misconduct on the part of Siegal with respect to Siegal's obligations or otherwise relating to the business of the Company; (ii) Siegal's material breach of this Agreement or the Company's standard form of confidentiality agreement; (iii) Siegal's conviction or entry of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for fraud, misappropriation or embezzlement, or any felony or crime of moral turpitude; (iv) Siegal's failure to perform her duties and responsibilities as Vice President and Corporate Controller to the reasonable satisfaction of the Board after being provided with notice thereof and thirty (30) days opportunity to remedy such failure; and (v) Siegal's willful neglect of duties or poor performance. Notwithstanding the foregoing, a termination under subsection (v) shall not constitute a termination for "Cause" unless the Company has first given Siegal written notice of the offending conduct (such notice shall include a description of remedial actions that the Company reasonably deems appropriate to cure such offending conduct) and a thirty (30) day opportunity to cure such offending conduct. In the event the Company terminates Siegal's employment under subsection (v), the Company agrees to participate in binding arbitration, if requested by Siegal, to determine whether the cause for termination was willful neglect of duties or poor performance as opposed to some other reason that does not constitute Cause under this Agreement.</w:t>
      </w:r>
    </w:p>
    <w:p>
      <w:pPr>
        <w:spacing w:after="0" w:line="181" w:lineRule="exact"/>
        <w:rPr>
          <w:rFonts w:ascii="Arial" w:cs="Arial" w:eastAsia="Arial" w:hAnsi="Arial"/>
          <w:sz w:val="16"/>
          <w:szCs w:val="16"/>
          <w:color w:val="auto"/>
        </w:rPr>
      </w:pPr>
    </w:p>
    <w:p>
      <w:pPr>
        <w:ind w:left="-359" w:right="40" w:firstLine="359"/>
        <w:spacing w:after="0" w:line="294" w:lineRule="auto"/>
        <w:tabs>
          <w:tab w:leader="none" w:pos="299"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General Provisions. </w:t>
      </w:r>
      <w:r>
        <w:rPr>
          <w:rFonts w:ascii="Arial" w:cs="Arial" w:eastAsia="Arial" w:hAnsi="Arial"/>
          <w:sz w:val="16"/>
          <w:szCs w:val="16"/>
          <w:color w:val="auto"/>
        </w:rPr>
        <w:t>Except as set forth in this Agreement, the terms of the Offer Letter remain unchanged. Nothing in this Agreement is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 the at-will nature of Siegal's employment with the Company. This Agreement and the Offer Letter, including the Additional Terms and Conditions attached thereto and the Proprietary Information and Innovations Agreement signed by Siegal, constitute the entire agreement between Siegal and the Company with respect to Siegal's employment with the Company, and supersedes and replaces the Original Agreement in its entirety. No amendment or modification of the terms or conditions of this Agreement shall be valid unless in writing and signed by the parties.</w:t>
      </w:r>
    </w:p>
    <w:p>
      <w:pPr>
        <w:spacing w:after="0" w:line="169" w:lineRule="exact"/>
        <w:rPr>
          <w:rFonts w:ascii="Arial" w:cs="Arial" w:eastAsia="Arial" w:hAnsi="Arial"/>
          <w:sz w:val="16"/>
          <w:szCs w:val="16"/>
          <w:color w:val="auto"/>
        </w:rPr>
      </w:pPr>
    </w:p>
    <w:p>
      <w:pPr>
        <w:ind w:left="-359" w:right="80" w:firstLine="359"/>
        <w:spacing w:after="0" w:line="290" w:lineRule="auto"/>
        <w:tabs>
          <w:tab w:leader="none" w:pos="299"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Compliance with Section 409A of the Code</w:t>
      </w:r>
      <w:r>
        <w:rPr>
          <w:rFonts w:ascii="Arial" w:cs="Arial" w:eastAsia="Arial" w:hAnsi="Arial"/>
          <w:sz w:val="16"/>
          <w:szCs w:val="16"/>
          <w:color w:val="auto"/>
        </w:rPr>
        <w:t>. This Agreement is intended to comply with Section 409A of the Code (or any regulations or rulings</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and shall be construed and interpreted in accordance with such intent. Notwithstanding anything to the contrary in this Agreement, the Company, in the exercise of its sole discretion and without the consent of Siegal, may amend or modify this Agreement in any manner in order to meet the requirements of Section 409A of the Code as amplified by any Internal Revenue Service or U.S. Treasury Department guidance. Any provision of this Agreement that would cause the payment of any benefit to fail to satisfy Section 409A of the Code shall have no force and effect until amended to comply with Code Section 409A (which amendment may be retroactive to the extent permitted by the Code or any regulations or rulings thereunder). Siegal is encouraged to consult a tax adviser regarding the potential impact of Section 409A of the Code.</w:t>
      </w:r>
    </w:p>
    <w:p>
      <w:pPr>
        <w:spacing w:after="0" w:line="172" w:lineRule="exact"/>
        <w:rPr>
          <w:rFonts w:ascii="Arial" w:cs="Arial" w:eastAsia="Arial" w:hAnsi="Arial"/>
          <w:sz w:val="16"/>
          <w:szCs w:val="16"/>
          <w:color w:val="auto"/>
        </w:rPr>
      </w:pPr>
    </w:p>
    <w:p>
      <w:pPr>
        <w:ind w:left="301" w:hanging="301"/>
        <w:spacing w:after="0"/>
        <w:tabs>
          <w:tab w:leader="none" w:pos="301"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Parachute Payment Excise Tax.</w:t>
      </w:r>
    </w:p>
    <w:p>
      <w:pPr>
        <w:spacing w:after="0" w:line="225" w:lineRule="exact"/>
        <w:rPr>
          <w:rFonts w:ascii="Arial" w:cs="Arial" w:eastAsia="Arial" w:hAnsi="Arial"/>
          <w:sz w:val="18"/>
          <w:szCs w:val="18"/>
          <w:color w:val="auto"/>
        </w:rPr>
      </w:pPr>
    </w:p>
    <w:p>
      <w:pPr>
        <w:ind w:left="181" w:firstLine="359"/>
        <w:spacing w:after="0" w:line="289" w:lineRule="auto"/>
        <w:tabs>
          <w:tab w:leader="none" w:pos="859" w:val="left"/>
        </w:tabs>
        <w:numPr>
          <w:ilvl w:val="1"/>
          <w:numId w:val="54"/>
        </w:numPr>
        <w:rPr>
          <w:rFonts w:ascii="Arial" w:cs="Arial" w:eastAsia="Arial" w:hAnsi="Arial"/>
          <w:sz w:val="16"/>
          <w:szCs w:val="16"/>
          <w:color w:val="auto"/>
        </w:rPr>
      </w:pPr>
      <w:r>
        <w:rPr>
          <w:rFonts w:ascii="Arial" w:cs="Arial" w:eastAsia="Arial" w:hAnsi="Arial"/>
          <w:sz w:val="16"/>
          <w:szCs w:val="16"/>
          <w:color w:val="auto"/>
        </w:rPr>
        <w:t>In the event that any payment or benefit (within the meaning of Section 280G(b)(2) of the Code) to Siegal for Siegal's benefit, paid or payable or distributed or distributable pursuant to the terms of this Agreement or otherwise in connection with, or arising out of, the Siegal's employment with the Company or a Change of Control (a "</w:t>
      </w:r>
      <w:r>
        <w:rPr>
          <w:rFonts w:ascii="Arial" w:cs="Arial" w:eastAsia="Arial" w:hAnsi="Arial"/>
          <w:sz w:val="16"/>
          <w:szCs w:val="16"/>
          <w:i w:val="1"/>
          <w:iCs w:val="1"/>
          <w:color w:val="auto"/>
        </w:rPr>
        <w:t>Payment</w:t>
      </w:r>
      <w:r>
        <w:rPr>
          <w:rFonts w:ascii="Arial" w:cs="Arial" w:eastAsia="Arial" w:hAnsi="Arial"/>
          <w:sz w:val="16"/>
          <w:szCs w:val="16"/>
          <w:color w:val="auto"/>
        </w:rPr>
        <w:t>" or "</w:t>
      </w:r>
      <w:r>
        <w:rPr>
          <w:rFonts w:ascii="Arial" w:cs="Arial" w:eastAsia="Arial" w:hAnsi="Arial"/>
          <w:sz w:val="16"/>
          <w:szCs w:val="16"/>
          <w:i w:val="1"/>
          <w:iCs w:val="1"/>
          <w:color w:val="auto"/>
        </w:rPr>
        <w:t>Payments</w:t>
      </w:r>
      <w:r>
        <w:rPr>
          <w:rFonts w:ascii="Arial" w:cs="Arial" w:eastAsia="Arial" w:hAnsi="Arial"/>
          <w:sz w:val="16"/>
          <w:szCs w:val="16"/>
          <w:color w:val="auto"/>
        </w:rPr>
        <w:t>"), would be subject to the excise tax imposed by Code Section 4999, or any interest or penalties are incurred by Siegal with respect to such excise tax (such excise tax, together with any such interest and penalties, are hereinafter collectively referred to as the "</w:t>
      </w:r>
      <w:r>
        <w:rPr>
          <w:rFonts w:ascii="Arial" w:cs="Arial" w:eastAsia="Arial" w:hAnsi="Arial"/>
          <w:sz w:val="16"/>
          <w:szCs w:val="16"/>
          <w:i w:val="1"/>
          <w:iCs w:val="1"/>
          <w:color w:val="auto"/>
        </w:rPr>
        <w:t>Excise Tax</w:t>
      </w:r>
      <w:r>
        <w:rPr>
          <w:rFonts w:ascii="Arial" w:cs="Arial" w:eastAsia="Arial" w:hAnsi="Arial"/>
          <w:sz w:val="16"/>
          <w:szCs w:val="16"/>
          <w:color w:val="auto"/>
        </w:rPr>
        <w:t>"), then Siegal will be entitled to receive an additional payment (a "</w:t>
      </w:r>
      <w:r>
        <w:rPr>
          <w:rFonts w:ascii="Arial" w:cs="Arial" w:eastAsia="Arial" w:hAnsi="Arial"/>
          <w:sz w:val="16"/>
          <w:szCs w:val="16"/>
          <w:i w:val="1"/>
          <w:iCs w:val="1"/>
          <w:color w:val="auto"/>
        </w:rPr>
        <w:t>Gross-Up Payment</w:t>
      </w:r>
      <w:r>
        <w:rPr>
          <w:rFonts w:ascii="Arial" w:cs="Arial" w:eastAsia="Arial" w:hAnsi="Arial"/>
          <w:sz w:val="16"/>
          <w:szCs w:val="16"/>
          <w:color w:val="auto"/>
        </w:rPr>
        <w:t>") in an amount such that after payment by Siegal of all taxes (including any interest or penalties (other than interest and penalties imposed by reason of Siegal's failure to file timely a tax return or pay taxes shown due on Siegal's return) imposed with respect to such taxes and the Excise Tax), including any Excise Tax imposed upon the Gross-Up Payment, Siegal retains an amount of the Gross-Up Payment equal to the Excise Tax imposed upon the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112395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1"/>
          </w:cols>
          <w:pgMar w:left="599" w:top="131" w:right="259" w:bottom="1440" w:gutter="0" w:footer="0" w:header="0"/>
        </w:sectPr>
      </w:pPr>
    </w:p>
    <w:bookmarkStart w:id="94" w:name="page95"/>
    <w:bookmarkEnd w:id="94"/>
    <w:p>
      <w:pPr>
        <w:ind w:left="-359" w:right="20" w:firstLine="359"/>
        <w:spacing w:after="0" w:line="290" w:lineRule="auto"/>
        <w:tabs>
          <w:tab w:leader="none" w:pos="318"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initial determination as to whether a Gross-Up Payment is required pursuant to this Agreement and the amount of such Gross-Up Payment shall be made by the Company. the Company shall provide its determination (the "</w:t>
      </w:r>
      <w:r>
        <w:rPr>
          <w:rFonts w:ascii="Arial" w:cs="Arial" w:eastAsia="Arial" w:hAnsi="Arial"/>
          <w:sz w:val="16"/>
          <w:szCs w:val="16"/>
          <w:i w:val="1"/>
          <w:iCs w:val="1"/>
          <w:color w:val="auto"/>
        </w:rPr>
        <w:t>Determination</w:t>
      </w:r>
      <w:r>
        <w:rPr>
          <w:rFonts w:ascii="Arial" w:cs="Arial" w:eastAsia="Arial" w:hAnsi="Arial"/>
          <w:sz w:val="16"/>
          <w:szCs w:val="16"/>
          <w:color w:val="auto"/>
        </w:rPr>
        <w:t>"), together with detailed supporting calculations and documentation, to Siegal within fifteen (15) days of the date of Siegal's termination, if applicable, or such other time as requested by Siegal (provided Siegal reasonably believes that any of the Payments may be subject to the Excise Tax). If requested by the Siegal, the Company shall furnish Siegal, at the Company's expense, with an opinion reasonably acceptable to Siegal from the Company's accounting firm (or an accounting firm of equivalent stature reasonably acceptable to Siegal) that there is a reasonable basis for the Determination. Any Gross-Up Payment determined pursuant to this paragraph 6 shall be paid by the Company to Siegal within five (5) days of receipt of the Determination.</w:t>
      </w:r>
    </w:p>
    <w:p>
      <w:pPr>
        <w:spacing w:after="0" w:line="172" w:lineRule="exact"/>
        <w:rPr>
          <w:rFonts w:ascii="Arial" w:cs="Arial" w:eastAsia="Arial" w:hAnsi="Arial"/>
          <w:sz w:val="16"/>
          <w:szCs w:val="16"/>
          <w:color w:val="auto"/>
        </w:rPr>
      </w:pPr>
    </w:p>
    <w:p>
      <w:pPr>
        <w:ind w:left="-359" w:right="120" w:firstLine="359"/>
        <w:spacing w:after="0" w:line="259" w:lineRule="auto"/>
        <w:tabs>
          <w:tab w:leader="none" w:pos="3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Sections 4999 and 280G of the Code, it is possible that a Gross-Up Payment (or a portion thereof) will be paid which should not have been paid (an "</w:t>
      </w:r>
      <w:r>
        <w:rPr>
          <w:rFonts w:ascii="Arial" w:cs="Arial" w:eastAsia="Arial" w:hAnsi="Arial"/>
          <w:sz w:val="18"/>
          <w:szCs w:val="18"/>
          <w:i w:val="1"/>
          <w:iCs w:val="1"/>
          <w:color w:val="auto"/>
        </w:rPr>
        <w:t>Excess Payment</w:t>
      </w:r>
      <w:r>
        <w:rPr>
          <w:rFonts w:ascii="Arial" w:cs="Arial" w:eastAsia="Arial" w:hAnsi="Arial"/>
          <w:sz w:val="18"/>
          <w:szCs w:val="18"/>
          <w:color w:val="auto"/>
        </w:rPr>
        <w:t>") or a Gross-Up Payment (or a portion thereof) which should have been paid will not have been paid (an "</w:t>
      </w:r>
      <w:r>
        <w:rPr>
          <w:rFonts w:ascii="Arial" w:cs="Arial" w:eastAsia="Arial" w:hAnsi="Arial"/>
          <w:sz w:val="18"/>
          <w:szCs w:val="18"/>
          <w:i w:val="1"/>
          <w:iCs w:val="1"/>
          <w:color w:val="auto"/>
        </w:rPr>
        <w:t>Underpayment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359" w:firstLine="359"/>
        <w:spacing w:after="0" w:line="289" w:lineRule="auto"/>
        <w:tabs>
          <w:tab w:leader="none" w:pos="318"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Underpayment shall be deemed to have occurred (A) upon notice (formal or informal) to Siegal from any governmental taxing authority that Siegal's tax liability (whether in respect of Siegal's current taxable year or in respect of any prior taxable year) may be increased by reason of the imposition of the Excise Tax on a Payment or Payments with respect to which the Company has failed to make a sufficient Gross-Up Payment, (B) upon a determination by a court, or (C) by reason of determination by the Company (which shall include the position taken by the Company, together with its consolidated group, on its federal income tax return). If an Underpayment occurs, Siegal shall promptly notify the Company and the Company shall promptly, but in any event at least five (5) days prior to the date on which the applicable government taxing authority has requested payment, pay to Siegal an additional Gross-Up Payment equal to the amount of the Underpayment plus any interest and penalties (other than interest and penalties imposed by reason of Siegal's failure to file timely a tax return or pay taxes shown due on Siegal's return) imposed on the Underpayment.</w:t>
      </w:r>
    </w:p>
    <w:p>
      <w:pPr>
        <w:spacing w:after="0" w:line="172" w:lineRule="exact"/>
        <w:rPr>
          <w:rFonts w:ascii="Arial" w:cs="Arial" w:eastAsia="Arial" w:hAnsi="Arial"/>
          <w:sz w:val="16"/>
          <w:szCs w:val="16"/>
          <w:color w:val="auto"/>
        </w:rPr>
      </w:pPr>
    </w:p>
    <w:p>
      <w:pPr>
        <w:ind w:left="-359" w:right="20" w:firstLine="359"/>
        <w:spacing w:after="0" w:line="287" w:lineRule="auto"/>
        <w:tabs>
          <w:tab w:leader="none" w:pos="3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Excess Payment shall be deemed to have occurred upon a Final Determination (as hereinafter defined) that the Excise Tax shall not be imposed upon a Payment or Payments (or portion thereof) with respect to which Siegal had previously received a Gross-Up Payment. A "Final Determination" shall be deemed to have occurred when Siegal has received from the applicable government taxing authority a refund of taxes or other reduction in Siegal's tax liability by reason of the Excise Payment and upon either (A) the date a determination is made by, or an agreement is entered into with, the applicable governmental taxing authority which finally and conclusively binds Siegal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statute of limitations with respect to Siegal's applicable tax return has expired. If an Excess Payment is determined to have been made, the amount of the Excess Payment shall be repaid by Siegal to the Company unless, and only to the extent that, the repayment would either reduce the amount on which Siegal is subject to tax under Code Section 4999 or generate a refund of tax imposed under Code Section 4999.</w:t>
      </w:r>
    </w:p>
    <w:p>
      <w:pPr>
        <w:spacing w:after="0" w:line="176" w:lineRule="exact"/>
        <w:rPr>
          <w:rFonts w:ascii="Arial" w:cs="Arial" w:eastAsia="Arial" w:hAnsi="Arial"/>
          <w:sz w:val="16"/>
          <w:szCs w:val="16"/>
          <w:color w:val="auto"/>
        </w:rPr>
      </w:pPr>
    </w:p>
    <w:p>
      <w:pPr>
        <w:ind w:left="-359" w:right="140" w:firstLine="359"/>
        <w:spacing w:after="0" w:line="268" w:lineRule="auto"/>
        <w:tabs>
          <w:tab w:leader="none" w:pos="3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in the event that, according to the Determination, an Excise Tax will be imposed on any Payment or Payments,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121285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1"/>
          </w:cols>
          <w:pgMar w:left="1139" w:top="131" w:right="259" w:bottom="1440" w:gutter="0" w:footer="0" w:header="0"/>
        </w:sectPr>
      </w:pPr>
    </w:p>
    <w:bookmarkStart w:id="95" w:name="page96"/>
    <w:bookmarkEnd w:id="95"/>
    <w:p>
      <w:pPr>
        <w:spacing w:after="0" w:line="268" w:lineRule="auto"/>
        <w:rPr>
          <w:sz w:val="20"/>
          <w:szCs w:val="20"/>
          <w:color w:val="auto"/>
        </w:rPr>
      </w:pPr>
      <w:r>
        <w:rPr>
          <w:rFonts w:ascii="Arial" w:cs="Arial" w:eastAsia="Arial" w:hAnsi="Arial"/>
          <w:sz w:val="18"/>
          <w:szCs w:val="18"/>
          <w:color w:val="auto"/>
        </w:rPr>
        <w:t>Company shall pay to the applicable government taxing authorities, as Excise Tax withholding, the amount of the Excise Tax that the Company has actually withheld from the Payment or Payments.</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Laura Siegal</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3204210</wp:posOffset>
            </wp:positionH>
            <wp:positionV relativeFrom="paragraph">
              <wp:posOffset>71120</wp:posOffset>
            </wp:positionV>
            <wp:extent cx="20840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31" w:lineRule="exact"/>
        <w:rPr>
          <w:sz w:val="20"/>
          <w:szCs w:val="20"/>
          <w:color w:val="auto"/>
        </w:rPr>
      </w:pPr>
    </w:p>
    <w:p>
      <w:pPr>
        <w:ind w:left="2040"/>
        <w:spacing w:after="0"/>
        <w:tabs>
          <w:tab w:leader="none" w:pos="5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71120</wp:posOffset>
            </wp:positionV>
            <wp:extent cx="18180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Eric DeMarco,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77470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780" w:top="590" w:right="75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 10.5</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SEVERANCE AND CHANGE OF CONTROL AGREEMENT</w:t>
        </w:r>
      </w:hyperlink>
    </w:p>
    <w:p>
      <w:pPr>
        <w:sectPr>
          <w:pgSz w:w="11900" w:h="16838" w:orient="portrait"/>
          <w:cols w:equalWidth="0" w:num="1">
            <w:col w:w="10219"/>
          </w:cols>
          <w:pgMar w:left="240" w:top="820" w:right="1440" w:bottom="1440" w:gutter="0" w:footer="0" w:header="0"/>
        </w:sectPr>
      </w:pPr>
    </w:p>
    <w:bookmarkStart w:id="97" w:name="page98"/>
    <w:bookmarkEnd w:id="97"/>
    <w:p>
      <w:pPr>
        <w:spacing w:after="0"/>
        <w:rPr>
          <w:rFonts w:ascii="Arial" w:cs="Arial" w:eastAsia="Arial" w:hAnsi="Arial"/>
          <w:sz w:val="22"/>
          <w:szCs w:val="22"/>
          <w:color w:val="0000EE"/>
        </w:rPr>
      </w:pPr>
      <w:hyperlink w:anchor="page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0939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99" w:name="page100"/>
    <w:bookmarkEnd w:id="99"/>
    <w:p>
      <w:pPr>
        <w:spacing w:after="0"/>
        <w:rPr>
          <w:rFonts w:ascii="Arial" w:cs="Arial" w:eastAsia="Arial" w:hAnsi="Arial"/>
          <w:sz w:val="22"/>
          <w:szCs w:val="22"/>
          <w:color w:val="0000EE"/>
        </w:rPr>
      </w:pPr>
      <w:hyperlink w:anchor="page1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1470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01" w:name="page102"/>
    <w:bookmarkEnd w:id="101"/>
    <w:p>
      <w:pPr>
        <w:spacing w:after="0"/>
        <w:rPr>
          <w:rFonts w:ascii="Arial" w:cs="Arial" w:eastAsia="Arial" w:hAnsi="Arial"/>
          <w:sz w:val="22"/>
          <w:szCs w:val="22"/>
          <w:color w:val="0000EE"/>
        </w:rPr>
      </w:pPr>
      <w:hyperlink w:anchor="page10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29, 2008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2008</w:t>
      </w:r>
    </w:p>
    <w:p>
      <w:pPr>
        <w:ind w:left="262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2620"/>
        <w:spacing w:after="0"/>
        <w:tabs>
          <w:tab w:leader="none" w:pos="3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62230</wp:posOffset>
            </wp:positionV>
            <wp:extent cx="15951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103" w:name="page104"/>
    <w:bookmarkEnd w:id="103"/>
    <w:p>
      <w:pPr>
        <w:spacing w:after="0"/>
        <w:rPr>
          <w:rFonts w:ascii="Arial" w:cs="Arial" w:eastAsia="Arial" w:hAnsi="Arial"/>
          <w:sz w:val="22"/>
          <w:szCs w:val="22"/>
          <w:color w:val="0000EE"/>
        </w:rPr>
      </w:pPr>
      <w:hyperlink w:anchor="page10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June 29, 2008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2008</w:t>
      </w:r>
    </w:p>
    <w:p>
      <w:pPr>
        <w:ind w:left="2620"/>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ind w:left="2620"/>
        <w:spacing w:after="0"/>
        <w:tabs>
          <w:tab w:leader="none" w:pos="3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62230</wp:posOffset>
            </wp:positionV>
            <wp:extent cx="15951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lowerLetter"/>
      <w:start w:val="6"/>
    </w:lvl>
  </w:abstractNum>
  <w:abstractNum w:abstractNumId="4">
    <w:nsid w:val="6CEAF087"/>
    <w:multiLevelType w:val="hybridMultilevel"/>
    <w:lvl w:ilvl="0">
      <w:lvlJc w:val="left"/>
      <w:lvlText w:val="(%1)"/>
      <w:numFmt w:val="lowerLetter"/>
      <w:start w:val="8"/>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3"/>
    </w:lvl>
  </w:abstractNum>
  <w:abstractNum w:abstractNumId="26">
    <w:nsid w:val="2A487CB0"/>
    <w:multiLevelType w:val="hybridMultilevel"/>
    <w:lvl w:ilvl="0">
      <w:lvlJc w:val="left"/>
      <w:lvlText w:val="%1."/>
      <w:numFmt w:val="decimal"/>
      <w:start w:val="5"/>
    </w:lvl>
  </w:abstractNum>
  <w:abstractNum w:abstractNumId="27">
    <w:nsid w:val="1D4ED43B"/>
    <w:multiLevelType w:val="hybridMultilevel"/>
    <w:lvl w:ilvl="0">
      <w:lvlJc w:val="left"/>
      <w:lvlText w:val="(%1)"/>
      <w:numFmt w:val="lowerLetter"/>
      <w:start w:val="1"/>
    </w:lvl>
    <w:lvl w:ilvl="1">
      <w:lvlJc w:val="left"/>
      <w:lvlText w:val="(%2)"/>
      <w:numFmt w:val="lowerLetter"/>
      <w:start w:val="9"/>
    </w:lvl>
  </w:abstractNum>
  <w:abstractNum w:abstractNumId="28">
    <w:nsid w:val="725A06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2"/>
    </w:lvl>
  </w:abstractNum>
  <w:abstractNum w:abstractNumId="29">
    <w:nsid w:val="2CD89A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0">
    <w:nsid w:val="57E4CCAF"/>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Roman"/>
      <w:start w:val="1"/>
    </w:lvl>
  </w:abstractNum>
  <w:abstractNum w:abstractNumId="31">
    <w:nsid w:val="7A6D8D3C"/>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decimal"/>
      <w:start w:val="1"/>
    </w:lvl>
    <w:lvl w:ilvl="1">
      <w:lvlJc w:val="left"/>
      <w:lvlText w:val="(%2)"/>
      <w:numFmt w:val="lowerLetter"/>
      <w:start w:val="6"/>
    </w:lvl>
  </w:abstractNum>
  <w:abstractNum w:abstractNumId="35">
    <w:nsid w:val="38437FDB"/>
    <w:multiLevelType w:val="hybridMultilevel"/>
    <w:lvl w:ilvl="0">
      <w:lvlJc w:val="left"/>
      <w:lvlText w:val="%1."/>
      <w:numFmt w:val="decimal"/>
      <w:start w:val="8"/>
    </w:lvl>
    <w:lvl w:ilvl="1">
      <w:lvlJc w:val="left"/>
      <w:lvlText w:val="%2"/>
      <w:numFmt w:val="lowerLetter"/>
      <w:start w:val="1"/>
    </w:lvl>
  </w:abstractNum>
  <w:abstractNum w:abstractNumId="36">
    <w:nsid w:val="7644A45C"/>
    <w:multiLevelType w:val="hybridMultilevel"/>
    <w:lvl w:ilvl="0">
      <w:lvlJc w:val="left"/>
      <w:lvlText w:val="%1."/>
      <w:numFmt w:val="decimal"/>
      <w:start w:val="12"/>
    </w:lvl>
  </w:abstractNum>
  <w:abstractNum w:abstractNumId="37">
    <w:nsid w:val="32FFF902"/>
    <w:multiLevelType w:val="hybridMultilevel"/>
    <w:lvl w:ilvl="0">
      <w:lvlJc w:val="left"/>
      <w:lvlText w:val="%1."/>
      <w:numFmt w:val="decimal"/>
      <w:start w:val="13"/>
    </w:lvl>
  </w:abstractNum>
  <w:abstractNum w:abstractNumId="38">
    <w:nsid w:val="684A481A"/>
    <w:multiLevelType w:val="hybridMultilevel"/>
    <w:lvl w:ilvl="0">
      <w:lvlJc w:val="left"/>
      <w:lvlText w:val="%1."/>
      <w:numFmt w:val="decimal"/>
      <w:start w:val="14"/>
    </w:lvl>
  </w:abstractNum>
  <w:abstractNum w:abstractNumId="39">
    <w:nsid w:val="579478FE"/>
    <w:multiLevelType w:val="hybridMultilevel"/>
    <w:lvl w:ilvl="0">
      <w:lvlJc w:val="left"/>
      <w:lvlText w:val="%1."/>
      <w:numFmt w:val="upperLetter"/>
      <w:start w:val="1"/>
    </w:lvl>
  </w:abstractNum>
  <w:abstractNum w:abstractNumId="40">
    <w:nsid w:val="749ABB43"/>
    <w:multiLevelType w:val="hybridMultilevel"/>
    <w:lvl w:ilvl="0">
      <w:lvlJc w:val="left"/>
      <w:lvlText w:val="%1."/>
      <w:numFmt w:val="decimal"/>
      <w:start w:val="1"/>
    </w:lvl>
    <w:lvl w:ilvl="1">
      <w:lvlJc w:val="left"/>
      <w:lvlText w:val="(%2)"/>
      <w:numFmt w:val="lowerLetter"/>
      <w:start w:val="1"/>
    </w:lvl>
  </w:abstractNum>
  <w:abstractNum w:abstractNumId="41">
    <w:nsid w:val="3DC240FB"/>
    <w:multiLevelType w:val="hybridMultilevel"/>
    <w:lvl w:ilvl="0">
      <w:lvlJc w:val="left"/>
      <w:lvlText w:val="%1"/>
      <w:numFmt w:val="decimal"/>
      <w:start w:val="1"/>
    </w:lvl>
    <w:lvl w:ilvl="1">
      <w:lvlJc w:val="left"/>
      <w:lvlText w:val="(%2)"/>
      <w:numFmt w:val="decimal"/>
      <w:start w:val="30"/>
    </w:lvl>
    <w:lvl w:ilvl="2">
      <w:lvlJc w:val="left"/>
      <w:lvlText w:val="(%3)"/>
      <w:numFmt w:val="lowerLetter"/>
      <w:start w:val="2"/>
    </w:lvl>
  </w:abstractNum>
  <w:abstractNum w:abstractNumId="42">
    <w:nsid w:val="1BA026FA"/>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43">
    <w:nsid w:val="79A1DEAA"/>
    <w:multiLevelType w:val="hybridMultilevel"/>
    <w:lvl w:ilvl="0">
      <w:lvlJc w:val="left"/>
      <w:lvlText w:val="%1"/>
      <w:numFmt w:val="decimal"/>
      <w:start w:val="1"/>
    </w:lvl>
    <w:lvl w:ilvl="1">
      <w:lvlJc w:val="left"/>
      <w:lvlText w:val="(%2)"/>
      <w:numFmt w:val="lowerLetter"/>
      <w:start w:val="3"/>
    </w:lvl>
  </w:abstractNum>
  <w:abstractNum w:abstractNumId="44">
    <w:nsid w:val="75C6C33A"/>
    <w:multiLevelType w:val="hybridMultilevel"/>
    <w:lvl w:ilvl="0">
      <w:lvlJc w:val="left"/>
      <w:lvlText w:val="%1."/>
      <w:numFmt w:val="decimal"/>
      <w:start w:val="4"/>
    </w:lvl>
    <w:lvl w:ilvl="1">
      <w:lvlJc w:val="left"/>
      <w:lvlText w:val="(%2)"/>
      <w:numFmt w:val="lowerLetter"/>
      <w:start w:val="1"/>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6"/>
    </w:lvl>
  </w:abstractNum>
  <w:abstractNum w:abstractNumId="47">
    <w:nsid w:val="520EEDD1"/>
    <w:multiLevelType w:val="hybridMultilevel"/>
    <w:lvl w:ilvl="0">
      <w:lvlJc w:val="left"/>
      <w:lvlText w:val="%1."/>
      <w:numFmt w:val="upperLetter"/>
      <w:start w:val="1"/>
    </w:lvl>
  </w:abstractNum>
  <w:abstractNum w:abstractNumId="48">
    <w:nsid w:val="374A3FE6"/>
    <w:multiLevelType w:val="hybridMultilevel"/>
    <w:lvl w:ilvl="0">
      <w:lvlJc w:val="left"/>
      <w:lvlText w:val="%1."/>
      <w:numFmt w:val="upperLetter"/>
      <w:start w:val="3"/>
    </w:lvl>
  </w:abstractNum>
  <w:abstractNum w:abstractNumId="49">
    <w:nsid w:val="4F4EF005"/>
    <w:multiLevelType w:val="hybridMultilevel"/>
    <w:lvl w:ilvl="0">
      <w:lvlJc w:val="left"/>
      <w:lvlText w:val="%1."/>
      <w:numFmt w:val="decimal"/>
      <w:start w:val="1"/>
    </w:lvl>
    <w:lvl w:ilvl="1">
      <w:lvlJc w:val="left"/>
      <w:lvlText w:val="(%2)"/>
      <w:numFmt w:val="lowerLetter"/>
      <w:start w:val="1"/>
    </w:lvl>
  </w:abstractNum>
  <w:abstractNum w:abstractNumId="50">
    <w:nsid w:val="23F9C1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1">
    <w:nsid w:val="649BB77C"/>
    <w:multiLevelType w:val="hybridMultilevel"/>
    <w:lvl w:ilvl="0">
      <w:lvlJc w:val="left"/>
      <w:lvlText w:val="%1."/>
      <w:numFmt w:val="decimal"/>
      <w:start w:val="3"/>
    </w:lvl>
    <w:lvl w:ilvl="1">
      <w:lvlJc w:val="left"/>
      <w:lvlText w:val="(%2)"/>
      <w:numFmt w:val="decimal"/>
      <w:start w:val="11"/>
    </w:lvl>
    <w:lvl w:ilvl="2">
      <w:lvlJc w:val="left"/>
      <w:lvlText w:val="(%3)"/>
      <w:numFmt w:val="lowerLetter"/>
      <w:start w:val="1"/>
    </w:lvl>
  </w:abstractNum>
  <w:abstractNum w:abstractNumId="52">
    <w:nsid w:val="275AC794"/>
    <w:multiLevelType w:val="hybridMultilevel"/>
    <w:lvl w:ilvl="0">
      <w:lvlJc w:val="left"/>
      <w:lvlText w:val="%1"/>
      <w:numFmt w:val="decimal"/>
      <w:start w:val="1"/>
    </w:lvl>
    <w:lvl w:ilvl="1">
      <w:lvlJc w:val="left"/>
      <w:lvlText w:val="(%2)"/>
      <w:numFmt w:val="lowerLetter"/>
      <w:start w:val="3"/>
    </w:lvl>
  </w:abstractNum>
  <w:abstractNum w:abstractNumId="53">
    <w:nsid w:val="39386575"/>
    <w:multiLevelType w:val="hybridMultilevel"/>
    <w:lvl w:ilvl="0">
      <w:lvlJc w:val="left"/>
      <w:lvlText w:val="%1."/>
      <w:numFmt w:val="decimal"/>
      <w:start w:val="4"/>
    </w:lvl>
    <w:lvl w:ilvl="1">
      <w:lvlJc w:val="left"/>
      <w:lvlText w:val="(%2)"/>
      <w:numFmt w:val="lowerLetter"/>
      <w:start w:val="1"/>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2019-12-14T21:44:22Z</dcterms:created>
  <dcterms:modified xsi:type="dcterms:W3CDTF">2019-12-14T21:44:22Z</dcterms:modified>
</cp:coreProperties>
</file>