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50"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71" w:lineRule="exact"/>
        <w:rPr>
          <w:rFonts w:ascii="MS PGothic" w:cs="MS PGothic" w:eastAsia="MS PGothic" w:hAnsi="MS PGothic"/>
          <w:sz w:val="22"/>
          <w:szCs w:val="22"/>
          <w:color w:val="auto"/>
        </w:rPr>
      </w:pPr>
    </w:p>
    <w:p>
      <w:pPr>
        <w:ind w:left="38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Quarterly Period Ended March 29, 2015</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AND EXCHANGE ACT OF 1934</w:t>
      </w:r>
    </w:p>
    <w:p>
      <w:pPr>
        <w:spacing w:after="0" w:line="282"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182880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7"/>
          <w:szCs w:val="27"/>
          <w:b w:val="1"/>
          <w:bCs w:val="1"/>
          <w:color w:val="auto"/>
        </w:rPr>
        <w:t>KRATOS DEFENSE &amp; SECURITY SOLUTIONS, INC.</w:t>
      </w:r>
    </w:p>
    <w:p>
      <w:pPr>
        <w:spacing w:after="0" w:line="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40"/>
          </w:cols>
          <w:pgMar w:left="240" w:top="229" w:right="319" w:bottom="1440" w:gutter="0" w:footer="0" w:header="0"/>
        </w:sectPr>
      </w:pPr>
    </w:p>
    <w:p>
      <w:pPr>
        <w:spacing w:after="0" w:line="147"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13-3818604</w:t>
      </w:r>
    </w:p>
    <w:p>
      <w:pPr>
        <w:spacing w:after="0" w:line="79" w:lineRule="exact"/>
        <w:rPr>
          <w:sz w:val="24"/>
          <w:szCs w:val="24"/>
          <w:color w:val="auto"/>
        </w:rPr>
      </w:pPr>
    </w:p>
    <w:p>
      <w:pPr>
        <w:sectPr>
          <w:pgSz w:w="11900" w:h="16838" w:orient="portrait"/>
          <w:cols w:equalWidth="0" w:num="2">
            <w:col w:w="7420" w:space="720"/>
            <w:col w:w="3200"/>
          </w:cols>
          <w:pgMar w:left="240" w:top="229" w:right="31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54" w:lineRule="exact"/>
        <w:rPr>
          <w:sz w:val="24"/>
          <w:szCs w:val="24"/>
          <w:color w:val="auto"/>
        </w:rPr>
      </w:pPr>
    </w:p>
    <w:p>
      <w:pPr>
        <w:sectPr>
          <w:pgSz w:w="11900" w:h="16838" w:orient="portrait"/>
          <w:cols w:equalWidth="0" w:num="2">
            <w:col w:w="6540" w:space="720"/>
            <w:col w:w="4080"/>
          </w:cols>
          <w:pgMar w:left="240" w:top="229" w:right="31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4820 Eastgate Mall, Suite 200</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San Diego, CA 92121</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(858) 812-7300</w:t>
      </w:r>
    </w:p>
    <w:p>
      <w:pPr>
        <w:spacing w:after="0" w:line="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right="2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ind w:right="24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29" w:right="319" w:bottom="1440" w:gutter="0" w:footer="0" w:header="0"/>
          <w:type w:val="continuous"/>
        </w:sectPr>
      </w:pPr>
    </w:p>
    <w:p>
      <w:pPr>
        <w:spacing w:after="0" w:line="32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Large accelerated filer o</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40" w:lineRule="exact"/>
        <w:rPr>
          <w:sz w:val="24"/>
          <w:szCs w:val="24"/>
          <w:color w:val="auto"/>
        </w:rPr>
      </w:pPr>
    </w:p>
    <w:p>
      <w:pPr>
        <w:sectPr>
          <w:pgSz w:w="11900" w:h="16838" w:orient="portrait"/>
          <w:cols w:equalWidth="0" w:num="2">
            <w:col w:w="7140" w:space="720"/>
            <w:col w:w="3480"/>
          </w:cols>
          <w:pgMar w:left="240" w:top="229" w:right="319" w:bottom="1440" w:gutter="0" w:footer="0" w:header="0"/>
          <w:type w:val="continuous"/>
        </w:sectPr>
      </w:pPr>
    </w:p>
    <w:p>
      <w:pPr>
        <w:spacing w:after="0" w:line="133"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74" w:lineRule="exact"/>
        <w:rPr>
          <w:sz w:val="24"/>
          <w:szCs w:val="24"/>
          <w:color w:val="auto"/>
        </w:rPr>
      </w:pPr>
    </w:p>
    <w:p>
      <w:pPr>
        <w:sectPr>
          <w:pgSz w:w="11900" w:h="16838" w:orient="portrait"/>
          <w:cols w:equalWidth="0" w:num="2">
            <w:col w:w="6800" w:space="720"/>
            <w:col w:w="3820"/>
          </w:cols>
          <w:pgMar w:left="240" w:top="229" w:right="31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ectPr>
          <w:pgSz w:w="11900" w:h="16838" w:orient="portrait"/>
          <w:cols w:equalWidth="0" w:num="1">
            <w:col w:w="11340"/>
          </w:cols>
          <w:pgMar w:left="240" w:top="229" w:right="319" w:bottom="1440" w:gutter="0" w:footer="0" w:header="0"/>
          <w:type w:val="continuous"/>
        </w:sectPr>
      </w:pPr>
    </w:p>
    <w:p>
      <w:pPr>
        <w:spacing w:after="0" w:line="235" w:lineRule="exact"/>
        <w:rPr>
          <w:sz w:val="24"/>
          <w:szCs w:val="24"/>
          <w:color w:val="auto"/>
        </w:rPr>
      </w:pPr>
    </w:p>
    <w:p>
      <w:pPr>
        <w:ind w:left="340" w:right="17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 2015, 53,281,685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500" w:type="dxa"/>
            <w:vAlign w:val="bottom"/>
            <w:gridSpan w:val="10"/>
          </w:tcPr>
          <w:p>
            <w:pPr>
              <w:jc w:val="center"/>
              <w:ind w:right="3440"/>
              <w:spacing w:after="0" w:line="189" w:lineRule="exact"/>
              <w:rPr>
                <w:rFonts w:ascii="Times New Roman" w:cs="Times New Roman" w:eastAsia="Times New Roman" w:hAnsi="Times New Roman"/>
                <w:sz w:val="18"/>
                <w:szCs w:val="18"/>
                <w:b w:val="1"/>
                <w:bCs w:val="1"/>
                <w:color w:val="0000EE"/>
                <w:w w:val="98"/>
              </w:rPr>
            </w:pPr>
            <w:hyperlink w:anchor="page2">
              <w:r>
                <w:rPr>
                  <w:rFonts w:ascii="Times New Roman" w:cs="Times New Roman" w:eastAsia="Times New Roman" w:hAnsi="Times New Roman"/>
                  <w:sz w:val="18"/>
                  <w:szCs w:val="18"/>
                  <w:b w:val="1"/>
                  <w:bCs w:val="1"/>
                  <w:color w:val="0000EE"/>
                  <w:w w:val="98"/>
                </w:rPr>
                <w:t>PART I.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3400" w:type="dxa"/>
            <w:vAlign w:val="bottom"/>
            <w:gridSpan w:val="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3060" w:type="dxa"/>
            <w:vAlign w:val="bottom"/>
            <w:tcBorders>
              <w:top w:val="single" w:sz="8" w:color="0000EE"/>
            </w:tcBorders>
            <w:gridSpan w:val="6"/>
          </w:tcPr>
          <w:p>
            <w:pPr>
              <w:spacing w:after="0"/>
              <w:rPr>
                <w:sz w:val="24"/>
                <w:szCs w:val="24"/>
                <w:color w:val="auto"/>
              </w:rPr>
            </w:pPr>
          </w:p>
        </w:tc>
        <w:tc>
          <w:tcPr>
            <w:tcW w:w="3440" w:type="dxa"/>
            <w:vAlign w:val="bottom"/>
            <w:gridSpan w:val="4"/>
          </w:tcPr>
          <w:p>
            <w:pPr>
              <w:spacing w:after="0"/>
              <w:rPr>
                <w:sz w:val="24"/>
                <w:szCs w:val="24"/>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at December 28, 2014 and March 29, 2015 (unaudited)</w:t>
              </w:r>
            </w:hyperlink>
          </w:p>
        </w:tc>
        <w:tc>
          <w:tcPr>
            <w:tcW w:w="296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Operations and Comprehensive Income (Loss) for the Three Months Ended March 30, 2014 and</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March 29, 2015 (unaudited)</w:t>
              </w:r>
            </w:hyperlink>
          </w:p>
        </w:tc>
        <w:tc>
          <w:tcPr>
            <w:tcW w:w="7780" w:type="dxa"/>
            <w:vAlign w:val="bottom"/>
            <w:tcBorders>
              <w:top w:val="single" w:sz="8" w:color="0000EE"/>
            </w:tcBorders>
            <w:gridSpan w:val="11"/>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Cash Flows for the Three Months Ended March 30, 2014 and March 29, 2015 (unaudited)</w:t>
              </w:r>
            </w:hyperlink>
          </w:p>
        </w:tc>
        <w:tc>
          <w:tcPr>
            <w:tcW w:w="54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Notes to Condensed Consolidated Financial Statements (unaudited)</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2.</w:t>
              </w:r>
            </w:hyperlink>
          </w:p>
        </w:tc>
        <w:tc>
          <w:tcPr>
            <w:tcW w:w="9900" w:type="dxa"/>
            <w:vAlign w:val="bottom"/>
            <w:gridSpan w:val="19"/>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3.</w:t>
              </w:r>
            </w:hyperlink>
          </w:p>
        </w:tc>
        <w:tc>
          <w:tcPr>
            <w:tcW w:w="9900" w:type="dxa"/>
            <w:vAlign w:val="bottom"/>
            <w:gridSpan w:val="19"/>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Quantitative and Qualitative Disclosures About Market Risk</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4.</w:t>
              </w:r>
            </w:hyperlink>
          </w:p>
        </w:tc>
        <w:tc>
          <w:tcPr>
            <w:tcW w:w="9900" w:type="dxa"/>
            <w:vAlign w:val="bottom"/>
            <w:gridSpan w:val="19"/>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Controls and Procedures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33</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Times New Roman" w:cs="Times New Roman" w:eastAsia="Times New Roman" w:hAnsi="Times New Roman"/>
                <w:sz w:val="18"/>
                <w:szCs w:val="18"/>
                <w:b w:val="1"/>
                <w:bCs w:val="1"/>
                <w:color w:val="0000EE"/>
                <w:w w:val="99"/>
              </w:rPr>
            </w:pPr>
            <w:hyperlink w:anchor="page33">
              <w:r>
                <w:rPr>
                  <w:rFonts w:ascii="Times New Roman" w:cs="Times New Roman" w:eastAsia="Times New Roman" w:hAnsi="Times New Roman"/>
                  <w:sz w:val="18"/>
                  <w:szCs w:val="18"/>
                  <w:b w:val="1"/>
                  <w:bCs w:val="1"/>
                  <w:color w:val="0000EE"/>
                  <w:w w:val="99"/>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1.</w:t>
              </w:r>
            </w:hyperlink>
          </w:p>
        </w:tc>
        <w:tc>
          <w:tcPr>
            <w:tcW w:w="9900" w:type="dxa"/>
            <w:vAlign w:val="bottom"/>
            <w:gridSpan w:val="19"/>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Legal Proceedings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33">
              <w:r>
                <w:rPr>
                  <w:rFonts w:ascii="Times New Roman" w:cs="Times New Roman" w:eastAsia="Times New Roman" w:hAnsi="Times New Roman"/>
                  <w:sz w:val="18"/>
                  <w:szCs w:val="18"/>
                  <w:color w:val="0000EE"/>
                  <w:w w:val="96"/>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Risk Factors</w:t>
              </w:r>
            </w:hyperlink>
          </w:p>
        </w:tc>
        <w:tc>
          <w:tcPr>
            <w:tcW w:w="9000" w:type="dxa"/>
            <w:vAlign w:val="bottom"/>
            <w:gridSpan w:val="17"/>
          </w:tcPr>
          <w:p>
            <w:pPr>
              <w:spacing w:after="0"/>
              <w:rPr>
                <w:sz w:val="24"/>
                <w:szCs w:val="24"/>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33</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Unregistered Sales of Equity Securities and Use of Proceeds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3.</w:t>
              </w:r>
            </w:hyperlink>
          </w:p>
        </w:tc>
        <w:tc>
          <w:tcPr>
            <w:tcW w:w="9900" w:type="dxa"/>
            <w:vAlign w:val="bottom"/>
            <w:gridSpan w:val="19"/>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Defaults Upon Senior Securities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4.</w:t>
              </w:r>
            </w:hyperlink>
          </w:p>
        </w:tc>
        <w:tc>
          <w:tcPr>
            <w:tcW w:w="9900" w:type="dxa"/>
            <w:vAlign w:val="bottom"/>
            <w:gridSpan w:val="19"/>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Mine Safety Disclosure</w:t>
              </w:r>
            </w:hyperlink>
            <w:r>
              <w:rPr>
                <w:rFonts w:ascii="Times New Roman" w:cs="Times New Roman" w:eastAsia="Times New Roman" w:hAnsi="Times New Roman"/>
                <w:sz w:val="18"/>
                <w:szCs w:val="18"/>
                <w:color w:val="000000"/>
              </w:rPr>
              <w:t>s</w:t>
            </w: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820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5.</w:t>
              </w:r>
            </w:hyperlink>
          </w:p>
        </w:tc>
        <w:tc>
          <w:tcPr>
            <w:tcW w:w="9900" w:type="dxa"/>
            <w:vAlign w:val="bottom"/>
            <w:gridSpan w:val="19"/>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Other Information</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6.</w:t>
              </w:r>
            </w:hyperlink>
          </w:p>
        </w:tc>
        <w:tc>
          <w:tcPr>
            <w:tcW w:w="9900" w:type="dxa"/>
            <w:vAlign w:val="bottom"/>
            <w:gridSpan w:val="19"/>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Exhibits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35</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11"/>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 except par value and number of shares)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ind w:left="5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96"/>
        </w:trPr>
        <w:tc>
          <w:tcPr>
            <w:tcW w:w="6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December 28, 2014</w:t>
            </w:r>
          </w:p>
        </w:tc>
        <w:tc>
          <w:tcPr>
            <w:tcW w:w="340" w:type="dxa"/>
            <w:vAlign w:val="bottom"/>
          </w:tcPr>
          <w:p>
            <w:pPr>
              <w:spacing w:after="0"/>
              <w:rPr>
                <w:sz w:val="24"/>
                <w:szCs w:val="24"/>
                <w:color w:val="auto"/>
              </w:rPr>
            </w:pPr>
          </w:p>
        </w:tc>
        <w:tc>
          <w:tcPr>
            <w:tcW w:w="19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March 29, 2015</w:t>
            </w: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24"/>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34.4</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238.6</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Inventoried costs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72.1</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w:t>
            </w: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5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374.9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366.2</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81.5</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596.4</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47.7</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5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w:t>
            </w:r>
          </w:p>
        </w:tc>
      </w:tr>
      <w:tr>
        <w:trPr>
          <w:trHeight w:val="284"/>
        </w:trPr>
        <w:tc>
          <w:tcPr>
            <w:tcW w:w="6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1,138.8</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1,122.6</w:t>
            </w:r>
          </w:p>
        </w:tc>
      </w:tr>
      <w:tr>
        <w:trPr>
          <w:trHeight w:val="22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5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42.5</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compensation</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39.2</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56.5</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 liability</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30.2</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r>
      <w:tr>
        <w:trPr>
          <w:trHeight w:val="21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5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226.1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223.0</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principal, net of current portion</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622.0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Line of credit</w:t>
            </w:r>
          </w:p>
        </w:tc>
        <w:tc>
          <w:tcPr>
            <w:tcW w:w="5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41.0</w:t>
            </w:r>
          </w:p>
        </w:tc>
      </w:tr>
      <w:tr>
        <w:trPr>
          <w:trHeight w:val="27"/>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5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w:t>
            </w:r>
          </w:p>
        </w:tc>
      </w:tr>
      <w:tr>
        <w:trPr>
          <w:trHeight w:val="21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5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914.5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911.1</w:t>
            </w: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5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0 shares outstanding at December</w:t>
            </w:r>
          </w:p>
        </w:tc>
        <w:tc>
          <w:tcPr>
            <w:tcW w:w="5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3"/>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28, 2014 and March 29, 2015</w:t>
            </w:r>
          </w:p>
        </w:tc>
        <w:tc>
          <w:tcPr>
            <w:tcW w:w="5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$0.001 par value, 195,000,000 shares authorized; 57,801,978 and 58,273,919 shares</w:t>
            </w: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0"/>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issued and outstanding at December 28, 2014 and March 29, 2015, respectively</w:t>
            </w:r>
          </w:p>
        </w:tc>
        <w:tc>
          <w:tcPr>
            <w:tcW w:w="50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867.1</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5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5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(653.7)</w:t>
            </w:r>
          </w:p>
        </w:tc>
      </w:tr>
      <w:tr>
        <w:trPr>
          <w:trHeight w:val="21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5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224.3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211.5</w:t>
            </w: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1,122.6</w:t>
            </w: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INCOME (LOSS)</w:t>
      </w: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240" w:type="dxa"/>
            <w:vAlign w:val="bottom"/>
          </w:tcPr>
          <w:p>
            <w:pPr>
              <w:spacing w:after="0"/>
              <w:rPr>
                <w:sz w:val="21"/>
                <w:szCs w:val="21"/>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2015</w:t>
            </w:r>
          </w:p>
        </w:tc>
        <w:tc>
          <w:tcPr>
            <w:tcW w:w="0" w:type="dxa"/>
            <w:vAlign w:val="bottom"/>
          </w:tcPr>
          <w:p>
            <w:pPr>
              <w:spacing w:after="0"/>
              <w:rPr>
                <w:sz w:val="1"/>
                <w:szCs w:val="1"/>
                <w:color w:val="auto"/>
              </w:rPr>
            </w:pPr>
          </w:p>
        </w:tc>
      </w:tr>
      <w:tr>
        <w:trPr>
          <w:trHeight w:val="235"/>
        </w:trPr>
        <w:tc>
          <w:tcPr>
            <w:tcW w:w="7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revenues</w:t>
            </w: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sales</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product sales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7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costs</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147.5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Unused office space and other restructuring</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other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from continuing operations before income taxes</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7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7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 and diluted loss per common share:</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and diluted weighted average shares outstanding</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(from above)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cumulative translation adjustment</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loss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20"/>
          </w:cols>
          <w:pgMar w:left="24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March 29, 2015</w:t>
            </w:r>
          </w:p>
        </w:tc>
      </w:tr>
      <w:tr>
        <w:trPr>
          <w:trHeight w:val="23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activities:</w:t>
            </w:r>
          </w:p>
        </w:tc>
        <w:tc>
          <w:tcPr>
            <w:tcW w:w="16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660" w:type="dxa"/>
            <w:vAlign w:val="bottom"/>
          </w:tcPr>
          <w:p>
            <w:pPr>
              <w:jc w:val="right"/>
              <w:ind w:right="14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20"/>
                <w:szCs w:val="20"/>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Income (loss) from discontinued operations</w:t>
            </w:r>
          </w:p>
        </w:tc>
        <w:tc>
          <w:tcPr>
            <w:tcW w:w="16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r>
      <w:tr>
        <w:trPr>
          <w:trHeight w:val="21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16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loss from continuing operations to net cash provided by (used in)</w:t>
            </w:r>
          </w:p>
        </w:tc>
        <w:tc>
          <w:tcPr>
            <w:tcW w:w="1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3"/>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activities from continuing operations:</w:t>
            </w:r>
          </w:p>
        </w:tc>
        <w:tc>
          <w:tcPr>
            <w:tcW w:w="16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60" w:type="dxa"/>
            <w:vAlign w:val="bottom"/>
          </w:tcPr>
          <w:p>
            <w:pPr>
              <w:spacing w:after="0"/>
              <w:rPr>
                <w:sz w:val="20"/>
                <w:szCs w:val="20"/>
                <w:color w:val="auto"/>
              </w:rPr>
            </w:pP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16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premium and discount on Senior Secured Notes</w:t>
            </w:r>
          </w:p>
        </w:tc>
        <w:tc>
          <w:tcPr>
            <w:tcW w:w="16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in unused office space accrual</w:t>
            </w:r>
          </w:p>
        </w:tc>
        <w:tc>
          <w:tcPr>
            <w:tcW w:w="1660" w:type="dxa"/>
            <w:vAlign w:val="bottom"/>
          </w:tcPr>
          <w:p>
            <w:pPr>
              <w:spacing w:after="0"/>
              <w:rPr>
                <w:sz w:val="21"/>
                <w:szCs w:val="21"/>
                <w:color w:val="auto"/>
              </w:rPr>
            </w:pP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1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Accounts receivable</w:t>
            </w:r>
          </w:p>
        </w:tc>
        <w:tc>
          <w:tcPr>
            <w:tcW w:w="1660" w:type="dxa"/>
            <w:vAlign w:val="bottom"/>
          </w:tcPr>
          <w:p>
            <w:pPr>
              <w:spacing w:after="0"/>
              <w:rPr>
                <w:sz w:val="20"/>
                <w:szCs w:val="20"/>
                <w:color w:val="auto"/>
              </w:rPr>
            </w:pP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Inventoried costs</w:t>
            </w:r>
          </w:p>
        </w:tc>
        <w:tc>
          <w:tcPr>
            <w:tcW w:w="1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37"/>
        </w:trPr>
        <w:tc>
          <w:tcPr>
            <w:tcW w:w="67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660" w:type="dxa"/>
            <w:vAlign w:val="bottom"/>
          </w:tcPr>
          <w:p>
            <w:pPr>
              <w:spacing w:after="0"/>
              <w:rPr>
                <w:sz w:val="20"/>
                <w:szCs w:val="20"/>
                <w:color w:val="auto"/>
              </w:rPr>
            </w:pP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Accounts payable</w:t>
            </w:r>
          </w:p>
        </w:tc>
        <w:tc>
          <w:tcPr>
            <w:tcW w:w="1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37"/>
        </w:trPr>
        <w:tc>
          <w:tcPr>
            <w:tcW w:w="67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Accrued compensation</w:t>
            </w:r>
          </w:p>
        </w:tc>
        <w:tc>
          <w:tcPr>
            <w:tcW w:w="16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Accrued expenses</w:t>
            </w:r>
          </w:p>
        </w:tc>
        <w:tc>
          <w:tcPr>
            <w:tcW w:w="1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37"/>
        </w:trPr>
        <w:tc>
          <w:tcPr>
            <w:tcW w:w="67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Advance payments received on contracts</w:t>
            </w:r>
          </w:p>
        </w:tc>
        <w:tc>
          <w:tcPr>
            <w:tcW w:w="16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r>
      <w:tr>
        <w:trPr>
          <w:trHeight w:val="237"/>
        </w:trPr>
        <w:tc>
          <w:tcPr>
            <w:tcW w:w="67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16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Income tax receivable and payable</w:t>
            </w:r>
          </w:p>
        </w:tc>
        <w:tc>
          <w:tcPr>
            <w:tcW w:w="1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7"/>
        </w:trPr>
        <w:tc>
          <w:tcPr>
            <w:tcW w:w="67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Other liabilities</w:t>
            </w:r>
          </w:p>
        </w:tc>
        <w:tc>
          <w:tcPr>
            <w:tcW w:w="16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67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by (used in) operating activities from continuing operations</w:t>
            </w:r>
          </w:p>
        </w:tc>
        <w:tc>
          <w:tcPr>
            <w:tcW w:w="1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16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1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restricted cash</w:t>
            </w:r>
          </w:p>
        </w:tc>
        <w:tc>
          <w:tcPr>
            <w:tcW w:w="16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16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7"/>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(used in) investing activities from continuing operations</w:t>
            </w:r>
          </w:p>
        </w:tc>
        <w:tc>
          <w:tcPr>
            <w:tcW w:w="16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67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16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debt</w:t>
            </w:r>
          </w:p>
        </w:tc>
        <w:tc>
          <w:tcPr>
            <w:tcW w:w="16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7"/>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6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217"/>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financing activities from continuing operations</w:t>
            </w:r>
          </w:p>
        </w:tc>
        <w:tc>
          <w:tcPr>
            <w:tcW w:w="16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67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flows of continuing operations</w:t>
            </w:r>
          </w:p>
        </w:tc>
        <w:tc>
          <w:tcPr>
            <w:tcW w:w="16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operating cash flows of discontinued operations</w:t>
            </w:r>
          </w:p>
        </w:tc>
        <w:tc>
          <w:tcPr>
            <w:tcW w:w="16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6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6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6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34.7</w:t>
            </w:r>
          </w:p>
        </w:tc>
      </w:tr>
      <w:tr>
        <w:trPr>
          <w:trHeight w:val="244"/>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660" w:type="dxa"/>
            <w:vAlign w:val="bottom"/>
            <w:tcBorders>
              <w:top w:val="single" w:sz="8" w:color="auto"/>
              <w:bottom w:val="single" w:sz="8" w:color="auto"/>
            </w:tcBorders>
          </w:tcPr>
          <w:p>
            <w:pPr>
              <w:jc w:val="right"/>
              <w:ind w:right="14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34.4</w:t>
            </w:r>
          </w:p>
        </w:tc>
      </w:tr>
      <w:tr>
        <w:trPr>
          <w:trHeight w:val="20"/>
        </w:trPr>
        <w:tc>
          <w:tcPr>
            <w:tcW w:w="67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references to the “Company” and “Kratos” refer to Kratos Defense &amp; Security Solutions, Inc., a Delaware corporation, and its subsidiaries.</w:t>
      </w:r>
    </w:p>
    <w:p>
      <w:pPr>
        <w:spacing w:after="0" w:line="223"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information as of March 29, 2015 and for the three months ended March 30, 2014 and March 29, 2015 is unaudited. The condensed consolidated balance sheet as of December 28, 2014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(“GAAP”). These unaudited condensed consolidated financial statements should be read in conjunction with the consolidated financial statements and the related notes included in the Company’s audited annual consolidated financial statements for the fiscal year ended December 28, 2014, included in the Company’s Annual Report on Form 10-K filed with the U.S. Securities and Exchange Commission ("SEC") on March 13, 2015 (the “Form 10-K”). Interim operating results are not necessarily indicative of operating results expected in subsequent periods or for the year as a whole.</w:t>
      </w:r>
    </w:p>
    <w:p>
      <w:pPr>
        <w:spacing w:after="0" w:line="182"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100% owned subsidiaries for which all inter-company transactions have been eliminated in consolidation.</w:t>
      </w:r>
    </w:p>
    <w:p>
      <w:pPr>
        <w:spacing w:after="0" w:line="15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52/53 week fiscal year ending on the last Sunday of the calendar year, with interim fiscal periods ending on the last Sunday of each calendar quarter. The three month periods ended March 30, 2014 and March 29, 2015 consisted of 13-week periods, respectively. There are 52 calendar weeks in the fiscal years ending on December 28, 2014 and December 27, 2015.</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Accounting Estimates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accounting principles generally accepted in the United States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Such estimates include revenue recognition, allowance for doubtful accounts, warranties, inventory valuation, valuation of long-lived assets including identifiable intangibles and goodwill, accounting for income taxes including the related valuation allowance on the deferred tax asset and uncertain tax positions, contingencies and litigation, contingent acquisition consideration, stock-based compensation, losses on unused office space, and business combination purchase price allocations. In the future, the Company may realize actual results that differ from the current reported estimates. If the estimates that the Company has used change in the future, such changes could have a material impact on the Company's consolidated financial position, results of operations and cash flows.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accounting for our long-term contracts for production of products and services provided to the U.S. Government and provided to our Public Safety</w:t>
      </w:r>
    </w:p>
    <w:p>
      <w:pPr>
        <w:spacing w:after="0" w:line="27" w:lineRule="exact"/>
        <w:rPr>
          <w:sz w:val="20"/>
          <w:szCs w:val="20"/>
          <w:color w:val="auto"/>
        </w:rPr>
      </w:pPr>
    </w:p>
    <w:p>
      <w:pPr>
        <w:ind w:right="140" w:firstLine="8"/>
        <w:spacing w:after="0" w:line="255" w:lineRule="auto"/>
        <w:tabs>
          <w:tab w:leader="none" w:pos="1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("PSS") segment customers under fixed price contracts, we utilize both cost-to-cost and units delivered measures under the percentage-of-completion method of accounting in accordance with the provisions of Financial Accounting Standards Board (“FASB”) Accounting Standards Codification (“ASC”) Topic 605</w:t>
      </w:r>
      <w:r>
        <w:rPr>
          <w:rFonts w:ascii="Times New Roman" w:cs="Times New Roman" w:eastAsia="Times New Roman" w:hAnsi="Times New Roman"/>
          <w:sz w:val="18"/>
          <w:szCs w:val="18"/>
          <w:i w:val="1"/>
          <w:iCs w:val="1"/>
          <w:color w:val="auto"/>
        </w:rPr>
        <w:t>, Revenue Recognition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Due to the size and nature of many of our contracts accounted for under the percentage-of-completion method of accounting, the estimation of total revenues and costs at completion is complicated and subject to many variables. For example, estimates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8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closely monitors the consistent application of its critical accounting policies and compliance with contract accounting. Business operations personnel conduct periodic contract status and performance reviews. Also, regular and recurring evaluations of contract cost, scheduling and technical matters are performed by management personnel who are independent from the business operations personnel performing work under the contract. When adjustments in estimated contract revenues or costs are required, any significant changes from prior estimates are included in earnings in the current period ("the cumulative catch-up method").</w:t>
      </w:r>
    </w:p>
    <w:p>
      <w:pPr>
        <w:spacing w:after="0" w:line="18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Accounting Standards Updates</w:t>
      </w:r>
    </w:p>
    <w:p>
      <w:pPr>
        <w:spacing w:after="0" w:line="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January 2015 the FASB issued Accounting Standards Update No. 2015-01 ("ASU 2015-1"), "</w:t>
      </w:r>
      <w:r>
        <w:rPr>
          <w:rFonts w:ascii="Times New Roman" w:cs="Times New Roman" w:eastAsia="Times New Roman" w:hAnsi="Times New Roman"/>
          <w:sz w:val="18"/>
          <w:szCs w:val="18"/>
          <w:i w:val="1"/>
          <w:iCs w:val="1"/>
          <w:color w:val="auto"/>
        </w:rPr>
        <w:t>Income Statement - Extraordinary and Unusual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Items (Subtopic 225-20): Simplifying Income Statement Presentation by Eliminating the Concept of Extraordinary Items." </w:t>
      </w:r>
      <w:r>
        <w:rPr>
          <w:rFonts w:ascii="Times New Roman" w:cs="Times New Roman" w:eastAsia="Times New Roman" w:hAnsi="Times New Roman"/>
          <w:sz w:val="18"/>
          <w:szCs w:val="18"/>
          <w:color w:val="auto"/>
        </w:rPr>
        <w:t>ASU 2015-1 eliminates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the concept of extraordinary items. Subtopic 225-20, Income Statement - Extraordinary and Unusual Items, required that an entity separately classify, present, and disclose extraordinary events and transactions. Presently, an event or transaction is presumed to be an ordinary and usual activity of the reporting entity unless evidence clearly supports its classification as an extraordinary item. The amendments in this ASU are effective for fiscal years, and interim periods within those fiscal years, beginning after December 15, 2015. The Company does not believe that the adoption of this guidance will have a material impact on its condensed consolidated financial statements.</w:t>
      </w:r>
    </w:p>
    <w:p>
      <w:pPr>
        <w:spacing w:after="0" w:line="19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April 2014, the FASB issued Accounting Standards Update 2014-08 ("ASU 2014-08") "</w:t>
      </w:r>
      <w:r>
        <w:rPr>
          <w:rFonts w:ascii="Times New Roman" w:cs="Times New Roman" w:eastAsia="Times New Roman" w:hAnsi="Times New Roman"/>
          <w:sz w:val="18"/>
          <w:szCs w:val="18"/>
          <w:i w:val="1"/>
          <w:iCs w:val="1"/>
          <w:color w:val="auto"/>
        </w:rPr>
        <w:t>Presentation of Financial Statements (Topic 205)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Property, Plant, and Equipment (Topic 360): Reporting Discontinued Operations and Disclosures of Disposals of Components of an Entity." </w:t>
      </w:r>
      <w:r>
        <w:rPr>
          <w:rFonts w:ascii="Times New Roman" w:cs="Times New Roman" w:eastAsia="Times New Roman" w:hAnsi="Times New Roman"/>
          <w:sz w:val="18"/>
          <w:szCs w:val="18"/>
          <w:color w:val="auto"/>
        </w:rPr>
        <w:t>The amendments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ASU 2014-08 change the criteria for reporting discontinued operations and requires enhanced disclosures in this area. Under the new guidance, only disposals representing a strategic shift in operations should be presented as discontinued operations. Those strategic shifts should have a major effect on the organization’s operations and financial results. Examples include a disposal of a major geographic area, a major line of business, or a major equity method investment. In addition, the new guidance requires expanded disclosures about discontinued operations that will provide financial statement users with more information about the assets, liabilities, income, and expenses of discontinued operations. The new guidance also requires disclosure of the pre-tax income attributable to a disposal of a significant part of an organization that does not qualify for discontinued operations reporting. The amendments in ASU 2014-08 were effective in the first quarter of 2015 for public organizations with calendar year ends. The Company adopted this standard in the quarter ended March 29, 2015, which did not have a material impact on its condensed consolidated financial statements.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2014-09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affects any entity using GAAP that either enters into contracts with customers to transfer goods or services or enters into contracts for the transfer of nonfinancial assets unless those contracts are within the scope of other standards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insurance contracts or lease contracts). ASU 2014-09 will supersede the revenue recognition requirements in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and most industry-specific guidance. The ASU also supersedes some cost guidance included in ASC Subtopic 605-35, </w:t>
      </w:r>
      <w:r>
        <w:rPr>
          <w:rFonts w:ascii="Times New Roman" w:cs="Times New Roman" w:eastAsia="Times New Roman" w:hAnsi="Times New Roman"/>
          <w:sz w:val="18"/>
          <w:szCs w:val="18"/>
          <w:i w:val="1"/>
          <w:iCs w:val="1"/>
          <w:color w:val="auto"/>
        </w:rPr>
        <w:t>Revenue Recognition—Construction-Type and Production-Type Contracts</w:t>
      </w:r>
      <w:r>
        <w:rPr>
          <w:rFonts w:ascii="Times New Roman" w:cs="Times New Roman" w:eastAsia="Times New Roman" w:hAnsi="Times New Roman"/>
          <w:sz w:val="18"/>
          <w:szCs w:val="18"/>
          <w:color w:val="auto"/>
        </w:rPr>
        <w:t>. For a public entity, the amendments in this ASU are effective for annual reporting periods beginning after December 15, 2016, including interim periods within that reporting period, however, a delay in the effective date is currently being considered by the FASB, which we expect will result in at least a one year deferral. Early application is not permitted. The guidance permits companies to either apply the requirements retrospectively to all prior periods presented or apply the requirements in the year of adoption, through a cumulative adjustment. The Company has not yet selected a transition method nor has it determined the impact of adoption on its condensed consolidated financial statements.</w:t>
      </w:r>
    </w:p>
    <w:p>
      <w:pPr>
        <w:spacing w:after="0" w:line="22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August 2014, the FASB issued Accounting Standards Update 2014-15 ("ASU 2014-15") </w:t>
      </w:r>
      <w:r>
        <w:rPr>
          <w:rFonts w:ascii="Times New Roman" w:cs="Times New Roman" w:eastAsia="Times New Roman" w:hAnsi="Times New Roman"/>
          <w:sz w:val="18"/>
          <w:szCs w:val="18"/>
          <w:i w:val="1"/>
          <w:iCs w:val="1"/>
          <w:color w:val="auto"/>
        </w:rPr>
        <w:t>"Presentation of Financial Statements—Going Concern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205-40): Disclosure of Uncertainties about an Entity’s Ability to Continue as a Going Concern." </w:t>
      </w:r>
      <w:r>
        <w:rPr>
          <w:rFonts w:ascii="Times New Roman" w:cs="Times New Roman" w:eastAsia="Times New Roman" w:hAnsi="Times New Roman"/>
          <w:sz w:val="18"/>
          <w:szCs w:val="18"/>
          <w:color w:val="auto"/>
        </w:rPr>
        <w:t>ASU 2014-15 is intended to define management’s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to evaluate whether there is substantial doubt about an organization’s ability to continue as a going concern and to provide related footnote disclosures. Under GAAP, financial statements are prepared under the presumption that the reporting organization will continue to operate as a going concern, except in limited circumstances. Financial reporting under this presumption is commonly referred to as the going concern basis of accounting. The going concern basis of accounting is critical to financial reporting because it establishes the fundamental</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basis for measuring and classifying assets and liabilities. Currently, GAAP lacks guidance about management’s responsibility to evaluate whether there is substantial doubt about the organization’s ability to continue as a going concern or to provide related footnote disclosures. ASU 2014-15 provides guidance to an organization’s management, with principles and definitions that are intended to reduce diversity in the timing and content of disclosures that are commonly provided by organizations today in the financial statement footnotes. The amendments are effective for annual periods ending after December 15, 2016, including interim periods within that reporting period. Early application is permitted for annual or interim reporting periods for which the financial statements have not previously been issued. The Company does not believe that the adoption of this guidance will have a material impact on its condensed consolidated financial statements.</w:t>
      </w:r>
    </w:p>
    <w:p>
      <w:pPr>
        <w:spacing w:after="0" w:line="23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other than the adoption of ASU 2014-08, for the three months ended March 29, 2015 as compared to the significant accounting policies described in the Form 10-K.</w:t>
      </w:r>
    </w:p>
    <w:p>
      <w:pPr>
        <w:spacing w:after="0" w:line="266"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carrying amounts and the related estimated fair values of the Company's long-term debt financial instruments not measured at fair value on a recurring basis at December 28, 2014 and March 29, 2015 are presented in Note 7. The carrying value of all other financial instruments, including cash equivalents, accounts receivable, accounts payable, accrued expenses, billings in excess of cost and earnings on uncompleted contracts, income taxes payable and short-term debt, approximated their estimated fair values at December 28, 2014 and March 29, 2015 due to the short-term nature of these instruments.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Goodwill and Intangible Assets</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amounts of goodwill as of December 28, 2014 and March 29, 2015 by reportable segment are as follows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Public Safety &amp;</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Kratos Government</w:t>
            </w:r>
          </w:p>
        </w:tc>
        <w:tc>
          <w:tcPr>
            <w:tcW w:w="140" w:type="dxa"/>
            <w:vAlign w:val="bottom"/>
          </w:tcPr>
          <w:p>
            <w:pPr>
              <w:spacing w:after="0"/>
              <w:rPr>
                <w:sz w:val="13"/>
                <w:szCs w:val="13"/>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Unmanned Systems</w:t>
            </w:r>
          </w:p>
        </w:tc>
        <w:tc>
          <w:tcPr>
            <w:tcW w:w="36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843.8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463.5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596.4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Purchased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28, 2014</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29, 2015</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49"/>
        </w:trPr>
        <w:tc>
          <w:tcPr>
            <w:tcW w:w="3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14"/>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280" w:type="dxa"/>
            <w:vAlign w:val="bottom"/>
          </w:tcPr>
          <w:p>
            <w:pPr>
              <w:spacing w:after="0"/>
              <w:rPr>
                <w:sz w:val="12"/>
                <w:szCs w:val="12"/>
                <w:color w:val="auto"/>
              </w:rPr>
            </w:pPr>
          </w:p>
        </w:tc>
        <w:tc>
          <w:tcPr>
            <w:tcW w:w="980" w:type="dxa"/>
            <w:vAlign w:val="bottom"/>
          </w:tcPr>
          <w:p>
            <w:pPr>
              <w:jc w:val="right"/>
              <w:ind w:right="374"/>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2"/>
                <w:szCs w:val="12"/>
                <w:color w:val="auto"/>
              </w:rPr>
            </w:pPr>
          </w:p>
        </w:tc>
        <w:tc>
          <w:tcPr>
            <w:tcW w:w="980" w:type="dxa"/>
            <w:vAlign w:val="bottom"/>
          </w:tcPr>
          <w:p>
            <w:pPr>
              <w:jc w:val="right"/>
              <w:ind w:right="434"/>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95"/>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5"/>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24.8</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 and technical know-</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how</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Favorable operating lease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40.8</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Acquired indefinite-lived intangible assets: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w:t>
            </w:r>
          </w:p>
        </w:tc>
      </w:tr>
      <w:tr>
        <w:trPr>
          <w:trHeight w:val="25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47.7</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Consolidated amortization expense related to intangible assets subject to amortization was $5.6 million and $4.6 million for the three months ended March 30, 2014 and March 29, 2015,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Inventoried Costs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Inventoried costs are stated at the lower of cost or market. Cost is determined using the average cost or first-in, first-out method and is applied consistently within an operating entity. Inventoried costs include work in process under fixed-price contracts using costs as the basis of the percentage-of-completion calculation under the units of delivery method of revenue recognition. These costs represent accumulated contract costs less the portion of such costs allocated to delivered items. Accumulated contract costs include direct production costs, factory overhead and production tooling costs. Pursuant to contract provisions of U.S. Government contracts, such customers may have title to, or a security interest in, inventories related to such contracts as a result of advances, performance-based payments or progress payments. The Company reflects those advances and payments as an offset against the related inventory balances.</w:t>
      </w:r>
    </w:p>
    <w:p>
      <w:pPr>
        <w:spacing w:after="0" w:line="18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Inventoried costs consisted of the following components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60" w:type="dxa"/>
            <w:vAlign w:val="bottom"/>
          </w:tcPr>
          <w:p>
            <w:pPr>
              <w:spacing w:after="0"/>
              <w:rPr>
                <w:sz w:val="13"/>
                <w:szCs w:val="13"/>
                <w:color w:val="auto"/>
              </w:rPr>
            </w:pPr>
          </w:p>
        </w:tc>
        <w:tc>
          <w:tcPr>
            <w:tcW w:w="12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Supplies and other</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 inventoried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Customer advances and progress payments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inventoried costs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72.1</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Stockholders’ Equity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changes in stockholders’ equity is provided below (in millions):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200" w:type="dxa"/>
            <w:vAlign w:val="bottom"/>
          </w:tcPr>
          <w:p>
            <w:pPr>
              <w:spacing w:after="0"/>
              <w:rPr>
                <w:sz w:val="22"/>
                <w:szCs w:val="22"/>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March 29, 2015</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 at beginning of period</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 and restricted stock units settled in cash</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units traded for taxes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211.5</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are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200" w:type="dxa"/>
            <w:vAlign w:val="bottom"/>
          </w:tcPr>
          <w:p>
            <w:pPr>
              <w:spacing w:after="0"/>
              <w:rPr>
                <w:sz w:val="16"/>
                <w:szCs w:val="16"/>
                <w:color w:val="auto"/>
              </w:rPr>
            </w:pP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March 29, 2015</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Post retirement benefit reserve adjustment net of tax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There were no reclassifications from other comprehensive income to net loss for the three months ended March 30, 2014 or March 29, 2015.</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issued by the Company for the three months ended March 30, 2014 and March 29, 2015 was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64"/>
        </w:trPr>
        <w:tc>
          <w:tcPr>
            <w:tcW w:w="8340" w:type="dxa"/>
            <w:vAlign w:val="bottom"/>
          </w:tcPr>
          <w:p>
            <w:pPr>
              <w:spacing w:after="0"/>
              <w:rPr>
                <w:sz w:val="22"/>
                <w:szCs w:val="22"/>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14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March 29, 2015</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outstanding at beginning of the period</w:t>
            </w:r>
          </w:p>
        </w:tc>
        <w:tc>
          <w:tcPr>
            <w:tcW w:w="15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57.8</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issued for employee stock purchase plan, stock options and restricted stock units exercised</w:t>
            </w: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outstanding at end of the period</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Net Income (Loss) Per Common Share</w:t>
      </w:r>
    </w:p>
    <w:p>
      <w:pPr>
        <w:spacing w:after="0" w:line="227"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calculates net income (loss) per share in accordance with FASB ASC Topic 260, </w:t>
      </w:r>
      <w:r>
        <w:rPr>
          <w:rFonts w:ascii="Times New Roman" w:cs="Times New Roman" w:eastAsia="Times New Roman" w:hAnsi="Times New Roman"/>
          <w:sz w:val="18"/>
          <w:szCs w:val="18"/>
          <w:i w:val="1"/>
          <w:iCs w:val="1"/>
          <w:color w:val="auto"/>
        </w:rPr>
        <w:t>Earnings per Share (“</w:t>
      </w:r>
      <w:r>
        <w:rPr>
          <w:rFonts w:ascii="Times New Roman" w:cs="Times New Roman" w:eastAsia="Times New Roman" w:hAnsi="Times New Roman"/>
          <w:sz w:val="18"/>
          <w:szCs w:val="18"/>
          <w:color w:val="auto"/>
        </w:rPr>
        <w:t>Topic 260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76" w:lineRule="exact"/>
        <w:rPr>
          <w:sz w:val="20"/>
          <w:szCs w:val="20"/>
          <w:color w:val="auto"/>
        </w:rPr>
      </w:pPr>
    </w:p>
    <w:p>
      <w:pPr>
        <w:ind w:right="180" w:firstLine="567"/>
        <w:spacing w:after="0" w:line="282" w:lineRule="auto"/>
        <w:rPr>
          <w:sz w:val="20"/>
          <w:szCs w:val="20"/>
          <w:color w:val="auto"/>
        </w:rPr>
      </w:pPr>
      <w:r>
        <w:rPr>
          <w:rFonts w:ascii="Times New Roman" w:cs="Times New Roman" w:eastAsia="Times New Roman" w:hAnsi="Times New Roman"/>
          <w:sz w:val="18"/>
          <w:szCs w:val="18"/>
          <w:color w:val="auto"/>
        </w:rPr>
        <w:t>Shares from stock options and awards, excluded from the calculation of diluted loss per share because their inclusion would have been anti-dilutive, were 1.2 million and 2.3 million for the three months ended March 30, 2014 and March 29, 2015,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229" w:lineRule="exact"/>
        <w:rPr>
          <w:sz w:val="20"/>
          <w:szCs w:val="20"/>
          <w:color w:val="auto"/>
        </w:rPr>
      </w:pPr>
    </w:p>
    <w:p>
      <w:pPr>
        <w:ind w:right="20" w:firstLine="567"/>
        <w:spacing w:after="0" w:line="266" w:lineRule="auto"/>
        <w:rPr>
          <w:sz w:val="20"/>
          <w:szCs w:val="20"/>
          <w:color w:val="auto"/>
        </w:rPr>
      </w:pPr>
      <w:r>
        <w:rPr>
          <w:rFonts w:ascii="Times New Roman" w:cs="Times New Roman" w:eastAsia="Times New Roman" w:hAnsi="Times New Roman"/>
          <w:sz w:val="18"/>
          <w:szCs w:val="18"/>
          <w:color w:val="auto"/>
        </w:rPr>
        <w:t>A reconciliation of the income tax provision (benefit), computed by applying the statutory federal income tax rate of 35% to loss from continuing operations before income tax provision, to the income tax provision (benefit) for the three months ended March 30, 2014 and March 29, 2015 is as follows (in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20" w:type="dxa"/>
            <w:vAlign w:val="bottom"/>
            <w:tcBorders>
              <w:bottom w:val="single" w:sz="8" w:color="auto"/>
            </w:tcBorders>
          </w:tcPr>
          <w:p>
            <w:pPr>
              <w:spacing w:after="0"/>
              <w:rPr>
                <w:sz w:val="16"/>
                <w:szCs w:val="16"/>
                <w:color w:val="auto"/>
              </w:rPr>
            </w:pPr>
          </w:p>
        </w:tc>
      </w:tr>
      <w:tr>
        <w:trPr>
          <w:trHeight w:val="149"/>
        </w:trPr>
        <w:tc>
          <w:tcPr>
            <w:tcW w:w="83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420" w:type="dxa"/>
            <w:vAlign w:val="bottom"/>
          </w:tcPr>
          <w:p>
            <w:pPr>
              <w:spacing w:after="0"/>
              <w:rPr>
                <w:sz w:val="12"/>
                <w:szCs w:val="12"/>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16"/>
                <w:szCs w:val="16"/>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at federal statutory rate</w:t>
            </w: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and foreign taxes, net of federal tax benefit and valuation allowance</w:t>
            </w:r>
          </w:p>
        </w:tc>
        <w:tc>
          <w:tcPr>
            <w:tcW w:w="10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8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deferred tax liabilities for indefinite-lived assets</w:t>
            </w:r>
          </w:p>
        </w:tc>
        <w:tc>
          <w:tcPr>
            <w:tcW w:w="10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reserves for uncertain tax positions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federal valuation allowance</w:t>
            </w:r>
          </w:p>
        </w:tc>
        <w:tc>
          <w:tcPr>
            <w:tcW w:w="10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8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will be limited to at least $27 million a year for the five years succeeding the March 2010 ownership change and at least $11.6 million for each year thereafter subject to separate limitations for Acquired NOLs. If the entire limitation amount is not utilized in a year, the excess can be carried forward and utilized in future years.</w:t>
      </w:r>
    </w:p>
    <w:p>
      <w:pPr>
        <w:spacing w:after="0" w:line="18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29, 2015, there was no impact of such limitations on the income tax provision, since the amount of taxable income did not exceed the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w:t>
      </w:r>
    </w:p>
    <w:p>
      <w:pPr>
        <w:spacing w:after="0" w:line="180"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December 28, 2014, the Company had $16.4 million of unrecognized tax benefits that, if recognized, would impact the effective income tax rate, subject to possible offset by an increase in the deferred tax asset valuation allowance. During the three months ended March 29, 2015, there was no change in the amount of unrecognized tax benefits relating to various current year and prior positions.</w:t>
      </w:r>
    </w:p>
    <w:p>
      <w:pPr>
        <w:spacing w:after="0" w:line="190" w:lineRule="exact"/>
        <w:rPr>
          <w:sz w:val="20"/>
          <w:szCs w:val="20"/>
          <w:color w:val="auto"/>
        </w:rPr>
      </w:pPr>
    </w:p>
    <w:p>
      <w:pPr>
        <w:ind w:right="40" w:firstLine="567"/>
        <w:spacing w:after="0" w:line="274"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its provision for income taxes. For the three months ended March 30, 2014, there was no material expense recorded related to interest and penalties. For the three months ended March 29, 2015, the Company recorded an expense for interest and penalties of $0.1 million. For the three months ended March 30, 2014 and March 29, 2015, there was no material benefit recorded related to interest and penalties. The Company believes that no significant amount of the liabilities for uncertain tax positions will expire within twelve months of March 29, 2015.</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22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7.00% Senior Secured Notes due 2019</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May 2014, the Company refinanced its $625.0 million 10% Senior Secured Notes due in 2017 (the "10% Notes") with $625.0 million of newly issued 7.00% Senior Secured Notes due in 2019 (the "7% Notes"). The net proceeds of the 7% Notes was $618.5 million after an original issue discount of $6.5 million. The Company incurred debt issuance costs of $8.8 million associated with the new 7% Notes. The Company utilized the net proceeds from the 7% Notes, a $41.0 million draw on a new credit agreement discussed below, as well as cash from operations to extinguish the 10% Notes. The total reacquisition price of the 10% Notes was $661.5 million including a $31.2 million early termination fee, the write off of $15.5 million of unamortized issue costs, $12.9 million of unamortized premium, along with $5.3 million of additional interest while in escrow, which resulted in a loss on extinguishment of $39.1 million.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completed the offering of the 7.00% Notes (hereafter the "Notes”) in a private placement conducted pursuant to Rule 144A and Regulation S under the Securities Act of 1933, as amended (the “Act”). The Notes are governed by an Indenture dated May 14, 2014 (the “Indenture”) among the Company, certain of the Company’s subsidiaries (the “Guarantors”) and Wilmington Trust, National Association, as Trustee and Collateral Agent. A Guarantor can be released from its Guarantee if (a) all of the Capital Stock issued by such Guarantor or all or substantially all of the assets of such Guarantor are sold or otherwise disposed of; (b) the Company designates such Guarantor as an Unrestricted Subsidiary; (c) if the Company exercises its legal defeasance option or its covenant defeasance option; or (d) upon satisfaction and discharge of the Indenture or payment in full in cash of the principal of, premium, if any, accrued and unpaid interest.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the Notes have a first priority lien on substantially all of the Company's assets and the assets of the Guarantors, except with respect to accounts receivable, inventory, deposit accounts, securities accounts, cash, securities and general intangibles (other than intellectual property), on which the holders of the Notes have a second priority lien to the new $110.0 million credit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pays interest on the Notes semi-annually, in arrears, on May 15 and November 15 of each year.</w:t>
      </w:r>
    </w:p>
    <w:p>
      <w:pPr>
        <w:spacing w:after="0" w:line="27"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March 29, 2015, the Company was in compliance with the covenants contained in the Indenture governing the Notes.</w:t>
      </w:r>
    </w:p>
    <w:p>
      <w:pPr>
        <w:spacing w:after="0" w:line="18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or after May 15, 2016, the Company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the Company may redeem up to 35% of the Notes at 107% of the aggregate principal amount of such notes plus accrued and unpaid interest before May 15, 2016 with the net proceeds of certain equity offerings. The Company may also redeem some or all of the Notes before May 15, 2016 at a redemption price of 100% of the principal amount thereof plus accrued and unpaid interest, if any, to the redemption date, plus a “make whole” premium. In addition, at one time prior to May 15, 2016, the Company may redeem up to 10% of the original aggregate principal amount of the Notes issued under the Indenture at a redemption price of 103% of the principal amount thereof, plus accrued and unpaid interest to the date of redemption.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17, 2014, the Company commenced an offer to exchange the outstanding Notes for an equal amount of new 7.00% Senior Secured Notes due 2019 (the “Exchange Notes”) that have been registered under the Securities Act of 1933, as amended. The Company made the exchange offer pursuant to the terms of the Registration Rights Agreement, dated May 14, 2014, that it entered into with the Guarantors and the representative of the initial purchasers of the Notes. The purpose of the exchange offer was to allow holders of the Notes to exchange their Notes for Exchange Notes that are not subject to transfer restrictions. The terms of the Exchange Notes are identical in all material respects to the terms of the Notes, except the Exchange Notes have been registered under the Securities Act. The Exchange Notes are fully and unconditionally guaranteed, jointly and severally, on a senior secured basis by the Company and each of its subsidiaries, as the guarantors thereof. The Company pays interest on the Exchange Notes semi-annually, in arrears, on May 15 and November 15 of each year. The Company completed the exchange offer on October 16, 2014, at which time the holders of all outstanding Notes had elected to exchange their Notes for Exchange Notes. The Company has no further obligations under the Registration Rights Agreement.</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Other Indebtedness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$110.0 Million Credit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14, 2014, the Company replaced its credit facility with KeyBank National Association and entered into a Credit and Security Agreement (the “Credit Agreement”), by and among the Company, the lenders from time to time party thereto, SunTrust Bank, as Agent (the “Agent”), PNC Bank, National Association, as Joint Lead Arranger and Documentation Agent and SunTrust Robinson Humphrey, Inc., as Joint Lead Arranger and Sole Book Runner. The Credit Agreement establishes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Credit Agreement is secured by a lien on substantially all of the Company's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Credit Agreement contains certain covenants, which include, but are not limited to, restrictions on indebtedness, liens, and investments, and places limits on other various payments, as well as a financial covenant relating to a minimum fixed charge coverage ratio of 1.15:1.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or any representation, warranty or statement made in or pursuant to the Credit Agreement or any related writing or any other material information furnished by the Company or any of its subsidiaries to the Agent or the lenders shall prove to be false or erroneous. Subject to certain notice requirements and other conditions, upon the occurrence of an event of default, commitments may be terminated and the principal of, and interest then outstanding on, all of the loans may become immediately due and payable. However, where an event of default arises from certain bankruptcy events, the commitments shall automatically and immediately terminate and the principal of, and interest then outstanding on, all of the loans shall become immediately due and payable.</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Borrowings under the revolving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w:t>
      </w:r>
    </w:p>
    <w:p>
      <w:pPr>
        <w:spacing w:after="0" w:line="2" w:lineRule="exact"/>
        <w:rPr>
          <w:sz w:val="20"/>
          <w:szCs w:val="20"/>
          <w:color w:val="auto"/>
        </w:rPr>
      </w:pPr>
    </w:p>
    <w:p>
      <w:pPr>
        <w:jc w:val="both"/>
        <w:ind w:firstLine="8"/>
        <w:spacing w:after="0" w:line="252" w:lineRule="auto"/>
        <w:tabs>
          <w:tab w:leader="none" w:pos="3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LIBOR rate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 1.50% - 2.00% for base rate revolving loans and swingline loans and 2.50% - 3.00%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then-held eligible raw materials inventory, work-in-process inventory, and applicable reserves. As of March 29, 2015, there was $41.0 million outstanding on the Credit Agreement and $13.1 million was outstanding on letters of credit, resulting in net borrowing base availability of $38.4 million. The Company was in compliance with the financial covenants of the Credit Agreement as of March 29, 2015.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Acquired in Acquisition</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has a 10-year term loan with a bank in Israel entered into on September 16, 2008 in connection with the acquisition of one of its wholly owned subsidiaries. The balance as of March 29, 2015 was $3.5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March 29, 2015.</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2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Carrying amounts and the related estimated fair values of the Company’s long-term debt financial instruments not measured at fair value on a recurring basis at December 28, 2014 and March 29, 2015 are presented in the following table: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28, 2014</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March 29, 2015</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12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12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debt including</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669.8</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577.1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669.5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664.0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591.0</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was based upon actual trading activity (Level 1, Observable inputs -quoted prices in active markets) and is the estimated amount the Company would have to pay to repurchase its debt, including any premium or discount attributable to the difference between the stated interest rate and market value of interest at the balance sheet date.</w:t>
      </w:r>
    </w:p>
    <w:p>
      <w:pPr>
        <w:spacing w:after="0" w:line="176" w:lineRule="exact"/>
        <w:rPr>
          <w:sz w:val="20"/>
          <w:szCs w:val="20"/>
          <w:color w:val="auto"/>
        </w:rPr>
      </w:pPr>
    </w:p>
    <w:p>
      <w:pPr>
        <w:ind w:right="260" w:firstLine="690"/>
        <w:spacing w:after="0" w:line="282" w:lineRule="auto"/>
        <w:rPr>
          <w:sz w:val="20"/>
          <w:szCs w:val="20"/>
          <w:color w:val="auto"/>
        </w:rPr>
      </w:pPr>
      <w:r>
        <w:rPr>
          <w:rFonts w:ascii="Times New Roman" w:cs="Times New Roman" w:eastAsia="Times New Roman" w:hAnsi="Times New Roman"/>
          <w:sz w:val="18"/>
          <w:szCs w:val="18"/>
          <w:color w:val="auto"/>
        </w:rPr>
        <w:t>The net unamortized original issue discount of $5.5 million as of March 29, 2015, which is the difference between the carrying amount of $664.0 million and the principal amount of $669.5 million presented in the previous table, is being accreted to interest expense over the term of the related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Information</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KGS reportable segment is comprised of an aggregation of Kratos’ Government Solutions operating segments, including our electronic products, satellite communications, modular systems and defense and rocket support operating segments.</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new US reportable segment consists of our unmanned aerial, ground, seaborne and command, control and communications system business. The KGS and US segments provide products, solutions and services for mission critical national security priorities. KGS and US customers primarily include national security related agencies, the DoD, intelligence agencies and classified agencies, and to a lesser degree, international government agencies and domestic and international commercial customers. The PSS segment designs, engineers, deploys, operates and integrates into command and control infrastructure security and surveillance solutions for homeland security, public safety, critical infrastructure, government and commercial customers. PSS customers are in the critical infrastructure, power generation, power transport, nuclear energy, financial, IT, healthcare, education, transportation and petro-chemical industries, as well as certain government and military customers.</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prior year financial information has been recast to conform to the current reportable segments, and total operating income of the reportable business segments is reconciled to the corresponding consolidated amount. The reconciling item “corporate activities”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00" w:firstLine="693"/>
        <w:spacing w:after="0" w:line="282" w:lineRule="auto"/>
        <w:rPr>
          <w:sz w:val="20"/>
          <w:szCs w:val="20"/>
          <w:color w:val="auto"/>
        </w:rPr>
      </w:pPr>
      <w:r>
        <w:rPr>
          <w:rFonts w:ascii="Times New Roman" w:cs="Times New Roman" w:eastAsia="Times New Roman" w:hAnsi="Times New Roman"/>
          <w:sz w:val="18"/>
          <w:szCs w:val="18"/>
          <w:color w:val="auto"/>
        </w:rPr>
        <w:t>Revenues, depreciation and amortization, and operating income (loss) generated by the Company’s reportable segments for the three month periods ended March 30, 2014 and March 29, 2015 are as follows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200" w:type="dxa"/>
            <w:vAlign w:val="bottom"/>
          </w:tcPr>
          <w:p>
            <w:pPr>
              <w:spacing w:after="0"/>
              <w:rPr>
                <w:sz w:val="21"/>
                <w:szCs w:val="21"/>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March 29, 2015</w:t>
            </w:r>
          </w:p>
        </w:tc>
        <w:tc>
          <w:tcPr>
            <w:tcW w:w="0" w:type="dxa"/>
            <w:vAlign w:val="bottom"/>
          </w:tcPr>
          <w:p>
            <w:pPr>
              <w:spacing w:after="0"/>
              <w:rPr>
                <w:sz w:val="1"/>
                <w:szCs w:val="1"/>
                <w:color w:val="auto"/>
              </w:rPr>
            </w:pPr>
          </w:p>
        </w:tc>
      </w:tr>
      <w:tr>
        <w:trPr>
          <w:trHeight w:val="235"/>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40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4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43"/>
        </w:trPr>
        <w:tc>
          <w:tcPr>
            <w:tcW w:w="4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4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37"/>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40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4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43"/>
        </w:trPr>
        <w:tc>
          <w:tcPr>
            <w:tcW w:w="4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Public Safety &amp; Security</w:t>
            </w:r>
          </w:p>
        </w:tc>
        <w:tc>
          <w:tcPr>
            <w:tcW w:w="4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37"/>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Unmanned Systems</w:t>
            </w:r>
          </w:p>
        </w:tc>
        <w:tc>
          <w:tcPr>
            <w:tcW w:w="40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Service revenues</w:t>
            </w:r>
          </w:p>
        </w:tc>
        <w:tc>
          <w:tcPr>
            <w:tcW w:w="4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Product sales</w:t>
            </w: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Unmanned Systems</w:t>
            </w:r>
          </w:p>
        </w:tc>
        <w:tc>
          <w:tcPr>
            <w:tcW w:w="4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97"/>
        </w:trPr>
        <w:tc>
          <w:tcPr>
            <w:tcW w:w="42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406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4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4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Unmanned Systems</w:t>
            </w: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4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4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Unmanned Systems</w:t>
            </w:r>
          </w:p>
        </w:tc>
        <w:tc>
          <w:tcPr>
            <w:tcW w:w="4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Unallocated corporate expense, net</w:t>
            </w: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Significant Customers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$116.3 million and $112.1 million, or 58% and 61% of total Kratos revenue, for the three months ended March 30, 2014 and March 29,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the Company is subject to various claims, pending and potential legal actions for damages, investigations relating to government laws and regulations and other matters arising out of the normal conduct of the Company’s business. The Company assesses contingencies to determine the degree of probability and range of possible loss for potential accrual in its condensed consolidated financial statements. An estimated loss contingency is accrued in the Company's condensed consolidated financial statements if it is probable that a liability has been incurred and the amount of the loss can be reasonably estimated. Because litigation and legal disputes are inherently unpredictable and unfavorable resolutions could occur, assessing litigation and legal dispute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may be unsupported, exaggerated or unrelated to possible outcomes and, as such, are not meaningful indicators of the Company's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Company's condensed consolidated financial statements; and the unique facts and circumstances of the particular matter that may give rise to additional factors.</w:t>
      </w:r>
    </w:p>
    <w:p>
      <w:pPr>
        <w:spacing w:after="0" w:line="34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and Regulatory Matters</w:t>
      </w:r>
    </w:p>
    <w:p>
      <w:pPr>
        <w:spacing w:after="0" w:line="185"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U.S. Government Cost Claims</w:t>
      </w:r>
      <w:r>
        <w:rPr>
          <w:rFonts w:ascii="Times New Roman" w:cs="Times New Roman" w:eastAsia="Times New Roman" w:hAnsi="Times New Roman"/>
          <w:sz w:val="18"/>
          <w:szCs w:val="18"/>
          <w:color w:val="auto"/>
        </w:rPr>
        <w:t>. The Company's contracts with the Department of Defense are subject to audit by the Defense Contract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Costs incurred and allocated to contracts with the U.S. Government are regularly scrutinized for compliance with regulatory standards by the Company's personnel.</w:t>
      </w:r>
    </w:p>
    <w:p>
      <w:pPr>
        <w:spacing w:after="0" w:line="180"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Other Litigation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normal and routine litigation arising from the ordinary course and conduct of business and,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as a result of acquisitions and dispositions. Such disputes include, for example, commercial, employment, intellectual property, environmental and securities matters. The aggregate amounts accrued related to these matters are not material to the total liabilities of the Company. We intend to defend ourselves in any such matters and do not currently believe that the outcome of any such matters will have a material adverse impact on our financial condition, results of operations or cash flows.</w:t>
      </w:r>
    </w:p>
    <w:p>
      <w:pPr>
        <w:spacing w:after="0" w:line="1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Warranty</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8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changes in the Company's aggregate product warranty liabilities, which are included in other current liabilities and other long term-liabilities on the Company's condensed consolidated balance sheets, were as follows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r>
      <w:tr>
        <w:trPr>
          <w:trHeight w:val="149"/>
        </w:trPr>
        <w:tc>
          <w:tcPr>
            <w:tcW w:w="83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400" w:type="dxa"/>
            <w:vAlign w:val="bottom"/>
          </w:tcPr>
          <w:p>
            <w:pPr>
              <w:spacing w:after="0"/>
              <w:rPr>
                <w:sz w:val="12"/>
                <w:szCs w:val="12"/>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06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accrued and revenues deferred</w:t>
            </w: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made (in cash or kind) and revenues recognized and other</w:t>
            </w: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(0.1)</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8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accrued product warranty and deferred warranty revenue</w:t>
            </w:r>
          </w:p>
        </w:tc>
        <w:tc>
          <w:tcPr>
            <w:tcW w:w="1060" w:type="dxa"/>
            <w:vAlign w:val="bottom"/>
            <w:tcBorders>
              <w:top w:val="single" w:sz="8" w:color="auto"/>
            </w:tcBorders>
          </w:tcPr>
          <w:p>
            <w:pPr>
              <w:jc w:val="right"/>
              <w:ind w:right="8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83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Condensed Consolidating Financial Statements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has $625.0 million in outstanding Senior Secured Notes (see Note 7). The Notes are guaranteed by all of the Company's 100% owned domestic subsidiaries (the "Subsidiary Guarantors") and are collateralized by the assets of all of the Company's 100% owned subsidiaries. The Notes are fully and unconditionally guaranteed on a joint and several basis by each Subsidiary Guarantor and the Company. There are no contractual restrictions limiting cash transfers from Subsidiary Guarantors by dividends, loans or advances to the Company. The Senior Secured Notes are not guaranteed by the Company's foreign subsidiaries (the “Non-Guarantor Subsidiaries”).</w:t>
      </w:r>
    </w:p>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present condensed consolidating financial statements for the parent company, the Subsidiary Guarantors and the Non-Guarantor Subsidiaries, respectively. The condensed consolidating financial information below follows the same accounting policies as described in the condensed consolidated financial statements, except for the use of the equity method of accounting to reflect ownership interests in 100% owned subsidiaries, which are eliminated upon consolidation.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Balance Sheet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28, 2014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37"/>
        </w:trPr>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248.2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17"/>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375.0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277.9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374.9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82.6</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596.4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1,138.8</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37"/>
        </w:trPr>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compensation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Billings in excess of costs and earnings 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uncompleted contracts</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 liability</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226.1</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663.0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914.5</w:t>
            </w:r>
          </w:p>
        </w:tc>
        <w:tc>
          <w:tcPr>
            <w:tcW w:w="0" w:type="dxa"/>
            <w:vAlign w:val="bottom"/>
          </w:tcPr>
          <w:p>
            <w:pPr>
              <w:spacing w:after="0"/>
              <w:rPr>
                <w:sz w:val="1"/>
                <w:szCs w:val="1"/>
                <w:color w:val="auto"/>
              </w:rPr>
            </w:pPr>
          </w:p>
        </w:tc>
      </w:tr>
      <w:tr>
        <w:trPr>
          <w:trHeight w:val="217"/>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224.3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510.3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224.3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1,138.8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Balance Sheet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March 29, 2015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37"/>
        </w:trPr>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7"/>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276.7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366.2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due from affiliated companies, long-term</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596.4</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1,122.6</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compensation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Billings in excess of costs and earnings 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uncompleted contracts</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 liability</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223.0</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663.0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911.1</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211.5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511.4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211.5</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1,122.6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Operations and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30, 2014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2"/>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100.6</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99.5</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200.1</w:t>
            </w: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73.4</w:t>
            </w:r>
          </w:p>
        </w:tc>
      </w:tr>
      <w:tr>
        <w:trPr>
          <w:trHeight w:val="21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137.3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147.5</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52.6</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r>
      <w:tr>
        <w:trPr>
          <w:trHeight w:val="21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r>
      <w:tr>
        <w:trPr>
          <w:trHeight w:val="217"/>
        </w:trPr>
        <w:tc>
          <w:tcPr>
            <w:tcW w:w="3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income and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6"/>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taxes from continuing</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net income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3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Operations and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29, 2015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Non-Guarantors on</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 Combined Basis</w:t>
            </w:r>
          </w:p>
        </w:tc>
        <w:tc>
          <w:tcPr>
            <w:tcW w:w="22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0" w:type="dxa"/>
            <w:vAlign w:val="bottom"/>
          </w:tcPr>
          <w:p>
            <w:pPr>
              <w:spacing w:after="0"/>
              <w:rPr>
                <w:sz w:val="18"/>
                <w:szCs w:val="18"/>
                <w:color w:val="auto"/>
              </w:rPr>
            </w:pP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sales</w:t>
            </w:r>
          </w:p>
        </w:tc>
        <w:tc>
          <w:tcPr>
            <w:tcW w:w="14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182.5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135.6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7"/>
        </w:trPr>
        <w:tc>
          <w:tcPr>
            <w:tcW w:w="3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income and expense, net</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6"/>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taxes from continuing</w:t>
            </w:r>
          </w:p>
        </w:tc>
        <w:tc>
          <w:tcPr>
            <w:tcW w:w="140" w:type="dxa"/>
            <w:vAlign w:val="bottom"/>
          </w:tcPr>
          <w:p>
            <w:pPr>
              <w:spacing w:after="0"/>
              <w:rPr>
                <w:sz w:val="18"/>
                <w:szCs w:val="18"/>
                <w:color w:val="auto"/>
              </w:rPr>
            </w:pPr>
          </w:p>
        </w:tc>
        <w:tc>
          <w:tcPr>
            <w:tcW w:w="138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8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1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net income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51"/>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30, 2014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2"/>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w:t>
            </w:r>
          </w:p>
        </w:tc>
      </w:tr>
      <w:tr>
        <w:trPr>
          <w:trHeight w:val="231"/>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4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in affiliated companies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196"/>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0"/>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from continuing operations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debt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tcPr>
          <w:p>
            <w:pPr>
              <w:spacing w:after="0"/>
              <w:rPr>
                <w:sz w:val="20"/>
                <w:szCs w:val="20"/>
                <w:color w:val="auto"/>
              </w:rPr>
            </w:pP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w:t>
            </w: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flows of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operating cash flows from discontinued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44"/>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29, 2015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2"/>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1"/>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in affiliated companies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decrease in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3.8</w:t>
            </w:r>
          </w:p>
        </w:tc>
      </w:tr>
      <w:tr>
        <w:trPr>
          <w:trHeight w:val="23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w:t>
            </w:r>
          </w:p>
        </w:tc>
      </w:tr>
      <w:tr>
        <w:trPr>
          <w:trHeight w:val="231"/>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3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Financings from affiliated companies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w:t>
            </w:r>
          </w:p>
        </w:tc>
      </w:tr>
      <w:tr>
        <w:trPr>
          <w:trHeight w:val="196"/>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0"/>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from continuing operations</w:t>
            </w:r>
          </w:p>
        </w:tc>
        <w:tc>
          <w:tcPr>
            <w:tcW w:w="14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flows of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0.2</w:t>
            </w:r>
          </w:p>
        </w:tc>
      </w:tr>
      <w:tr>
        <w:trPr>
          <w:trHeight w:val="216"/>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operating cash flows from discontinued</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44"/>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which could cause delays, cancellations or reductions of key government contracts; bid protests;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and in “Item 1A-Risk Factors” of our Annual Report on Form 10-K for the fiscal year ended December 28, 2014 filed with the Securities and Exchange Commission on March 13, 2015.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to “us,” “we,” “our,” the “Company” and “Kratos” refer to Kratos Defense &amp; Security Solutions, Inc., a Delaware corporation, and its wholly owned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a specialized technology focused security business providing mission critical products, solutions and services for domestic and international customers, with our principal customers being agencies of the U.S. Government. Our core capabilities are sophisticated design, engineering, manufacturing, technology development, system integration, and test and evaluation offerings for national security platforms and programs. Our principal products and solutions are related to Command, Control, Communications, Computing, Combat Systems, Intelligence, Surveillance and Reconnaissance (“C5ISR”). We offer our customers products, solutions, services and expertise to support their mission critical needs by leveraging our skills across our core offering areas in C5ISR.</w:t>
      </w:r>
    </w:p>
    <w:p>
      <w:pPr>
        <w:spacing w:after="0" w:line="28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design, engineer and manufacture specialized electronic products, components, subsystems and systems for intelligence, surveillance, and reconnaissance (ISR), electronic attack, electronic warfare, radar, and missile system platforms; integrated products, software and technology solutions for satellite communications, signal monitoring and signal intelligence; products and solutions for unmanned aerial, ground and seaborne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 We believe our stable customer base, strong customer relationships, intellectual property, broad array of contract vehicles, "designed in" positions on strategic national security platforms, large technically oriented employee base possessing specialized skills, specialized manufacturing facilities and equipment, extensive list of past performance qualifications, and significant management and operational capabilities position us for success.</w:t>
      </w:r>
    </w:p>
    <w:p>
      <w:pPr>
        <w:spacing w:after="0" w:line="28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were incorporated in the state of New York on December 19, 1994 and began operations in March 1995. We reincorporated in the state of Delaware in 1998. We completed our exit of the commercial wireless industry, began building a national security focused business and changed the Company's name to Kratos Defense &amp; Security Solutions, Inc. in September 2007.</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December 13, 2014, the Senate passed a $1.1 trillion omnibus appropriations bill, the “Consolidated and Further Continuing Appropriations Act, 2015. The legislation will fund most of the government through fiscal year 2015 (the period running from October 1st to September 30th, a “FY”). The Consolidated and Further Continuing Appropriations Act, 2015 includes the Department of Defense Appropriations Act of 2015, which provides $554.2 billion in base and overseas contingency operation funding, compared to $572 billion enacted in FY 2014 and $554.3 billion in the President’s budget request. The base budget appropriation was $496.1 billion, with $64.2 billion for Overseas Contingency Operations (OCO) of the Department of Defense (DoD), compared to $85.2 billion for DoD OCO enacted in FY 2014. On February 2, 2015, Congress was sent a proposed FY 2016 DoD budget request of $585.3 billion in discretionary budget authority to fund both base budget programs and OCO. The FY 2016 base budget request of $534.3 billion includes an increase of $38.2 billion over the FY 2015 enacted budget of $496.1 billion. DoD’s FY 2016 OCO budget request of $50.9 billion is $13.3 billion, or about 21% lower than the FY 2015 enacted level of $64.2 billion, reflecting the end of the combat mission and the continued draw down of forces in Afghanistan. The combined request represents an increase of $24.9 billion or about four percent, reflecting the need to modernize the force for the future and respond to emerging security challenges.</w:t>
      </w:r>
    </w:p>
    <w:p>
      <w:pPr>
        <w:spacing w:after="0" w:line="19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FY 2016 budget request supports the 2014 Quadrennial Defense Review (QDR) strategy, beginning with its three pillars: protect the homeland, build security globally, and project power and win decisively. The budget also reaffirms the five key priorities identified in the QDR. These include the re-balance to the Asia-Pacific region, a strong commitment to security and stability in Europe and the Middle East, a global approach to countering violent extremists, key investments in technology, and strengthening alliances and partnerships around the world.</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FY 2016 budget request proposes investments in the modernization of key capability areas, including nuclear deterrence, space, missile defense, cyber security, and power protection. The budget also resubmits a number of critical reforms proposed in the FY 2015 budget, including improvements to DoD business operations, force structure modifications, streamlining our base infrastructure, strengthening sexual assault prevention and response programs, and providing for service members and their families. The budget maintains a prudent balance among Joint Force capacities, capabilities, and readiness, and continues to keep faith with service members and their families.</w:t>
      </w:r>
    </w:p>
    <w:p>
      <w:pPr>
        <w:spacing w:after="0" w:line="27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Unless a FY 2016 federal budget is agreed to by the President and Congress, sequestration will return with the beginning of FY 2016, on October 1, 2015, with an approximate base defense budget of $500 billion.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KGS reportable segment is comprised of an aggregation of Kratos’ Government Solutions operating segments, including our electronic products, satellite communications, modular systems and rocket support operating segments. The Unmanned Systems reportable segment consists of our unmanned aerial system and unmanned ground system businesses operating segment. The PSS reportable segment remains unchanged. This change in segment reporting presentation does not change any consolidated totals. We made this segment reporting change because we believe that the new presentation will provide investors with greater insight into our consolidated results and operating performance. Throughout this Quarterly Report on Form 10-Q, all segment information for the period ended March 30, 2014 has been recast to conform to the new segment reporting presentation. 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The condensed consolidated financial statements in this Quarterly Report are presented in a manner consistent with our operating structure. For additional information regarding our reportable segments, see Note 8 of the Notes to Condensed Consolidated Financial Statements. From a customer and solutions perspective, we view our business as an integrated whole, leveraging skills and assets wherever possible.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Statement Concepts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For a complete description of our business and a discussion of our critical accounting matters, please refer to Item 7, “Management's Discussion and Analysis of Financial Condition and Results of Operations,” in the Form 10-K.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29, 2015, we consider the following factors to be important in understanding our financial statements.</w:t>
      </w:r>
    </w:p>
    <w:p>
      <w:pPr>
        <w:spacing w:after="0" w:line="225"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KGS and US segments business with the U.S. Government and prime contractors is generally performed under fixed price, time and material and cost reimbursable contracts. In accounting for our long-term contracts for production of products and services provided to the U.S. Government and provided to our PSS segment customers under fixed price contracts, we utilize both cost-to-cost and units delivered measures under the percentage-of-completion method of accounting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under the provisions of ASC Topic 605</w:t>
      </w:r>
      <w:r>
        <w:rPr>
          <w:rFonts w:ascii="Times New Roman" w:cs="Times New Roman" w:eastAsia="Times New Roman" w:hAnsi="Times New Roman"/>
          <w:sz w:val="18"/>
          <w:szCs w:val="18"/>
          <w:i w:val="1"/>
          <w:iCs w:val="1"/>
          <w:color w:val="auto"/>
        </w:rPr>
        <w:t>, Revenue Recognition</w:t>
      </w:r>
      <w:r>
        <w:rPr>
          <w:rFonts w:ascii="Times New Roman" w:cs="Times New Roman" w:eastAsia="Times New Roman" w:hAnsi="Times New Roman"/>
          <w:sz w:val="18"/>
          <w:szCs w:val="18"/>
          <w:color w:val="auto"/>
        </w:rPr>
        <w:t>. Under the units delivered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7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manage and assess the performance of our businesses based on our performance on individual programs and contracts and programs obtained generally from government organizations with consideration given to the "Critical Accounting Principles and Estimates" as described in the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 and at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Three Months Ended March 30, 2014 to the Three Months Ended March 29, 2015</w:t>
      </w:r>
    </w:p>
    <w:p>
      <w:pPr>
        <w:spacing w:after="0" w:line="2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by operating segment for the three months ended March 30, 2014 and March 29, 2015 are as follows (dollars in millions):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 2015</w:t>
            </w:r>
          </w:p>
        </w:tc>
        <w:tc>
          <w:tcPr>
            <w:tcW w:w="360" w:type="dxa"/>
            <w:vAlign w:val="bottom"/>
          </w:tcPr>
          <w:p>
            <w:pPr>
              <w:spacing w:after="0"/>
              <w:rPr>
                <w:sz w:val="16"/>
                <w:szCs w:val="16"/>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94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7"/>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7"/>
        </w:trPr>
        <w:tc>
          <w:tcPr>
            <w:tcW w:w="4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7"/>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N/A</w:t>
            </w:r>
          </w:p>
        </w:tc>
      </w:tr>
      <w:tr>
        <w:trPr>
          <w:trHeight w:val="237"/>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Public Safety &amp; Security</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7"/>
        </w:trPr>
        <w:tc>
          <w:tcPr>
            <w:tcW w:w="4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Unmanned Systems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9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7"/>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Unmanned Systems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7"/>
        </w:trPr>
        <w:tc>
          <w:tcPr>
            <w:tcW w:w="4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Revenues decreased $17.6 million from $200.1 million for the three months ended March 30, 2014 to $182.5 million for the three months ended March 29, 2015. The decrease in revenues was primarily due to a decline in shipments of certain of our defense products, and delays in orders and awards as a result of the challenging federal government and DoD funding environment, all of which adversely impacted the timing of new contract awards, bookings and our revenues. For the three months ended March 29, 2015, KGS segment revenue increased by $1.0 million. The increase in the KGS segment revenue was primarily driven by growth in our simulation and training business of $2.6 million and in technical government services where we support directed energy weapons and electromagnetic railgun efforts of $4.8 million, partially offset by a reduction in our legacy government services revenues of $5.0 million. For the three months ended March 29, 2015, PSS segment revenue decreased by $11.3 million, primarily due to the Company’s change in strategic direction in the fourth quarter of 2014 to only selectively bid on larger security integration projects that traditionally generate lower margins. PSS segment revenues were also impacted by the completion or wind-down of certain security installation projects which occurred in the fourth quarter of 2014 and the first quarter of 2015. Revenues in our US segment were impacted by the reduction of shipments of certain of our aerial target products due primarily to delays in the timing of follow-on and new international contract awards.</w:t>
      </w:r>
    </w:p>
    <w:p>
      <w:pPr>
        <w:spacing w:after="0" w:line="19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Product sales decreased $4.4 million from $99.5 million for the three months ended March 30, 2014 to $95.1 million for the three months ended March 29, 2015, primarily as a result of the decline in product shipments due to the factors discussed above in our US segment. As a percentage of total revenue, product sales were 49.7% for the three months ended March 30, 2014 as compared to 52.1% for the three months ended March 29, 2015. Service revenues decreased by $13.2 million from $100.6 million for the three months ended March 30, 2014 to $87.4 million for the three months ended March 29, 2015. The decrease was primarily related to the change in strategic direction and the completion of larger security installation projects in our PSS segment as well as the continued reduction in our legacy government services business as discussed above.</w:t>
      </w:r>
    </w:p>
    <w:p>
      <w:pPr>
        <w:spacing w:after="0" w:line="200" w:lineRule="exact"/>
        <w:rPr>
          <w:sz w:val="20"/>
          <w:szCs w:val="20"/>
          <w:color w:val="auto"/>
        </w:rPr>
      </w:pPr>
    </w:p>
    <w:p>
      <w:pPr>
        <w:spacing w:after="0" w:line="202"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decreased $11.9 million from $147.5 million for the three months ended March 30, 2014 to $135.6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29, 2015. The decrease in cost of revenues was primarily a result of the revenue changes discussed above.</w:t>
      </w:r>
    </w:p>
    <w:p>
      <w:pPr>
        <w:spacing w:after="0" w:line="16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Gross margin decreased from 26.3% for the three months ended March 30, 2014 to 25.7% for the three months ended March 29, 2015. Margins on services decreased from the three months ended March 30, 2014 to March 29, 2015, from 26.3% to 24.5%, respectively, due primarily to a less favorable mix of revenues. Margins on products increased from the three months ended March 30, 2014 to March 29, 2015 from 26.2% to 26.8%, respectively, primarily due to the mix of products shipped. Margins in the KGS segment decreased from 26.8% for the three months ended March 30, 2014 to 26.5% for the three months ended March 29, 2015, primarily as a result of a less favorable mix of revenues. Margins in the US segment decreased from 25.4% for the three months ended March 30, 2014 to 15.3% for the three months ended March 29, 2015, primarily due to a less favorable mix of products produced and shipped. Margins in the PSS segment increased from 25.4% for the three months ended March 30, 2014 to 26.3% for the three months ended March 29, 2015 due primarily to a more favorable mix of revenues and the impact of cost reduction actions that were taken in the first quarter of 2015.</w:t>
      </w:r>
    </w:p>
    <w:p>
      <w:pPr>
        <w:spacing w:after="0" w:line="183"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(SG&amp;A) Expenses. </w:t>
      </w:r>
      <w:r>
        <w:rPr>
          <w:rFonts w:ascii="Times New Roman" w:cs="Times New Roman" w:eastAsia="Times New Roman" w:hAnsi="Times New Roman"/>
          <w:sz w:val="18"/>
          <w:szCs w:val="18"/>
          <w:color w:val="auto"/>
        </w:rPr>
        <w:t>SG&amp;A expenses decreased $0.8 million from $43.4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30, 2014 to $42.6 million for the three months ended March 29, 2015, primarily as a result of a $1.0 million reduction of amortization of intangibles as a result of certain intangible assets being fully amortized, as well as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cost reduction actions. As a percentage of revenues, SG&amp;A increased slightly from 21.7% at March 30, 2014 to 23.3% at March 29, 2015. Excluding amortization of intangibles of $5.6 million for the three months ended March 30, 2014 and amortization of intangibles of $4.6 million for the three months ended March 29, 2015, SG&amp;A increased as a percentage of revenues from 18.9% to 20.8%, or from $37.8 million to $38.0 million for the three months ended March 30, 2014 and March 29, 2015, respectively, due primarily as a result of the decline in revenues discussed previously.</w:t>
      </w:r>
    </w:p>
    <w:p>
      <w:pPr>
        <w:spacing w:after="0" w:line="178"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Internal Research and Development ("IR&amp;D") Expenses. </w:t>
      </w:r>
      <w:r>
        <w:rPr>
          <w:rFonts w:ascii="Times New Roman" w:cs="Times New Roman" w:eastAsia="Times New Roman" w:hAnsi="Times New Roman"/>
          <w:sz w:val="18"/>
          <w:szCs w:val="18"/>
          <w:color w:val="auto"/>
        </w:rPr>
        <w:t>IR&amp;D expenses were $5.2 million for the three months ended March 30, 2014 and $4.8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29, 2015. As a percentage of revenues, IR&amp;D remained constant at 2.6% of revenues in the three months ended March 30, 2014 and the three months ended March 29, 2015. IR&amp;D expenditures are primarily related to investments we are making in conjunction with our customers, with the objectives of the Company’s products being “designed in” to these new long term program opportunities and the Company owning certain intellectual property rights for products that support these programs.</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Unused office space and other restructuring. </w:t>
      </w:r>
      <w:r>
        <w:rPr>
          <w:rFonts w:ascii="Times New Roman" w:cs="Times New Roman" w:eastAsia="Times New Roman" w:hAnsi="Times New Roman"/>
          <w:sz w:val="18"/>
          <w:szCs w:val="18"/>
          <w:color w:val="auto"/>
        </w:rPr>
        <w:t>The expense of $0.7 million for the three months ended March 30, 2014 was primarily due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excess facility accrual of office space at our Sacramento, California administrative facilities, and employee termination costs related to personnel reduction actions taken during the first quarter of 2014. The expense of $1.0 million for the three months ended March 29, 2015 was primarily due to employee termination costs related to personnel reduction actions taken during the first quarter of 2015 of $0.9 million.</w:t>
      </w:r>
    </w:p>
    <w:p>
      <w:pPr>
        <w:spacing w:after="0" w:line="180"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decreased from $15.9 million to $12.6 million for the three months ended March 30, 2014 and March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respectively. The decrease in expense of $3.3 million is primarily related to a reduction in interest expense as a result of the refinancing of our 10% Senior Secured Notes with our 7% Senior Secured Notes which occurred in the second quarter of 2014.</w:t>
      </w:r>
    </w:p>
    <w:p>
      <w:pPr>
        <w:spacing w:after="0" w:line="17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expense for the three months ended March 30, 2014 and March 29, 2015 was $2.3 million and $2.4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These amounts were primarily a function of the estimated effective tax rate for the respective years. The estimated effective tax rate for any given year is driven by estimated foreign taxes, estimated state taxes, permanent book/tax differences, tax amortization of intangible assets that have an indefinite life under GAAP and the projected income or loss for the year.</w:t>
      </w:r>
    </w:p>
    <w:p>
      <w:pPr>
        <w:spacing w:after="0" w:line="180" w:lineRule="exact"/>
        <w:rPr>
          <w:sz w:val="20"/>
          <w:szCs w:val="20"/>
          <w:color w:val="auto"/>
        </w:rPr>
      </w:pPr>
    </w:p>
    <w:p>
      <w:pPr>
        <w:ind w:right="20" w:firstLine="69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(loss) from Discontinued Operations. </w:t>
      </w:r>
      <w:r>
        <w:rPr>
          <w:rFonts w:ascii="Times New Roman" w:cs="Times New Roman" w:eastAsia="Times New Roman" w:hAnsi="Times New Roman"/>
          <w:sz w:val="18"/>
          <w:szCs w:val="18"/>
          <w:color w:val="auto"/>
        </w:rPr>
        <w:t>There was no revenue from discontinued operations for the three months ended March 30, 2014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29, 2015, respectively. The loss from discontinued operations was $0.1 million for the three months ended March 30, 2014 and income of $0.2 million for the three months ended March 29, 2015, and was primarily related to operations of the non-core businesses from our acquisition of Integral Systems, Inc. that were classified as held for sale and subsequently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At March 30, 2014 and March 29, 2015, our backlog was approximately $1.1 billion and $1.1 billion of which $538.0 million was funded in 2014 and $650.0 million was funded in 2015.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89"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of March 29, 2015, we had cash and cash equivalents of $34.4 million compared with cash and cash equivalents of $34.7 million as of December 28, 2014, which includes $12.4 million and $12.0 million, respectively, of cash and cash equivalents held by our foreign subsidiaries. We are not presently aware of any restrictions on the repatriation of these funds; however, they are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U.S. income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8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total debt, including capital lease obligations, principal due on our Senior Secured Notes, and other term debt remained unchanged at $664.1 million on December 28, 2014 and March 29, 2015, as the accretion of the discount on our Senior Secured Notes was offset by the principal payment required on our 10-year term loan with the bank in Israel.</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operating cash flow is used to finance trade accounts receivable, inventory, capital expenditures, support ongoing operations, service our debt and make strategic acquisitions. Cash from continuing operations is primarily derived from our customer contracts in progress and associated changes in working capital components. Our Days Sales Outstanding (DSOs) have increased from 104 days at December 28, 2014 to 119 days as of March 29, 2015, primarily as a result of certain contractual milestones that have not yet been attained, such as equipment shipments and deliveries on certain defense products, and for certain flight requirements that must be fulfilled on certain aerial target programs, and therefore we are unable to contractually bill for amounts outstanding related to those milestones at this time. The challenging DoD budgetary environment described above, which has in certain instances caused delays in obtaining funding necessary to proceed with payments, has impacted our DSOs as well.</w:t>
      </w:r>
    </w:p>
    <w:p>
      <w:pPr>
        <w:spacing w:after="0" w:line="18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A summary of our net cash provided by operating activities from continuing operations, investing activities, and financing activities from our condensed consolidated statements of cash flows is as follows (in millions):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180" w:type="dxa"/>
            <w:vAlign w:val="bottom"/>
          </w:tcPr>
          <w:p>
            <w:pPr>
              <w:spacing w:after="0"/>
              <w:rPr>
                <w:sz w:val="22"/>
                <w:szCs w:val="22"/>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March 29, 2015</w:t>
            </w:r>
          </w:p>
        </w:tc>
      </w:tr>
      <w:tr>
        <w:trPr>
          <w:trHeight w:val="249"/>
        </w:trPr>
        <w:tc>
          <w:tcPr>
            <w:tcW w:w="83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operating activities from continuing operations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flows used in discontinued operations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225" w:lineRule="exact"/>
        <w:rPr>
          <w:sz w:val="20"/>
          <w:szCs w:val="20"/>
          <w:color w:val="auto"/>
        </w:rPr>
      </w:pPr>
    </w:p>
    <w:p>
      <w:pPr>
        <w:ind w:right="540" w:firstLine="693"/>
        <w:spacing w:after="0" w:line="282" w:lineRule="auto"/>
        <w:rPr>
          <w:sz w:val="20"/>
          <w:szCs w:val="20"/>
          <w:color w:val="auto"/>
        </w:rPr>
      </w:pPr>
      <w:r>
        <w:rPr>
          <w:rFonts w:ascii="Times New Roman" w:cs="Times New Roman" w:eastAsia="Times New Roman" w:hAnsi="Times New Roman"/>
          <w:sz w:val="18"/>
          <w:szCs w:val="18"/>
          <w:color w:val="auto"/>
        </w:rPr>
        <w:t>Net cash provided by (used in) operating activities for the three months ended March 29, 2015 was negatively impacted by reduced operating income and changes in working capital accounts.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60" w:firstLine="693"/>
        <w:spacing w:after="0" w:line="266" w:lineRule="auto"/>
        <w:rPr>
          <w:sz w:val="20"/>
          <w:szCs w:val="20"/>
          <w:color w:val="auto"/>
        </w:rPr>
      </w:pPr>
      <w:r>
        <w:rPr>
          <w:rFonts w:ascii="Times New Roman" w:cs="Times New Roman" w:eastAsia="Times New Roman" w:hAnsi="Times New Roman"/>
          <w:sz w:val="18"/>
          <w:szCs w:val="18"/>
          <w:color w:val="auto"/>
        </w:rPr>
        <w:t>Net cash provided by (used in) investing activities is primarily comprised of a decrease in restricted cash offset by capital expenditures, which consist primarily of investment in machinery, computer hardware and software and improvement of our physical properties in order to maintain suitable conditions in which to conduct our business.</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29, 2015 consists primarily of cash received from the Employee Stock Purchase Plan.</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cash flow from discontinued operations is related to non-core businesses we acquired in the Integral Systems Inc. acquisition.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7% Senior Secured Notes due 2019</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May 14, 2014, the Company completed an offering of $625.0 million aggregate principal amount of 7.00% Senior Secured Notes due 2019 (the "Senior Secured Notes" or "Notes"). The proceeds from the offering, as well as borrowings of $41.0 million from our new credit facility and cash from operations, were used to refinance the Company’s existing 10% Senior Secured Notes due 2017 (the "10% Notes") and to pay all fees and expenses related thereto. The loss on the extinguishment of the 10% Notes was $39.1 million.</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pays interest on the Notes semi-annually, in arrears, on May 15 and November 15 of each year. 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March 29, 2015, the Company was in compliance with the covenants contained in the Indenture governing the Notes.</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or after May 15, 2016, the Company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we may redeem up to 35% of the Notes at 107% before May 15, 2016 with the net proceeds of certain equity offerings. We may also redeem some or all of the Notes before May 15, 2016 at a redemption price of 100% of the principal amount thereof plus accrued and unpaid interest, if any, to the redemption date, plus a “make whole” premium. In addition, at one time prior to May 15, 2016, we may redeem up to 10% of the original aggregate principal amount of the Notes issued under the Indenture at a redemption price of 103% of the principal amount thereof, plus accrued and unpaid interest to the date of redemption.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17, 2014, the Company commenced an offer to exchange the outstanding Notes for an equal amount of new 7.00% Senior Secured Notes due 2019 (the “Exchange Notes”) that have been registered under the Securities Act of 1933, as amended. The Company made the exchange offer pursuant to the terms of the Registration Rights Agreement, dated May 14, 2014, that it entered into with the Guarantors and the representative of the initial purchasers of the Notes. The purpose of the exchange offer was to allow holders of the Notes to exchange their Notes for Exchange Notes that are not subject to transfer restrictions. The terms of the Exchange Notes are identical in all material respects to the terms of the Notes, except the Exchange Notes have been registered under the Securities Act. The Exchange Notes are fully and unconditionally guaranteed, jointly and severally, on a senior secured basis by the Company and each of its subsidiaries, as the guarantors thereof. The Company pays interest on the Exchange Notes semi-annually, in arrears, on May 15 and November 15 of each year. The Company completed the exchange offer on October 16, 2014, at which time the holders of all outstanding Notes had elected to exchange their Notes for Exchange Notes. The Company has no further obligations under the Registration Rights Agreement.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Indebtedness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$110.0 Million Credit Facility</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May 14, 2014, the Company replaced the credit facility with KeyBank National Association and entered into a Credit and Security Agreement (the “Credit Agreement”), by and among the Company, the lenders from time to time party thereto,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SunTrust Bank, as Agent (the “Agent”), PNC Bank, National Association, as Joint Lead Arranger and Documentation Agent and SunTrust Robinson Humphrey, Inc., as Joint Lead Arranger and Sole Book Runner. The Credit Agreement establishes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the amount not to exceed $50.0 million, as well as a swingline loan in an aggregate principal amount at any time outstanding not to exceed $10.0 million. The Credit Agreement is secured by a lien on substantially all of the Company's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Borrowings under the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 (iii) the adjusted LIBOR rate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 1.50% - 2.00% for base rate revolving loans and swingline loans and 2.50% - 3.00%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then-held eligible raw materials inventory, work-in-process inventory, and applicable reserves. As of March 29, 2015, there was $41.0 million outstanding on the Credit Agreement and $13.1 million was outstanding on letters of credit, resulting in net borrowing base availability of $38.4 million.</w:t>
      </w:r>
    </w:p>
    <w:p>
      <w:pPr>
        <w:spacing w:after="0" w:line="193"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certain covenants, which include, but are not limited to, restrictions on indebtedness, liens, and investments, and places limits on other various payments, as well as a financial covenant relating to a minimum fixed charge coverage ratio of 1.15:1. The Company was in compliance with the financial covenants as of March 29, 2015.</w:t>
      </w:r>
    </w:p>
    <w:p>
      <w:pPr>
        <w:spacing w:after="0" w:line="3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Acquired in Acquisition</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has a 10-year term loan with a bank in Israel entered into on September 16, 2008 in connection with the acquisition of one of its wholly owned subsidiaries. The balance as of March 29, 2015 was $3.5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March 29,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discussed in Part II,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Principles and Estimates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foregoing discussion of our financial condition and results of operations is based on the condensed consolidated financial statements included in this Form 10-Q.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As described in Note 1 to the Condensed Consolidated Financial Statements, we adopted Accounting Standards Update 2014-08 "Presentation of Financial Statements (Topic 205) and Property, Plant, and Equipment (Topic 360): Reporting Discontinued Operations and Disclosures of Disposals of Components of an Entity" ("ASU 2014-08") in the three month period ended March 29, 2015, which did not have a material impact on our condensed consolidated financial statements. Other than the adoption of ASU 2014-08, there have been no significant changes to our "Critical Accounting Policies or Estimates" as compared to the significant accounting policies described in the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market risk, primarily related to interest rates and foreign currency exchange rates.</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Exposure to market risk for changes in interest rates relates to our outstanding debt. We are exposed to interest rate risk, primarily through our borrowing activities under the Credit Agreement discussed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Contractual Obligations and Commitments" above. Based on our current outstanding balance, a 1% change in the LIBOR rate would not significantly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would be contracted with investment grade counterparties to reduce exposure to nonperformance.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Exposure to market risk for foreign currency exchange rate risk is related to receipts from customers, payments to suppliers and intercompany loans denominated in foreign currencies. We currently enter into limited foreign currency forward contracts to manage foreign currency exchange rate risk because to date exchange rate fluctuations have had minimal impact on our operating results and cash flows.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cash and cash equivalents as of March 29, 2015 were $34.4 million and are primarily invested in money market interest bearing accounts. A hypothetical 10% adverse change in the average interest rate on our money market cash investments and short-term investments would have had no material effect on our net loss for the three months ended March 29, 2015.</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20"/>
          </w:cols>
          <w:pgMar w:left="24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Conclusions Regarding the Effectiveness of Disclosure Controls and Procedures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our Principal Executive Officer and Principal Financial Officer concluded that our disclosure controls and procedures were effective at the reasonable assurance level as of March 29, 2015.</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three months ended March 29, 2015 that has materially affected, or is reasonably likely to materially affect, our internal control over financial reporting.</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Note 10 of the Notes to the Condensed Consolidated Financial Statements contained within this Quarterly Report on Form 10-Q for a discussion of our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evaluating us and our common stock, we urge you to carefully consider the risks and other information in this Quarterly Report on Form 10-Q, as well as the risk factors disclosed in Item 1A. to Part I of our Annual Report on Form 10-K for the fiscal year ended December 28, 2014, which we filed with the SEC on March 13, 2015. The risks and uncertainties described in “Item 1A - Risk Factors” of our Annual Report on Form 10-K have not materially changed.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were no unregistered sales of the Company's equity securities during the three month period ended March 29, 2015 that were not previously disclosed in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121" w:right="27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219"/>
          </w:cols>
          <w:pgMar w:left="240" w:top="121" w:right="1440"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2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4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Agreement and Plan of Merger, dated February 7, 2011,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and among Kratos Defense &amp; Security Solutions, Inc.,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Lanza Acquisition, Co. and Herley Industries, Inc.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Annex A to the Prospectus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 dated February 8, 2011, pursuant to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S-3 of Kratos Defense &amp;</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Solutions, Inc.).</w:t>
            </w: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and Plan of Merger, dated May 15, 2011,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among Kratos Defense &amp; Security Solutions, Inc.,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Integral Systems, Inc., IRIS Merger Sub Inc., and IRIS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Sub LLC.</w:t>
            </w: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Agreement, dated May 8, 2012, by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among Kratos Defense &amp; Security Solutions, Inc.,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Composite Engineering , Inc., and Amy Fournier, the</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representative.</w:t>
            </w: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Certificate of Incorporation of</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Kratos Defense &amp; Security Solutions, Inc.</w:t>
            </w: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Ownership and Merger of Kratos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&amp; Security Solutions, Inc. into Wireless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Inc.</w:t>
            </w: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Amendment to Amended and Restated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Incorporation of Kratos Defense &amp; Security</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Solutions, Inc.</w:t>
            </w: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Designations, Preferences and Rights of</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Designations, Preferences and Rights of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Stock (included as Exhibit A to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Purchase Agreement dated as of May 16,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2002 among the Company, Meritech Capital Partners II</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L.P., Meritech Capital Affiliates II L.P., MCB</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Entrepreneur Partners II L.P., Oak Investment Partners 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Partnership, Oak X Affiliates Fund, Limited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Oak Investment Partners IX, L.P, Oak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Affiliates Fund, L.P, Oak IX Affiliates Fund-A, L.P, and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KLS Trust dated July 14, 1999).</w:t>
            </w:r>
          </w:p>
        </w:tc>
        <w:tc>
          <w:tcPr>
            <w:tcW w:w="0" w:type="dxa"/>
            <w:vAlign w:val="bottom"/>
          </w:tcPr>
          <w:p>
            <w:pPr>
              <w:spacing w:after="0"/>
              <w:rPr>
                <w:sz w:val="1"/>
                <w:szCs w:val="1"/>
                <w:color w:val="auto"/>
              </w:rPr>
            </w:pPr>
          </w:p>
        </w:tc>
      </w:tr>
      <w:tr>
        <w:trPr>
          <w:trHeight w:val="270"/>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Designation of Series C Preferred Stock.</w:t>
            </w:r>
          </w:p>
        </w:tc>
        <w:tc>
          <w:tcPr>
            <w:tcW w:w="0" w:type="dxa"/>
            <w:vAlign w:val="bottom"/>
          </w:tcPr>
          <w:p>
            <w:pPr>
              <w:spacing w:after="0"/>
              <w:rPr>
                <w:sz w:val="1"/>
                <w:szCs w:val="1"/>
                <w:color w:val="auto"/>
              </w:rPr>
            </w:pPr>
          </w:p>
        </w:tc>
      </w:tr>
      <w:tr>
        <w:trPr>
          <w:trHeight w:val="468"/>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Amended and Restated Bylaws of Kratos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&amp; Security Solutions, Inc.</w:t>
            </w: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Second Amended and Restated Bylaws of</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Kratos Defense &amp; Security Solutions, Inc.</w:t>
            </w:r>
          </w:p>
        </w:tc>
        <w:tc>
          <w:tcPr>
            <w:tcW w:w="0" w:type="dxa"/>
            <w:vAlign w:val="bottom"/>
          </w:tcPr>
          <w:p>
            <w:pPr>
              <w:spacing w:after="0"/>
              <w:rPr>
                <w:sz w:val="1"/>
                <w:szCs w:val="1"/>
                <w:color w:val="auto"/>
              </w:rPr>
            </w:pPr>
          </w:p>
        </w:tc>
      </w:tr>
      <w:tr>
        <w:trPr>
          <w:trHeight w:val="270"/>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Specimen Stock Certificate.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Incorporated by</w:t>
      </w:r>
    </w:p>
    <w:p>
      <w:pPr>
        <w:spacing w:after="0" w:line="6"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 End</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5"/>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23"/>
        </w:trPr>
        <w:tc>
          <w:tcPr>
            <w:tcW w:w="138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02/08/2011(333-</w:t>
            </w:r>
          </w:p>
        </w:tc>
        <w:tc>
          <w:tcPr>
            <w:tcW w:w="10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01"/>
              <w:spacing w:after="0"/>
              <w:rPr>
                <w:sz w:val="20"/>
                <w:szCs w:val="20"/>
                <w:color w:val="auto"/>
              </w:rPr>
            </w:pPr>
            <w:r>
              <w:rPr>
                <w:rFonts w:ascii="Times New Roman" w:cs="Times New Roman" w:eastAsia="Times New Roman" w:hAnsi="Times New Roman"/>
                <w:sz w:val="18"/>
                <w:szCs w:val="18"/>
                <w:color w:val="auto"/>
              </w:rPr>
              <w:t>161340)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5/18/2011(001-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7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34460)</w:t>
            </w:r>
          </w:p>
        </w:tc>
        <w:tc>
          <w:tcPr>
            <w:tcW w:w="600" w:type="dxa"/>
            <w:vAlign w:val="bottom"/>
          </w:tcPr>
          <w:p>
            <w:pPr>
              <w:spacing w:after="0"/>
              <w:rPr>
                <w:sz w:val="20"/>
                <w:szCs w:val="20"/>
                <w:color w:val="auto"/>
              </w:rPr>
            </w:pPr>
          </w:p>
        </w:tc>
      </w:tr>
      <w:tr>
        <w:trPr>
          <w:trHeight w:val="68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05/08/2012(001-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7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34460)</w:t>
            </w:r>
          </w:p>
        </w:tc>
        <w:tc>
          <w:tcPr>
            <w:tcW w:w="600" w:type="dxa"/>
            <w:vAlign w:val="bottom"/>
          </w:tcPr>
          <w:p>
            <w:pPr>
              <w:spacing w:after="0"/>
              <w:rPr>
                <w:sz w:val="20"/>
                <w:szCs w:val="20"/>
                <w:color w:val="auto"/>
              </w:rPr>
            </w:pPr>
          </w:p>
        </w:tc>
      </w:tr>
      <w:tr>
        <w:trPr>
          <w:trHeight w:val="68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11/13/2001(000-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7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27231)</w:t>
            </w:r>
          </w:p>
        </w:tc>
        <w:tc>
          <w:tcPr>
            <w:tcW w:w="600" w:type="dxa"/>
            <w:vAlign w:val="bottom"/>
          </w:tcPr>
          <w:p>
            <w:pPr>
              <w:spacing w:after="0"/>
              <w:rPr>
                <w:sz w:val="20"/>
                <w:szCs w:val="20"/>
                <w:color w:val="auto"/>
              </w:rPr>
            </w:pPr>
          </w:p>
        </w:tc>
      </w:tr>
      <w:tr>
        <w:trPr>
          <w:trHeight w:val="252"/>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9/14/2007(000-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7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27231)</w:t>
            </w:r>
          </w:p>
        </w:tc>
        <w:tc>
          <w:tcPr>
            <w:tcW w:w="600" w:type="dxa"/>
            <w:vAlign w:val="bottom"/>
          </w:tcPr>
          <w:p>
            <w:pPr>
              <w:spacing w:after="0"/>
              <w:rPr>
                <w:sz w:val="20"/>
                <w:szCs w:val="20"/>
                <w:color w:val="auto"/>
              </w:rPr>
            </w:pPr>
          </w:p>
        </w:tc>
      </w:tr>
      <w:tr>
        <w:trPr>
          <w:trHeight w:val="468"/>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11/3/2009(001-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7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34460)</w:t>
            </w:r>
          </w:p>
        </w:tc>
        <w:tc>
          <w:tcPr>
            <w:tcW w:w="600" w:type="dxa"/>
            <w:vAlign w:val="bottom"/>
          </w:tcPr>
          <w:p>
            <w:pPr>
              <w:spacing w:after="0"/>
              <w:rPr>
                <w:sz w:val="20"/>
                <w:szCs w:val="20"/>
                <w:color w:val="auto"/>
              </w:rPr>
            </w:pPr>
          </w:p>
        </w:tc>
      </w:tr>
      <w:tr>
        <w:trPr>
          <w:trHeight w:val="468"/>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11/13/2001(000-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7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27231)</w:t>
            </w:r>
          </w:p>
        </w:tc>
        <w:tc>
          <w:tcPr>
            <w:tcW w:w="600" w:type="dxa"/>
            <w:vAlign w:val="bottom"/>
          </w:tcPr>
          <w:p>
            <w:pPr>
              <w:spacing w:after="0"/>
              <w:rPr>
                <w:sz w:val="20"/>
                <w:szCs w:val="20"/>
                <w:color w:val="auto"/>
              </w:rPr>
            </w:pPr>
          </w:p>
        </w:tc>
      </w:tr>
      <w:tr>
        <w:trPr>
          <w:trHeight w:val="252"/>
        </w:trPr>
        <w:tc>
          <w:tcPr>
            <w:tcW w:w="7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8-K/A</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6/5/2002(000-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7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27231)</w:t>
            </w:r>
          </w:p>
        </w:tc>
        <w:tc>
          <w:tcPr>
            <w:tcW w:w="6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7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8-K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12/17/2004(000-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27231)</w:t>
            </w:r>
          </w:p>
        </w:tc>
        <w:tc>
          <w:tcPr>
            <w:tcW w:w="600" w:type="dxa"/>
            <w:vAlign w:val="bottom"/>
          </w:tcPr>
          <w:p>
            <w:pPr>
              <w:spacing w:after="0"/>
              <w:rPr>
                <w:sz w:val="20"/>
                <w:szCs w:val="20"/>
                <w:color w:val="auto"/>
              </w:rPr>
            </w:pPr>
          </w:p>
        </w:tc>
      </w:tr>
      <w:tr>
        <w:trPr>
          <w:trHeight w:val="252"/>
        </w:trPr>
        <w:tc>
          <w:tcPr>
            <w:tcW w:w="7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8-K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3/15/2011(001-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34460)</w:t>
            </w:r>
          </w:p>
        </w:tc>
        <w:tc>
          <w:tcPr>
            <w:tcW w:w="600" w:type="dxa"/>
            <w:vAlign w:val="bottom"/>
          </w:tcPr>
          <w:p>
            <w:pPr>
              <w:spacing w:after="0"/>
              <w:rPr>
                <w:sz w:val="20"/>
                <w:szCs w:val="20"/>
                <w:color w:val="auto"/>
              </w:rPr>
            </w:pPr>
          </w:p>
        </w:tc>
      </w:tr>
      <w:tr>
        <w:trPr>
          <w:trHeight w:val="252"/>
        </w:trPr>
        <w:tc>
          <w:tcPr>
            <w:tcW w:w="7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10-Q</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11/07/2014(001-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34460)</w:t>
            </w:r>
          </w:p>
        </w:tc>
        <w:tc>
          <w:tcPr>
            <w:tcW w:w="600" w:type="dxa"/>
            <w:vAlign w:val="bottom"/>
          </w:tcPr>
          <w:p>
            <w:pPr>
              <w:spacing w:after="0"/>
              <w:rPr>
                <w:sz w:val="20"/>
                <w:szCs w:val="20"/>
                <w:color w:val="auto"/>
              </w:rPr>
            </w:pPr>
          </w:p>
        </w:tc>
      </w:tr>
      <w:tr>
        <w:trPr>
          <w:trHeight w:val="252"/>
        </w:trPr>
        <w:tc>
          <w:tcPr>
            <w:tcW w:w="7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10-K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03/02/2001(001-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34460)</w:t>
            </w:r>
          </w:p>
        </w:tc>
        <w:tc>
          <w:tcPr>
            <w:tcW w:w="600" w:type="dxa"/>
            <w:vAlign w:val="bottom"/>
          </w:tcPr>
          <w:p>
            <w:pPr>
              <w:spacing w:after="0"/>
              <w:rPr>
                <w:sz w:val="20"/>
                <w:szCs w:val="20"/>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2">
            <w:col w:w="5500" w:space="120"/>
            <w:col w:w="580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 End</w:t>
            </w:r>
          </w:p>
        </w:tc>
        <w:tc>
          <w:tcPr>
            <w:tcW w:w="13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5"/>
        </w:trPr>
        <w:tc>
          <w:tcPr>
            <w:tcW w:w="1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23"/>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05/15/2014(000-</w:t>
            </w:r>
          </w:p>
        </w:tc>
        <w:tc>
          <w:tcPr>
            <w:tcW w:w="100" w:type="dxa"/>
            <w:vAlign w:val="bottom"/>
          </w:tcPr>
          <w:p>
            <w:pPr>
              <w:spacing w:after="0"/>
              <w:rPr>
                <w:sz w:val="19"/>
                <w:szCs w:val="19"/>
                <w:color w:val="auto"/>
              </w:rPr>
            </w:pPr>
          </w:p>
        </w:tc>
        <w:tc>
          <w:tcPr>
            <w:tcW w:w="136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Indenture, dated as of May 14, 2014, among Kratos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gridSpan w:val="2"/>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Defense &amp; Security Solutions, Inc., as Issuer, the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Guarantors party thereto, and Wilmington Trust, National</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Association, as Trustee and Collateral Agent (including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Form of 7.00% Senior Secured Notes due 2019).</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Registration Rights Agreement, dated as of May 14,</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5/15/2014(001-</w:t>
            </w:r>
          </w:p>
        </w:tc>
        <w:tc>
          <w:tcPr>
            <w:tcW w:w="100" w:type="dxa"/>
            <w:vAlign w:val="bottom"/>
          </w:tcPr>
          <w:p>
            <w:pPr>
              <w:spacing w:after="0"/>
              <w:rPr>
                <w:sz w:val="21"/>
                <w:szCs w:val="21"/>
                <w:color w:val="auto"/>
              </w:rPr>
            </w:pPr>
          </w:p>
        </w:tc>
        <w:tc>
          <w:tcPr>
            <w:tcW w:w="136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2014, among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Issuer, the Guarantors party thereto, and SunTrust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Robinson Humphrey, Inc., as Representative of the Initial</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Purchasers.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Section 1350, as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adopted pursuant to Section 906 of the Sarbanes-Oxley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 of 2002 for Eric M. DeMarco.</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Section 1350, as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adopted pursuant to Section 906 of the Sarbanes-Oxley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 of 2002 for Deanna Lund.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statements from the Quarterly Report on</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10-Q of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quarter ended March 29, 2015 formatted in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(i) the Condensed Consolidated Balance Sheets,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00" w:right="6140" w:firstLine="5"/>
        <w:spacing w:after="0" w:line="265" w:lineRule="auto"/>
        <w:tabs>
          <w:tab w:leader="none" w:pos="156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Condensed Consolidated Statements of Operations and Comprehensive Income (Loss), (iii) the Condensed Consolidated Statements of Cash Flows,</w:t>
      </w:r>
    </w:p>
    <w:p>
      <w:pPr>
        <w:ind w:left="1300" w:right="6120" w:firstLine="5"/>
        <w:spacing w:after="0" w:line="261" w:lineRule="auto"/>
        <w:tabs>
          <w:tab w:leader="none" w:pos="160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to the Condensed Consolidated Financial Statements.</w:t>
      </w:r>
    </w:p>
    <w:p>
      <w:pPr>
        <w:spacing w:after="0" w:line="200" w:lineRule="exact"/>
        <w:rPr>
          <w:rFonts w:ascii="Times New Roman" w:cs="Times New Roman" w:eastAsia="Times New Roman" w:hAnsi="Times New Roman"/>
          <w:sz w:val="18"/>
          <w:szCs w:val="18"/>
          <w:color w:val="auto"/>
        </w:rPr>
      </w:pPr>
    </w:p>
    <w:p>
      <w:pPr>
        <w:spacing w:after="0" w:line="384" w:lineRule="exact"/>
        <w:rPr>
          <w:rFonts w:ascii="Times New Roman" w:cs="Times New Roman" w:eastAsia="Times New Roman" w:hAnsi="Times New Roman"/>
          <w:sz w:val="18"/>
          <w:szCs w:val="18"/>
          <w:color w:val="auto"/>
        </w:rPr>
      </w:pPr>
    </w:p>
    <w:p>
      <w:pPr>
        <w:ind w:right="540" w:firstLine="8"/>
        <w:spacing w:after="0" w:line="282" w:lineRule="auto"/>
        <w:tabs>
          <w:tab w:leader="none" w:pos="2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810"/>
        </w:trPr>
        <w:tc>
          <w:tcPr>
            <w:tcW w:w="602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810"/>
        </w:trPr>
        <w:tc>
          <w:tcPr>
            <w:tcW w:w="602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DEBORAH BUTERA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Deborah Butera</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Senior Vice President, General Counsel, Chief Compliance Officer and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Secretary/Registered In-House Counsel</w:t>
            </w:r>
          </w:p>
        </w:tc>
      </w:tr>
      <w:tr>
        <w:trPr>
          <w:trHeight w:val="567"/>
        </w:trPr>
        <w:tc>
          <w:tcPr>
            <w:tcW w:w="602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RICHARD DUCKWORTH</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 Duckworth</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2015</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37</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23" w:lineRule="exact"/>
        <w:rPr>
          <w:rFonts w:ascii="Times New Roman" w:cs="Times New Roman" w:eastAsia="Times New Roman" w:hAnsi="Times New Roman"/>
          <w:sz w:val="16"/>
          <w:szCs w:val="16"/>
          <w:color w:val="auto"/>
        </w:rPr>
      </w:pPr>
    </w:p>
    <w:p>
      <w:pPr>
        <w:ind w:left="660" w:right="20" w:hanging="652"/>
        <w:spacing w:after="0" w:line="246"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257"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6"/>
          <w:szCs w:val="16"/>
          <w:color w:val="auto"/>
        </w:rPr>
      </w:pPr>
    </w:p>
    <w:p>
      <w:pPr>
        <w:ind w:left="1300" w:right="180" w:hanging="644"/>
        <w:spacing w:after="0" w:line="254" w:lineRule="auto"/>
        <w:tabs>
          <w:tab w:leader="none" w:pos="13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6"/>
          <w:szCs w:val="16"/>
          <w:color w:val="auto"/>
        </w:rPr>
      </w:pPr>
    </w:p>
    <w:p>
      <w:pPr>
        <w:ind w:left="1300" w:right="80" w:hanging="644"/>
        <w:spacing w:after="0" w:line="246" w:lineRule="auto"/>
        <w:tabs>
          <w:tab w:leader="none" w:pos="13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6"/>
          <w:szCs w:val="16"/>
          <w:color w:val="auto"/>
        </w:rPr>
      </w:pPr>
    </w:p>
    <w:p>
      <w:pPr>
        <w:ind w:left="1300" w:right="80" w:hanging="644"/>
        <w:spacing w:after="0" w:line="246" w:lineRule="auto"/>
        <w:tabs>
          <w:tab w:leader="none" w:pos="13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6"/>
          <w:szCs w:val="16"/>
          <w:color w:val="auto"/>
        </w:rPr>
      </w:pPr>
    </w:p>
    <w:p>
      <w:pPr>
        <w:ind w:left="660" w:right="300" w:hanging="652"/>
        <w:spacing w:after="0" w:line="281"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6"/>
          <w:szCs w:val="16"/>
          <w:color w:val="auto"/>
        </w:rPr>
      </w:pPr>
    </w:p>
    <w:p>
      <w:pPr>
        <w:ind w:left="1300" w:right="260" w:hanging="644"/>
        <w:spacing w:after="0" w:line="258" w:lineRule="auto"/>
        <w:tabs>
          <w:tab w:leader="none" w:pos="13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460" w:hanging="644"/>
        <w:spacing w:after="0" w:line="257" w:lineRule="auto"/>
        <w:tabs>
          <w:tab w:leader="none" w:pos="13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7, 2015</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37465</wp:posOffset>
            </wp:positionV>
            <wp:extent cx="3498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Eric M. DeMarco</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420"/>
          </w:cols>
          <w:pgMar w:left="240" w:top="583"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Deanna H. Lund, certify that:</w:t>
      </w:r>
    </w:p>
    <w:p>
      <w:pPr>
        <w:spacing w:after="0" w:line="208"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9" w:lineRule="exact"/>
        <w:rPr>
          <w:rFonts w:ascii="Times New Roman" w:cs="Times New Roman" w:eastAsia="Times New Roman" w:hAnsi="Times New Roman"/>
          <w:sz w:val="18"/>
          <w:szCs w:val="18"/>
          <w:color w:val="auto"/>
        </w:rPr>
      </w:pPr>
    </w:p>
    <w:p>
      <w:pPr>
        <w:ind w:left="660" w:right="20" w:hanging="652"/>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 w:lineRule="exact"/>
        <w:rPr>
          <w:rFonts w:ascii="Times New Roman" w:cs="Times New Roman" w:eastAsia="Times New Roman" w:hAnsi="Times New Roman"/>
          <w:sz w:val="18"/>
          <w:szCs w:val="18"/>
          <w:color w:val="auto"/>
        </w:rPr>
      </w:pPr>
    </w:p>
    <w:p>
      <w:pPr>
        <w:ind w:left="660" w:hanging="652"/>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Times New Roman" w:cs="Times New Roman" w:eastAsia="Times New Roman" w:hAnsi="Times New Roman"/>
          <w:sz w:val="18"/>
          <w:szCs w:val="18"/>
          <w:color w:val="auto"/>
        </w:rPr>
      </w:pPr>
    </w:p>
    <w:p>
      <w:pPr>
        <w:ind w:left="660" w:right="120" w:hanging="652"/>
        <w:spacing w:after="0" w:line="28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8"/>
          <w:szCs w:val="18"/>
          <w:color w:val="auto"/>
        </w:rPr>
      </w:pPr>
    </w:p>
    <w:p>
      <w:pPr>
        <w:ind w:left="1300" w:right="180" w:hanging="644"/>
        <w:spacing w:after="0" w:line="268"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 w:lineRule="exact"/>
        <w:rPr>
          <w:rFonts w:ascii="Times New Roman" w:cs="Times New Roman" w:eastAsia="Times New Roman" w:hAnsi="Times New Roman"/>
          <w:sz w:val="18"/>
          <w:szCs w:val="18"/>
          <w:color w:val="auto"/>
        </w:rPr>
      </w:pPr>
    </w:p>
    <w:p>
      <w:pPr>
        <w:ind w:left="1300" w:right="80" w:hanging="644"/>
        <w:spacing w:after="0" w:line="268"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Times New Roman" w:cs="Times New Roman" w:eastAsia="Times New Roman" w:hAnsi="Times New Roman"/>
          <w:sz w:val="18"/>
          <w:szCs w:val="18"/>
          <w:color w:val="auto"/>
        </w:rPr>
      </w:pPr>
    </w:p>
    <w:p>
      <w:pPr>
        <w:ind w:left="1300" w:right="360" w:hanging="644"/>
        <w:spacing w:after="0" w:line="281" w:lineRule="auto"/>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8"/>
          <w:szCs w:val="18"/>
          <w:color w:val="auto"/>
        </w:rPr>
      </w:pPr>
    </w:p>
    <w:p>
      <w:pPr>
        <w:ind w:left="660" w:right="300" w:hanging="652"/>
        <w:spacing w:after="0" w:line="28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8"/>
          <w:szCs w:val="18"/>
          <w:color w:val="auto"/>
        </w:rPr>
      </w:pPr>
    </w:p>
    <w:p>
      <w:pPr>
        <w:ind w:left="1300" w:right="260" w:hanging="644"/>
        <w:spacing w:after="0" w:line="261"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Times New Roman" w:cs="Times New Roman" w:eastAsia="Times New Roman" w:hAnsi="Times New Roman"/>
          <w:sz w:val="18"/>
          <w:szCs w:val="18"/>
          <w:color w:val="auto"/>
        </w:rPr>
      </w:pPr>
    </w:p>
    <w:p>
      <w:pPr>
        <w:ind w:left="1300" w:right="460" w:hanging="644"/>
        <w:spacing w:after="0" w:line="28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7, 2015</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37465</wp:posOffset>
            </wp:positionV>
            <wp:extent cx="3498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Deanna H. Lund</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p>
      <w:pPr>
        <w:sectPr>
          <w:pgSz w:w="11900" w:h="16838" w:orient="portrait"/>
          <w:cols w:equalWidth="0" w:num="1">
            <w:col w:w="11420"/>
          </w:cols>
          <w:pgMar w:left="240" w:top="583"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7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March 29, 2015 (the “Report”), I, Eric M. DeMarco, Chief Executive Officer of the Company, certify, pursuant to 18 U.S.C. Section 1350, as adopted pursuant to Section 906 of the Sarbanes-Oxley Act of 2002, that:</w:t>
      </w:r>
    </w:p>
    <w:p>
      <w:pPr>
        <w:spacing w:after="0" w:line="151"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7, 2015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3610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Eric M. DeMarco</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420"/>
          </w:cols>
          <w:pgMar w:left="240" w:top="583"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7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March 29, 2015 (the “Report”), I, Deanna H. Lund, Chief Financial Officer of the Company, certify, pursuant to 18 U.S.C. Section 1350, as adopted pursuant to Section 906 of the Sarbanes-Oxley Act of 2002, that:</w:t>
      </w:r>
    </w:p>
    <w:p>
      <w:pPr>
        <w:spacing w:after="0" w:line="151"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7, 2015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3610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Deanna H. Lund</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sectPr>
      <w:pgSz w:w="11900" w:h="16838" w:orient="portrait"/>
      <w:cols w:equalWidth="0" w:num="1">
        <w:col w:w="11420"/>
      </w:cols>
      <w:pgMar w:left="240" w:top="5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lowerLetter"/>
      <w:start w:val="2"/>
    </w:lvl>
  </w:abstractNum>
  <w:abstractNum w:abstractNumId="3">
    <w:nsid w:val="4DB127F8"/>
    <w:multiLevelType w:val="hybridMultilevel"/>
    <w:lvl w:ilvl="0">
      <w:lvlJc w:val="left"/>
      <w:lvlText w:val="(%1)"/>
      <w:numFmt w:val="lowerLetter"/>
      <w:start w:val="3"/>
    </w:lvl>
  </w:abstractNum>
  <w:abstractNum w:abstractNumId="4">
    <w:nsid w:val="216231B"/>
    <w:multiLevelType w:val="hybridMultilevel"/>
    <w:lvl w:ilvl="0">
      <w:lvlJc w:val="left"/>
      <w:lvlText w:val="&amp;"/>
      <w:numFmt w:val="bullet"/>
      <w:start w:val="1"/>
    </w:lvl>
  </w:abstractNum>
  <w:abstractNum w:abstractNumId="5">
    <w:nsid w:val="1F16E9E8"/>
    <w:multiLevelType w:val="hybridMultilevel"/>
    <w:lvl w:ilvl="0">
      <w:lvlJc w:val="left"/>
      <w:lvlText w:val="(%1)"/>
      <w:numFmt w:val="lowerLetter"/>
      <w:start w:val="6"/>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Roman"/>
      <w:start w:val="3"/>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
      <w:numFmt w:val="bullet"/>
      <w:start w:val="1"/>
    </w:lvl>
    <w:lvl w:ilvl="1">
      <w:lvlJc w:val="left"/>
      <w:lvlText w:val="(%2)"/>
      <w:numFmt w:val="lowerRoman"/>
      <w:start w:val="2"/>
    </w:lvl>
  </w:abstractNum>
  <w:abstractNum w:abstractNumId="11">
    <w:nsid w:val="DED7263"/>
    <w:multiLevelType w:val="hybridMultilevel"/>
    <w:lvl w:ilvl="0">
      <w:lvlJc w:val="left"/>
      <w:lvlText w:val="#"/>
      <w:numFmt w:val="bullet"/>
      <w:start w:val="1"/>
    </w:lvl>
    <w:lvl w:ilvl="1">
      <w:lvlJc w:val="left"/>
      <w:lvlText w:val="(%2)"/>
      <w:numFmt w:val="lowerRoman"/>
      <w:start w:val="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2019-12-29T18:21:12Z</dcterms:created>
  <dcterms:modified xsi:type="dcterms:W3CDTF">2019-12-29T18:21:12Z</dcterms:modified>
</cp:coreProperties>
</file>