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167640</wp:posOffset>
            </wp:positionV>
            <wp:extent cx="3773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FORM 10-Q</w:t>
      </w:r>
    </w:p>
    <w:p>
      <w:pPr>
        <w:spacing w:after="0" w:line="248" w:lineRule="exact"/>
        <w:rPr>
          <w:sz w:val="24"/>
          <w:szCs w:val="24"/>
          <w:color w:val="auto"/>
        </w:rPr>
      </w:pPr>
    </w:p>
    <w:p>
      <w:pPr>
        <w:ind w:left="840" w:hanging="308"/>
        <w:spacing w:after="0"/>
        <w:tabs>
          <w:tab w:leader="none" w:pos="840" w:val="left"/>
        </w:tabs>
        <w:numPr>
          <w:ilvl w:val="1"/>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72" w:lineRule="exact"/>
        <w:rPr>
          <w:rFonts w:ascii="MS PGothic" w:cs="MS PGothic" w:eastAsia="MS PGothic" w:hAnsi="MS PGothic"/>
          <w:sz w:val="22"/>
          <w:szCs w:val="22"/>
          <w:color w:val="auto"/>
        </w:rPr>
      </w:pPr>
    </w:p>
    <w:p>
      <w:pPr>
        <w:ind w:left="384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Quarterly Period Ended October 1, 2017</w:t>
      </w:r>
    </w:p>
    <w:p>
      <w:pPr>
        <w:spacing w:after="0" w:line="247" w:lineRule="exact"/>
        <w:rPr>
          <w:rFonts w:ascii="MS PGothic" w:cs="MS PGothic" w:eastAsia="MS PGothic" w:hAnsi="MS PGothic"/>
          <w:sz w:val="22"/>
          <w:szCs w:val="22"/>
          <w:color w:val="auto"/>
        </w:rPr>
      </w:pPr>
    </w:p>
    <w:p>
      <w:pPr>
        <w:ind w:left="600" w:hanging="328"/>
        <w:spacing w:after="0"/>
        <w:tabs>
          <w:tab w:leader="none" w:pos="60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AND EXCHANGE ACT OF 1934</w:t>
      </w:r>
    </w:p>
    <w:p>
      <w:pPr>
        <w:spacing w:after="0" w:line="283" w:lineRule="exact"/>
        <w:rPr>
          <w:rFonts w:ascii="MS PGothic" w:cs="MS PGothic" w:eastAsia="MS PGothic" w:hAnsi="MS PGothic"/>
          <w:sz w:val="21"/>
          <w:szCs w:val="21"/>
          <w:color w:val="auto"/>
        </w:rPr>
      </w:pPr>
    </w:p>
    <w:p>
      <w:pPr>
        <w:ind w:left="436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Commission file number 001-34460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180340</wp:posOffset>
            </wp:positionV>
            <wp:extent cx="3773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KRATOS DEFENSE &amp; SECURITY SOLUTIONS, INC.</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233" w:right="279" w:bottom="1440"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13-3818604</w:t>
      </w:r>
    </w:p>
    <w:p>
      <w:pPr>
        <w:spacing w:after="0" w:line="90" w:lineRule="exact"/>
        <w:rPr>
          <w:sz w:val="24"/>
          <w:szCs w:val="24"/>
          <w:color w:val="auto"/>
        </w:rPr>
      </w:pPr>
    </w:p>
    <w:p>
      <w:pPr>
        <w:sectPr>
          <w:pgSz w:w="11900" w:h="16838" w:orient="portrait"/>
          <w:cols w:equalWidth="0" w:num="2">
            <w:col w:w="7420" w:space="720"/>
            <w:col w:w="3240"/>
          </w:cols>
          <w:pgMar w:left="240" w:top="233" w:right="279" w:bottom="1440" w:gutter="0" w:footer="0" w:header="0"/>
          <w:type w:val="continuous"/>
        </w:sectPr>
      </w:pPr>
    </w:p>
    <w:p>
      <w:pPr>
        <w:ind w:left="182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178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63" w:lineRule="exact"/>
        <w:rPr>
          <w:sz w:val="24"/>
          <w:szCs w:val="24"/>
          <w:color w:val="auto"/>
        </w:rPr>
      </w:pPr>
    </w:p>
    <w:p>
      <w:pPr>
        <w:sectPr>
          <w:pgSz w:w="11900" w:h="16838" w:orient="portrait"/>
          <w:cols w:equalWidth="0" w:num="2">
            <w:col w:w="6540" w:space="720"/>
            <w:col w:w="4120"/>
          </w:cols>
          <w:pgMar w:left="240" w:top="233"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4820 Eastgate Mall, Suite 200</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San Diego, CA 92121</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(858) 812-7300</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1746250</wp:posOffset>
            </wp:positionH>
            <wp:positionV relativeFrom="paragraph">
              <wp:posOffset>168910</wp:posOffset>
            </wp:positionV>
            <wp:extent cx="3773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right="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ind w:right="28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30" w:lineRule="exact"/>
        <w:rPr>
          <w:sz w:val="24"/>
          <w:szCs w:val="24"/>
          <w:color w:val="auto"/>
        </w:rPr>
      </w:pPr>
    </w:p>
    <w:p>
      <w:pPr>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7" w:lineRule="exact"/>
        <w:rPr>
          <w:sz w:val="24"/>
          <w:szCs w:val="24"/>
          <w:color w:val="auto"/>
        </w:rPr>
      </w:pPr>
    </w:p>
    <w:tbl>
      <w:tblPr>
        <w:tblLayout w:type="fixed"/>
        <w:tblInd w:w="1200" w:type="dxa"/>
        <w:tblCellMar>
          <w:top w:w="0" w:type="dxa"/>
          <w:left w:w="0" w:type="dxa"/>
          <w:bottom w:w="0" w:type="dxa"/>
          <w:right w:w="0" w:type="dxa"/>
        </w:tblCellMar>
      </w:tblPr>
      <w:tr>
        <w:trPr>
          <w:trHeight w:val="283"/>
        </w:trPr>
        <w:tc>
          <w:tcPr>
            <w:tcW w:w="4820" w:type="dxa"/>
            <w:vAlign w:val="bottom"/>
          </w:tcPr>
          <w:p>
            <w:pPr>
              <w:jc w:val="center"/>
              <w:ind w:right="1410"/>
              <w:spacing w:after="0"/>
              <w:rPr>
                <w:sz w:val="20"/>
                <w:szCs w:val="20"/>
                <w:color w:val="auto"/>
              </w:rPr>
            </w:pPr>
            <w:r>
              <w:rPr>
                <w:rFonts w:ascii="Arial" w:cs="Arial" w:eastAsia="Arial" w:hAnsi="Arial"/>
                <w:sz w:val="18"/>
                <w:szCs w:val="18"/>
                <w:color w:val="auto"/>
                <w:w w:val="91"/>
              </w:rPr>
              <w:t>Large accelerated filer o</w:t>
            </w:r>
          </w:p>
        </w:tc>
        <w:tc>
          <w:tcPr>
            <w:tcW w:w="3600" w:type="dxa"/>
            <w:vAlign w:val="bottom"/>
          </w:tcPr>
          <w:p>
            <w:pPr>
              <w:jc w:val="center"/>
              <w:ind w:left="1410"/>
              <w:spacing w:after="0" w:line="207" w:lineRule="exact"/>
              <w:rPr>
                <w:sz w:val="20"/>
                <w:szCs w:val="20"/>
                <w:color w:val="auto"/>
              </w:rPr>
            </w:pPr>
            <w:r>
              <w:rPr>
                <w:rFonts w:ascii="Arial" w:cs="Arial" w:eastAsia="Arial" w:hAnsi="Arial"/>
                <w:sz w:val="18"/>
                <w:szCs w:val="18"/>
                <w:color w:val="auto"/>
                <w:w w:val="93"/>
              </w:rPr>
              <w:t xml:space="preserve">Accelerated filer </w:t>
            </w:r>
            <w:r>
              <w:rPr>
                <w:rFonts w:ascii="MS PGothic" w:cs="MS PGothic" w:eastAsia="MS PGothic" w:hAnsi="MS PGothic"/>
                <w:sz w:val="18"/>
                <w:szCs w:val="18"/>
                <w:color w:val="auto"/>
                <w:w w:val="93"/>
              </w:rPr>
              <w:t>☒</w:t>
            </w:r>
          </w:p>
        </w:tc>
      </w:tr>
      <w:tr>
        <w:trPr>
          <w:trHeight w:val="520"/>
        </w:trPr>
        <w:tc>
          <w:tcPr>
            <w:tcW w:w="4820" w:type="dxa"/>
            <w:vAlign w:val="bottom"/>
          </w:tcPr>
          <w:p>
            <w:pPr>
              <w:jc w:val="center"/>
              <w:ind w:right="1390"/>
              <w:spacing w:after="0"/>
              <w:rPr>
                <w:sz w:val="20"/>
                <w:szCs w:val="20"/>
                <w:color w:val="auto"/>
              </w:rPr>
            </w:pPr>
            <w:r>
              <w:rPr>
                <w:rFonts w:ascii="Arial" w:cs="Arial" w:eastAsia="Arial" w:hAnsi="Arial"/>
                <w:sz w:val="18"/>
                <w:szCs w:val="18"/>
                <w:color w:val="auto"/>
                <w:w w:val="91"/>
              </w:rPr>
              <w:t>Non-accelerated filer o</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Smaller reporting company o</w:t>
            </w:r>
          </w:p>
        </w:tc>
      </w:tr>
      <w:tr>
        <w:trPr>
          <w:trHeight w:val="392"/>
        </w:trPr>
        <w:tc>
          <w:tcPr>
            <w:tcW w:w="4820" w:type="dxa"/>
            <w:vAlign w:val="bottom"/>
          </w:tcPr>
          <w:p>
            <w:pPr>
              <w:jc w:val="center"/>
              <w:ind w:right="1390"/>
              <w:spacing w:after="0"/>
              <w:rPr>
                <w:sz w:val="20"/>
                <w:szCs w:val="20"/>
                <w:color w:val="auto"/>
              </w:rPr>
            </w:pPr>
            <w:r>
              <w:rPr>
                <w:rFonts w:ascii="Arial" w:cs="Arial" w:eastAsia="Arial" w:hAnsi="Arial"/>
                <w:sz w:val="18"/>
                <w:szCs w:val="18"/>
                <w:color w:val="auto"/>
                <w:w w:val="91"/>
              </w:rPr>
              <w:t>(Do not check if a smaller reporting company)</w:t>
            </w:r>
          </w:p>
        </w:tc>
        <w:tc>
          <w:tcPr>
            <w:tcW w:w="3600" w:type="dxa"/>
            <w:vAlign w:val="bottom"/>
          </w:tcPr>
          <w:p>
            <w:pPr>
              <w:jc w:val="center"/>
              <w:ind w:left="1410"/>
              <w:spacing w:after="0"/>
              <w:rPr>
                <w:sz w:val="20"/>
                <w:szCs w:val="20"/>
                <w:color w:val="auto"/>
              </w:rPr>
            </w:pPr>
            <w:r>
              <w:rPr>
                <w:rFonts w:ascii="Arial" w:cs="Arial" w:eastAsia="Arial" w:hAnsi="Arial"/>
                <w:sz w:val="18"/>
                <w:szCs w:val="18"/>
                <w:color w:val="auto"/>
                <w:w w:val="91"/>
              </w:rPr>
              <w:t>Emerging growth company o</w:t>
            </w:r>
          </w:p>
        </w:tc>
      </w:tr>
    </w:tbl>
    <w:p>
      <w:pPr>
        <w:spacing w:after="0" w:line="17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Yes o No o</w:t>
      </w:r>
    </w:p>
    <w:p>
      <w:pPr>
        <w:spacing w:after="0" w:line="151" w:lineRule="exact"/>
        <w:rPr>
          <w:sz w:val="24"/>
          <w:szCs w:val="24"/>
          <w:color w:val="auto"/>
        </w:rPr>
      </w:pPr>
    </w:p>
    <w:p>
      <w:pPr>
        <w:ind w:left="340" w:right="182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27, 2017, 103,297,525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1,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80" w:type="dxa"/>
            <w:vAlign w:val="bottom"/>
            <w:tcBorders>
              <w:bottom w:val="single" w:sz="8" w:color="0000EE"/>
            </w:tcBorders>
            <w:gridSpan w:val="6"/>
          </w:tcPr>
          <w:p>
            <w:pPr>
              <w:jc w:val="center"/>
              <w:ind w:right="20"/>
              <w:spacing w:after="0" w:line="189"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420" w:type="dxa"/>
            <w:vAlign w:val="bottom"/>
            <w:gridSpan w:val="4"/>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990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at October 1, 2017 and December 25, 2016 (unaudited)</w:t>
              </w:r>
            </w:hyperlink>
          </w:p>
        </w:tc>
        <w:tc>
          <w:tcPr>
            <w:tcW w:w="2940" w:type="dxa"/>
            <w:vAlign w:val="bottom"/>
            <w:gridSpan w:val="3"/>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Loss for the Three and Nine Months Ended October 1, 2017 and</w:t>
              </w:r>
            </w:hyperlink>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September 25, 2016 (unaudited)</w:t>
              </w:r>
            </w:hyperlink>
          </w:p>
        </w:tc>
        <w:tc>
          <w:tcPr>
            <w:tcW w:w="7580" w:type="dxa"/>
            <w:vAlign w:val="bottom"/>
            <w:gridSpan w:val="11"/>
          </w:tcPr>
          <w:p>
            <w:pPr>
              <w:spacing w:after="0"/>
              <w:rPr>
                <w:sz w:val="17"/>
                <w:szCs w:val="17"/>
                <w:color w:val="auto"/>
              </w:rPr>
            </w:pPr>
          </w:p>
        </w:tc>
        <w:tc>
          <w:tcPr>
            <w:tcW w:w="4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574"/>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Cash Flows for the Nine Months Ended October 1, 2017 and September 25, 2016 (unaudited)</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0" w:type="dxa"/>
            <w:vAlign w:val="bottom"/>
            <w:tcBorders>
              <w:top w:val="single" w:sz="8" w:color="0000EE"/>
            </w:tcBorders>
            <w:gridSpan w:val="1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30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9900" w:type="dxa"/>
            <w:vAlign w:val="bottom"/>
            <w:gridSpan w:val="1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990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80" w:type="dxa"/>
            <w:vAlign w:val="bottom"/>
            <w:tcBorders>
              <w:left w:val="single" w:sz="8" w:color="0000EE"/>
            </w:tcBorders>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9900" w:type="dxa"/>
            <w:vAlign w:val="bottom"/>
            <w:gridSpan w:val="1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520"/>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OTHER INFORMATION</w:t>
              </w:r>
            </w:hyperlink>
          </w:p>
        </w:tc>
        <w:tc>
          <w:tcPr>
            <w:tcW w:w="358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w:t>
              </w:r>
            </w:hyperlink>
          </w:p>
        </w:tc>
        <w:tc>
          <w:tcPr>
            <w:tcW w:w="990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Item 1A.</w:t>
              </w:r>
            </w:hyperlink>
          </w:p>
        </w:tc>
        <w:tc>
          <w:tcPr>
            <w:tcW w:w="280" w:type="dxa"/>
            <w:vAlign w:val="bottom"/>
          </w:tcPr>
          <w:p>
            <w:pPr>
              <w:spacing w:after="0"/>
              <w:rPr>
                <w:sz w:val="24"/>
                <w:szCs w:val="24"/>
                <w:color w:val="auto"/>
              </w:rPr>
            </w:pPr>
          </w:p>
        </w:tc>
        <w:tc>
          <w:tcPr>
            <w:tcW w:w="900" w:type="dxa"/>
            <w:vAlign w:val="bottom"/>
            <w:gridSpan w:val="2"/>
          </w:tcPr>
          <w:p>
            <w:pPr>
              <w:spacing w:after="0"/>
              <w:rPr>
                <w:rFonts w:ascii="Arial" w:cs="Arial" w:eastAsia="Arial" w:hAnsi="Arial"/>
                <w:sz w:val="18"/>
                <w:szCs w:val="18"/>
                <w:color w:val="0000EE"/>
                <w:w w:val="87"/>
              </w:rPr>
            </w:pPr>
            <w:hyperlink w:anchor="page38">
              <w:r>
                <w:rPr>
                  <w:rFonts w:ascii="Arial" w:cs="Arial" w:eastAsia="Arial" w:hAnsi="Arial"/>
                  <w:sz w:val="18"/>
                  <w:szCs w:val="18"/>
                  <w:color w:val="0000EE"/>
                  <w:w w:val="87"/>
                </w:rPr>
                <w:t>Risk Factors</w:t>
              </w:r>
            </w:hyperlink>
          </w:p>
        </w:tc>
        <w:tc>
          <w:tcPr>
            <w:tcW w:w="9000" w:type="dxa"/>
            <w:vAlign w:val="bottom"/>
            <w:gridSpan w:val="15"/>
          </w:tcPr>
          <w:p>
            <w:pPr>
              <w:spacing w:after="0"/>
              <w:rPr>
                <w:sz w:val="24"/>
                <w:szCs w:val="24"/>
                <w:color w:val="auto"/>
              </w:rPr>
            </w:pPr>
          </w:p>
        </w:tc>
        <w:tc>
          <w:tcPr>
            <w:tcW w:w="5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2.</w:t>
              </w:r>
            </w:hyperlink>
          </w:p>
        </w:tc>
        <w:tc>
          <w:tcPr>
            <w:tcW w:w="280" w:type="dxa"/>
            <w:vAlign w:val="bottom"/>
          </w:tcPr>
          <w:p>
            <w:pPr>
              <w:spacing w:after="0"/>
              <w:rPr>
                <w:sz w:val="24"/>
                <w:szCs w:val="24"/>
                <w:color w:val="auto"/>
              </w:rPr>
            </w:pPr>
          </w:p>
        </w:tc>
        <w:tc>
          <w:tcPr>
            <w:tcW w:w="990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5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3.</w:t>
              </w:r>
            </w:hyperlink>
          </w:p>
        </w:tc>
        <w:tc>
          <w:tcPr>
            <w:tcW w:w="990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Defaults Upon Senior Securities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3"/>
            <w:shd w:val="clear" w:color="auto" w:fill="0000EE"/>
          </w:tcPr>
          <w:p>
            <w:pPr>
              <w:spacing w:after="0" w:line="20" w:lineRule="exact"/>
              <w:rPr>
                <w:sz w:val="1"/>
                <w:szCs w:val="1"/>
                <w:color w:val="auto"/>
              </w:rPr>
            </w:pPr>
          </w:p>
        </w:tc>
        <w:tc>
          <w:tcPr>
            <w:tcW w:w="7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4.</w:t>
              </w:r>
            </w:hyperlink>
          </w:p>
        </w:tc>
        <w:tc>
          <w:tcPr>
            <w:tcW w:w="990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8140" w:type="dxa"/>
            <w:vAlign w:val="bottom"/>
            <w:gridSpan w:val="1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5.</w:t>
              </w:r>
            </w:hyperlink>
          </w:p>
        </w:tc>
        <w:tc>
          <w:tcPr>
            <w:tcW w:w="9900" w:type="dxa"/>
            <w:vAlign w:val="bottom"/>
            <w:gridSpan w:val="1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600" w:type="dxa"/>
            <w:vAlign w:val="bottom"/>
            <w:gridSpan w:val="1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2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Item 6.</w:t>
              </w:r>
            </w:hyperlink>
          </w:p>
        </w:tc>
        <w:tc>
          <w:tcPr>
            <w:tcW w:w="9900" w:type="dxa"/>
            <w:vAlign w:val="bottom"/>
            <w:gridSpan w:val="1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56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260" w:type="dxa"/>
            <w:vAlign w:val="bottom"/>
            <w:gridSpan w:val="9"/>
          </w:tcPr>
          <w:p>
            <w:pPr>
              <w:jc w:val="right"/>
              <w:ind w:right="60"/>
              <w:spacing w:after="0"/>
              <w:rPr>
                <w:sz w:val="20"/>
                <w:szCs w:val="20"/>
                <w:color w:val="auto"/>
              </w:rPr>
            </w:pPr>
            <w:r>
              <w:rPr>
                <w:rFonts w:ascii="Arial" w:cs="Arial" w:eastAsia="Arial" w:hAnsi="Arial"/>
                <w:sz w:val="18"/>
                <w:szCs w:val="18"/>
                <w:color w:val="auto"/>
              </w:rPr>
              <w:t>2</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millions, except par value and number of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0" w:type="dxa"/>
            <w:vAlign w:val="bottom"/>
          </w:tcPr>
          <w:p>
            <w:pPr>
              <w:ind w:left="536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7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2"/>
          </w:tcPr>
          <w:p>
            <w:pPr>
              <w:ind w:left="200"/>
              <w:spacing w:after="0"/>
              <w:rPr>
                <w:sz w:val="20"/>
                <w:szCs w:val="20"/>
                <w:color w:val="auto"/>
              </w:rPr>
            </w:pPr>
            <w:r>
              <w:rPr>
                <w:rFonts w:ascii="Arial" w:cs="Arial" w:eastAsia="Arial" w:hAnsi="Arial"/>
                <w:sz w:val="16"/>
                <w:szCs w:val="16"/>
                <w:b w:val="1"/>
                <w:bCs w:val="1"/>
                <w:color w:val="auto"/>
              </w:rPr>
              <w:t>October 1, 2017</w:t>
            </w:r>
          </w:p>
        </w:tc>
        <w:tc>
          <w:tcPr>
            <w:tcW w:w="240" w:type="dxa"/>
            <w:vAlign w:val="bottom"/>
          </w:tcPr>
          <w:p>
            <w:pPr>
              <w:spacing w:after="0"/>
              <w:rPr>
                <w:sz w:val="24"/>
                <w:szCs w:val="24"/>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25, 2016</w:t>
            </w:r>
          </w:p>
        </w:tc>
        <w:tc>
          <w:tcPr>
            <w:tcW w:w="0" w:type="dxa"/>
            <w:vAlign w:val="bottom"/>
          </w:tcPr>
          <w:p>
            <w:pPr>
              <w:spacing w:after="0"/>
              <w:rPr>
                <w:sz w:val="1"/>
                <w:szCs w:val="1"/>
                <w:color w:val="auto"/>
              </w:rPr>
            </w:pPr>
          </w:p>
        </w:tc>
      </w:tr>
      <w:tr>
        <w:trPr>
          <w:trHeight w:val="33"/>
        </w:trPr>
        <w:tc>
          <w:tcPr>
            <w:tcW w:w="7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2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239.2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Accounts receivable, net</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244.2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229.4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Inventoried costs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17"/>
        </w:trPr>
        <w:tc>
          <w:tcPr>
            <w:tcW w:w="720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567.8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373.1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485.3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485.4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948.6</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8"/>
                <w:szCs w:val="18"/>
                <w:color w:val="auto"/>
              </w:rPr>
              <w:t>’</w:t>
            </w:r>
            <w:r>
              <w:rPr>
                <w:rFonts w:ascii="Arial" w:cs="Arial" w:eastAsia="Arial" w:hAnsi="Arial"/>
                <w:sz w:val="16"/>
                <w:szCs w:val="16"/>
                <w:b w:val="1"/>
                <w:bCs w:val="1"/>
                <w:color w:val="auto"/>
              </w:rPr>
              <w:t xml:space="preserve"> Equity</w:t>
            </w: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2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Accrued compensation</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Current liabilities of discontinued operations</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196.5</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Long-term debt, net of current portion</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369.7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431.0</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Non-current liabilities of discontinued operations</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672.2</w:t>
            </w:r>
          </w:p>
        </w:tc>
        <w:tc>
          <w:tcPr>
            <w:tcW w:w="0" w:type="dxa"/>
            <w:vAlign w:val="bottom"/>
          </w:tcPr>
          <w:p>
            <w:pPr>
              <w:spacing w:after="0"/>
              <w:rPr>
                <w:sz w:val="1"/>
                <w:szCs w:val="1"/>
                <w:color w:val="auto"/>
              </w:rPr>
            </w:pP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3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200" w:type="dxa"/>
            <w:vAlign w:val="bottom"/>
          </w:tcPr>
          <w:p>
            <w:pPr>
              <w:ind w:left="180"/>
              <w:spacing w:after="0"/>
              <w:rPr>
                <w:sz w:val="20"/>
                <w:szCs w:val="20"/>
                <w:color w:val="auto"/>
              </w:rPr>
            </w:pPr>
            <w:r>
              <w:rPr>
                <w:rFonts w:ascii="Arial" w:cs="Arial" w:eastAsia="Arial" w:hAnsi="Arial"/>
                <w:sz w:val="16"/>
                <w:szCs w:val="16"/>
                <w:color w:val="auto"/>
                <w:w w:val="90"/>
              </w:rPr>
              <w:t>Preferred stock, $0.001 par value, 5,000,000 shares authorized, 0 shares outstanding at October 1, 2017 and</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200" w:type="dxa"/>
            <w:vAlign w:val="bottom"/>
          </w:tcPr>
          <w:p>
            <w:pPr>
              <w:ind w:left="180"/>
              <w:spacing w:after="0"/>
              <w:rPr>
                <w:sz w:val="20"/>
                <w:szCs w:val="20"/>
                <w:color w:val="auto"/>
              </w:rPr>
            </w:pPr>
            <w:r>
              <w:rPr>
                <w:rFonts w:ascii="Arial" w:cs="Arial" w:eastAsia="Arial" w:hAnsi="Arial"/>
                <w:sz w:val="16"/>
                <w:szCs w:val="16"/>
                <w:color w:val="auto"/>
              </w:rPr>
              <w:t>December 25, 2016</w:t>
            </w:r>
          </w:p>
        </w:tc>
        <w:tc>
          <w:tcPr>
            <w:tcW w:w="300" w:type="dxa"/>
            <w:vAlign w:val="bottom"/>
          </w:tcPr>
          <w:p>
            <w:pPr>
              <w:spacing w:after="0"/>
              <w:rPr>
                <w:sz w:val="17"/>
                <w:szCs w:val="17"/>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5"/>
              </w:rPr>
              <w:t>Common stock, $0.001 par value, 195,000,000 shares authorized; 103,295,733 and 73,945,533 shares</w:t>
            </w: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issued and outstanding at October 1, 2017 and December 25, 2016, respectively</w:t>
            </w:r>
          </w:p>
        </w:tc>
        <w:tc>
          <w:tcPr>
            <w:tcW w:w="30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1,232.2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956.2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3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(698.5)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(678.1)</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3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276.4</w:t>
            </w:r>
          </w:p>
        </w:tc>
        <w:tc>
          <w:tcPr>
            <w:tcW w:w="0" w:type="dxa"/>
            <w:vAlign w:val="bottom"/>
          </w:tcPr>
          <w:p>
            <w:pPr>
              <w:spacing w:after="0"/>
              <w:rPr>
                <w:sz w:val="1"/>
                <w:szCs w:val="1"/>
                <w:color w:val="auto"/>
              </w:rPr>
            </w:pPr>
          </w:p>
        </w:tc>
      </w:tr>
      <w:tr>
        <w:trPr>
          <w:trHeight w:val="244"/>
        </w:trPr>
        <w:tc>
          <w:tcPr>
            <w:tcW w:w="7200" w:type="dxa"/>
            <w:vAlign w:val="bottom"/>
          </w:tcPr>
          <w:p>
            <w:pPr>
              <w:ind w:left="38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1,142.7</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948.6</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line="249" w:lineRule="auto"/>
        <w:rPr>
          <w:sz w:val="20"/>
          <w:szCs w:val="20"/>
          <w:color w:val="auto"/>
        </w:rPr>
      </w:pPr>
      <w:r>
        <w:rPr>
          <w:rFonts w:ascii="Arial" w:cs="Arial" w:eastAsia="Arial" w:hAnsi="Arial"/>
          <w:sz w:val="16"/>
          <w:szCs w:val="16"/>
          <w:b w:val="1"/>
          <w:bCs w:val="1"/>
          <w:color w:val="auto"/>
        </w:rPr>
        <w:t>KRATOS DEFENSE &amp; SECURITY SOLUTIONS, INC. CONDENSED CONSOLIDATED STATEMENTS OF OPERATIONS AND COMPREHENSIVE LOSS (in millions, except per share amounts)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8"/>
              </w:rPr>
              <w:t>Three Months Ended</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280" w:type="dxa"/>
            <w:vAlign w:val="bottom"/>
          </w:tcPr>
          <w:p>
            <w:pPr>
              <w:spacing w:after="0"/>
              <w:rPr>
                <w:sz w:val="13"/>
                <w:szCs w:val="13"/>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October 1, 2017</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25, 2016</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October 1, 2017</w:t>
            </w:r>
          </w:p>
        </w:tc>
        <w:tc>
          <w:tcPr>
            <w:tcW w:w="140" w:type="dxa"/>
            <w:vAlign w:val="bottom"/>
          </w:tcPr>
          <w:p>
            <w:pPr>
              <w:spacing w:after="0"/>
              <w:rPr>
                <w:sz w:val="13"/>
                <w:szCs w:val="13"/>
                <w:color w:val="auto"/>
              </w:rPr>
            </w:pPr>
          </w:p>
        </w:tc>
        <w:tc>
          <w:tcPr>
            <w:tcW w:w="1100" w:type="dxa"/>
            <w:vAlign w:val="bottom"/>
          </w:tcPr>
          <w:p>
            <w:pPr>
              <w:jc w:val="right"/>
              <w:ind w:right="100"/>
              <w:spacing w:after="0" w:line="153" w:lineRule="exact"/>
              <w:rPr>
                <w:sz w:val="20"/>
                <w:szCs w:val="20"/>
                <w:color w:val="auto"/>
              </w:rPr>
            </w:pPr>
            <w:r>
              <w:rPr>
                <w:rFonts w:ascii="Arial" w:cs="Arial" w:eastAsia="Arial" w:hAnsi="Arial"/>
                <w:sz w:val="14"/>
                <w:szCs w:val="14"/>
                <w:b w:val="1"/>
                <w:bCs w:val="1"/>
                <w:color w:val="auto"/>
                <w:w w:val="93"/>
              </w:rPr>
              <w:t>September 25,</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36"/>
        </w:trPr>
        <w:tc>
          <w:tcPr>
            <w:tcW w:w="6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380" w:type="dxa"/>
            <w:vAlign w:val="bottom"/>
            <w:tcBorders>
              <w:top w:val="single" w:sz="8" w:color="auto"/>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258.0</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38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109.5</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286.4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228.6</w:t>
            </w: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revenues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196.2</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486.6</w:t>
            </w:r>
          </w:p>
        </w:tc>
        <w:tc>
          <w:tcPr>
            <w:tcW w:w="0" w:type="dxa"/>
            <w:vAlign w:val="bottom"/>
          </w:tcPr>
          <w:p>
            <w:pPr>
              <w:spacing w:after="0"/>
              <w:rPr>
                <w:sz w:val="1"/>
                <w:szCs w:val="1"/>
                <w:color w:val="auto"/>
              </w:rPr>
            </w:pPr>
          </w:p>
        </w:tc>
      </w:tr>
      <w:tr>
        <w:trPr>
          <w:trHeight w:val="217"/>
        </w:trPr>
        <w:tc>
          <w:tcPr>
            <w:tcW w:w="628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60.8</w:t>
            </w:r>
          </w:p>
        </w:tc>
        <w:tc>
          <w:tcPr>
            <w:tcW w:w="1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189.6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189.4</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87.3</w:t>
            </w: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190.2</w:t>
            </w:r>
          </w:p>
        </w:tc>
        <w:tc>
          <w:tcPr>
            <w:tcW w:w="0" w:type="dxa"/>
            <w:vAlign w:val="bottom"/>
          </w:tcPr>
          <w:p>
            <w:pPr>
              <w:spacing w:after="0"/>
              <w:rPr>
                <w:sz w:val="1"/>
                <w:szCs w:val="1"/>
                <w:color w:val="auto"/>
              </w:rPr>
            </w:pPr>
          </w:p>
        </w:tc>
      </w:tr>
      <w:tr>
        <w:trPr>
          <w:trHeight w:val="217"/>
        </w:trPr>
        <w:tc>
          <w:tcPr>
            <w:tcW w:w="6280" w:type="dxa"/>
            <w:vAlign w:val="bottom"/>
          </w:tcPr>
          <w:p>
            <w:pPr>
              <w:ind w:left="600"/>
              <w:spacing w:after="0"/>
              <w:rPr>
                <w:sz w:val="20"/>
                <w:szCs w:val="20"/>
                <w:color w:val="auto"/>
              </w:rPr>
            </w:pPr>
            <w:r>
              <w:rPr>
                <w:rFonts w:ascii="Arial" w:cs="Arial" w:eastAsia="Arial" w:hAnsi="Arial"/>
                <w:sz w:val="16"/>
                <w:szCs w:val="16"/>
                <w:color w:val="auto"/>
              </w:rPr>
              <w:t>Total costs</w:t>
            </w: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148.1</w:t>
            </w:r>
          </w:p>
        </w:tc>
        <w:tc>
          <w:tcPr>
            <w:tcW w:w="1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139.5</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409.1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379.6</w:t>
            </w: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Gross profit</w:t>
            </w: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107.0</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8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40.7</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109.6</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Unused office space, restructuring expenses, and other</w:t>
            </w:r>
          </w:p>
        </w:tc>
        <w:tc>
          <w:tcPr>
            <w:tcW w:w="38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Operating income (loss) from continuing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31"/>
        </w:trPr>
        <w:tc>
          <w:tcPr>
            <w:tcW w:w="628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Loss on extinguishment of debt</w:t>
            </w:r>
          </w:p>
        </w:tc>
        <w:tc>
          <w:tcPr>
            <w:tcW w:w="38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net</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7"/>
        </w:trPr>
        <w:tc>
          <w:tcPr>
            <w:tcW w:w="6280" w:type="dxa"/>
            <w:vAlign w:val="bottom"/>
          </w:tcPr>
          <w:p>
            <w:pPr>
              <w:ind w:left="600"/>
              <w:spacing w:after="0"/>
              <w:rPr>
                <w:sz w:val="20"/>
                <w:szCs w:val="20"/>
                <w:color w:val="auto"/>
              </w:rPr>
            </w:pPr>
            <w:r>
              <w:rPr>
                <w:rFonts w:ascii="Arial" w:cs="Arial" w:eastAsia="Arial" w:hAnsi="Arial"/>
                <w:sz w:val="16"/>
                <w:szCs w:val="16"/>
                <w:color w:val="auto"/>
              </w:rPr>
              <w:t>Total other expense, net</w:t>
            </w: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 before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 operations</w:t>
            </w:r>
          </w:p>
        </w:tc>
        <w:tc>
          <w:tcPr>
            <w:tcW w:w="38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from continuing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31"/>
        </w:trPr>
        <w:tc>
          <w:tcPr>
            <w:tcW w:w="6280" w:type="dxa"/>
            <w:vAlign w:val="bottom"/>
          </w:tcPr>
          <w:p>
            <w:pPr>
              <w:ind w:left="40"/>
              <w:spacing w:after="0"/>
              <w:rPr>
                <w:sz w:val="20"/>
                <w:szCs w:val="20"/>
                <w:color w:val="auto"/>
              </w:rPr>
            </w:pPr>
            <w:r>
              <w:rPr>
                <w:rFonts w:ascii="Arial" w:cs="Arial" w:eastAsia="Arial" w:hAnsi="Arial"/>
                <w:sz w:val="16"/>
                <w:szCs w:val="16"/>
                <w:color w:val="auto"/>
              </w:rPr>
              <w:t>Discontinued operations</w:t>
            </w:r>
          </w:p>
        </w:tc>
        <w:tc>
          <w:tcPr>
            <w:tcW w:w="3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from operations of discontinued component</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37"/>
        </w:trPr>
        <w:tc>
          <w:tcPr>
            <w:tcW w:w="6280" w:type="dxa"/>
            <w:vAlign w:val="bottom"/>
          </w:tcPr>
          <w:p>
            <w:pPr>
              <w:ind w:left="180"/>
              <w:spacing w:after="0"/>
              <w:rPr>
                <w:sz w:val="20"/>
                <w:szCs w:val="20"/>
                <w:color w:val="auto"/>
              </w:rPr>
            </w:pPr>
            <w:r>
              <w:rPr>
                <w:rFonts w:ascii="Arial" w:cs="Arial" w:eastAsia="Arial" w:hAnsi="Arial"/>
                <w:sz w:val="16"/>
                <w:szCs w:val="16"/>
                <w:color w:val="auto"/>
              </w:rPr>
              <w:t>Income tax expense</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discontinued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84"/>
        </w:trPr>
        <w:tc>
          <w:tcPr>
            <w:tcW w:w="628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loss</w:t>
            </w:r>
          </w:p>
        </w:tc>
        <w:tc>
          <w:tcPr>
            <w:tcW w:w="3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40" w:type="dxa"/>
            <w:vAlign w:val="bottom"/>
            <w:tcBorders>
              <w:bottom w:val="single" w:sz="8" w:color="CCEEFF"/>
            </w:tcBorders>
          </w:tcPr>
          <w:p>
            <w:pPr>
              <w:spacing w:after="0"/>
              <w:rPr>
                <w:sz w:val="24"/>
                <w:szCs w:val="24"/>
                <w:color w:val="auto"/>
              </w:rPr>
            </w:pPr>
          </w:p>
        </w:tc>
        <w:tc>
          <w:tcPr>
            <w:tcW w:w="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and diluted loss per common share:</w:t>
            </w: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280"/>
              <w:spacing w:after="0"/>
              <w:rPr>
                <w:sz w:val="20"/>
                <w:szCs w:val="20"/>
                <w:color w:val="auto"/>
              </w:rPr>
            </w:pPr>
            <w:r>
              <w:rPr>
                <w:rFonts w:ascii="Arial" w:cs="Arial" w:eastAsia="Arial" w:hAnsi="Arial"/>
                <w:sz w:val="16"/>
                <w:szCs w:val="16"/>
                <w:color w:val="auto"/>
              </w:rPr>
              <w:t>Loss from continuing operations</w:t>
            </w:r>
          </w:p>
        </w:tc>
        <w:tc>
          <w:tcPr>
            <w:tcW w:w="3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(0.05)</w:t>
            </w:r>
          </w:p>
        </w:tc>
        <w:tc>
          <w:tcPr>
            <w:tcW w:w="1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(0.39)</w:t>
            </w:r>
          </w:p>
        </w:tc>
        <w:tc>
          <w:tcPr>
            <w:tcW w:w="100" w:type="dxa"/>
            <w:vAlign w:val="bottom"/>
          </w:tcPr>
          <w:p>
            <w:pPr>
              <w:spacing w:after="0"/>
              <w:rPr>
                <w:sz w:val="20"/>
                <w:szCs w:val="20"/>
                <w:color w:val="auto"/>
              </w:rPr>
            </w:pPr>
          </w:p>
        </w:tc>
        <w:tc>
          <w:tcPr>
            <w:tcW w:w="3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(0.93)</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from discontinued operations</w:t>
            </w: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84"/>
        </w:trPr>
        <w:tc>
          <w:tcPr>
            <w:tcW w:w="628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loss per common share</w:t>
            </w:r>
          </w:p>
        </w:tc>
        <w:tc>
          <w:tcPr>
            <w:tcW w:w="3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40" w:type="dxa"/>
            <w:vAlign w:val="bottom"/>
            <w:tcBorders>
              <w:bottom w:val="single" w:sz="8" w:color="CCEEFF"/>
            </w:tcBorders>
          </w:tcPr>
          <w:p>
            <w:pPr>
              <w:spacing w:after="0"/>
              <w:rPr>
                <w:sz w:val="24"/>
                <w:szCs w:val="24"/>
                <w:color w:val="auto"/>
              </w:rPr>
            </w:pPr>
          </w:p>
        </w:tc>
        <w:tc>
          <w:tcPr>
            <w:tcW w:w="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(0.39)</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(0.24)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r>
        <w:trPr>
          <w:trHeight w:val="271"/>
        </w:trPr>
        <w:tc>
          <w:tcPr>
            <w:tcW w:w="62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0"/>
        </w:trPr>
        <w:tc>
          <w:tcPr>
            <w:tcW w:w="6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 and diluted weighted average common shares outstanding</w:t>
            </w: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90.5</w:t>
            </w:r>
          </w:p>
        </w:tc>
        <w:tc>
          <w:tcPr>
            <w:tcW w:w="14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60.5</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Loss</w:t>
            </w:r>
          </w:p>
        </w:tc>
        <w:tc>
          <w:tcPr>
            <w:tcW w:w="3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Net loss (from above)</w:t>
            </w:r>
          </w:p>
        </w:tc>
        <w:tc>
          <w:tcPr>
            <w:tcW w:w="3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0"/>
                <w:szCs w:val="20"/>
                <w:color w:val="auto"/>
              </w:rPr>
            </w:pPr>
          </w:p>
        </w:tc>
        <w:tc>
          <w:tcPr>
            <w:tcW w:w="3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33"/>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cumulative translation adjustment</w:t>
            </w:r>
          </w:p>
        </w:tc>
        <w:tc>
          <w:tcPr>
            <w:tcW w:w="3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44"/>
        </w:trPr>
        <w:tc>
          <w:tcPr>
            <w:tcW w:w="628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3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21"/>
                <w:szCs w:val="21"/>
                <w:color w:val="auto"/>
              </w:rPr>
            </w:pPr>
          </w:p>
        </w:tc>
        <w:tc>
          <w:tcPr>
            <w:tcW w:w="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KRATOS DEFENSE &amp; SECURITY SOLUTIONS,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(in millions)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4220" w:type="dxa"/>
            <w:vAlign w:val="bottom"/>
            <w:tcBorders>
              <w:bottom w:val="single" w:sz="8" w:color="auto"/>
            </w:tcBorders>
            <w:gridSpan w:val="5"/>
          </w:tcPr>
          <w:p>
            <w:pPr>
              <w:jc w:val="right"/>
              <w:ind w:right="1399"/>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2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October 1, 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September 25, 2016</w:t>
            </w:r>
          </w:p>
        </w:tc>
      </w:tr>
      <w:tr>
        <w:trPr>
          <w:trHeight w:val="210"/>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60"/>
        </w:trPr>
        <w:tc>
          <w:tcPr>
            <w:tcW w:w="720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Net loss</w:t>
            </w:r>
          </w:p>
        </w:tc>
        <w:tc>
          <w:tcPr>
            <w:tcW w:w="1560" w:type="dxa"/>
            <w:vAlign w:val="bottom"/>
          </w:tcPr>
          <w:p>
            <w:pPr>
              <w:jc w:val="right"/>
              <w:ind w:right="1363"/>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(56.2)</w:t>
            </w:r>
          </w:p>
        </w:tc>
      </w:tr>
      <w:tr>
        <w:trPr>
          <w:trHeight w:val="33"/>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from discontinued operations</w:t>
            </w:r>
          </w:p>
        </w:tc>
        <w:tc>
          <w:tcPr>
            <w:tcW w:w="15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17"/>
        </w:trPr>
        <w:tc>
          <w:tcPr>
            <w:tcW w:w="7200" w:type="dxa"/>
            <w:vAlign w:val="bottom"/>
          </w:tcPr>
          <w:p>
            <w:pPr>
              <w:ind w:left="180"/>
              <w:spacing w:after="0"/>
              <w:rPr>
                <w:sz w:val="20"/>
                <w:szCs w:val="20"/>
                <w:color w:val="auto"/>
              </w:rPr>
            </w:pPr>
            <w:r>
              <w:rPr>
                <w:rFonts w:ascii="Arial" w:cs="Arial" w:eastAsia="Arial" w:hAnsi="Arial"/>
                <w:sz w:val="16"/>
                <w:szCs w:val="16"/>
                <w:color w:val="auto"/>
              </w:rPr>
              <w:t>Loss from continuing operations</w:t>
            </w:r>
          </w:p>
        </w:tc>
        <w:tc>
          <w:tcPr>
            <w:tcW w:w="15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(56.0)</w:t>
            </w:r>
          </w:p>
        </w:tc>
      </w:tr>
      <w:tr>
        <w:trPr>
          <w:trHeight w:val="33"/>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20"/>
        </w:trPr>
        <w:tc>
          <w:tcPr>
            <w:tcW w:w="720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Adjustments to reconcile loss from continuing operations to net cash used in operating activities from</w:t>
            </w:r>
          </w:p>
        </w:tc>
        <w:tc>
          <w:tcPr>
            <w:tcW w:w="15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9"/>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continuing operations:</w:t>
            </w:r>
          </w:p>
        </w:tc>
        <w:tc>
          <w:tcPr>
            <w:tcW w:w="15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5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17.3</w:t>
            </w:r>
          </w:p>
        </w:tc>
      </w:tr>
      <w:tr>
        <w:trPr>
          <w:trHeight w:val="33"/>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1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5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33"/>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Amortization of deferred financing costs</w:t>
            </w:r>
          </w:p>
        </w:tc>
        <w:tc>
          <w:tcPr>
            <w:tcW w:w="1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Amortization of discount on Senior Secured Notes</w:t>
            </w:r>
          </w:p>
        </w:tc>
        <w:tc>
          <w:tcPr>
            <w:tcW w:w="15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0.7</w:t>
            </w:r>
          </w:p>
        </w:tc>
      </w:tr>
      <w:tr>
        <w:trPr>
          <w:trHeight w:val="33"/>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extinguishment of debt</w:t>
            </w:r>
          </w:p>
        </w:tc>
        <w:tc>
          <w:tcPr>
            <w:tcW w:w="1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Provision for doubtful accounts</w:t>
            </w:r>
          </w:p>
        </w:tc>
        <w:tc>
          <w:tcPr>
            <w:tcW w:w="15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Litigation related charges</w:t>
            </w:r>
          </w:p>
        </w:tc>
        <w:tc>
          <w:tcPr>
            <w:tcW w:w="15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Provision for non-cash restructuring charges</w:t>
            </w:r>
          </w:p>
        </w:tc>
        <w:tc>
          <w:tcPr>
            <w:tcW w:w="156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7.7</w:t>
            </w:r>
          </w:p>
        </w:tc>
      </w:tr>
      <w:tr>
        <w:trPr>
          <w:trHeight w:val="33"/>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1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Accounts receivable</w:t>
            </w:r>
          </w:p>
        </w:tc>
        <w:tc>
          <w:tcPr>
            <w:tcW w:w="15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Inventoried costs</w:t>
            </w:r>
          </w:p>
        </w:tc>
        <w:tc>
          <w:tcPr>
            <w:tcW w:w="1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Prepaid expenses and other assets</w:t>
            </w:r>
          </w:p>
        </w:tc>
        <w:tc>
          <w:tcPr>
            <w:tcW w:w="15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Accounts payable</w:t>
            </w:r>
          </w:p>
        </w:tc>
        <w:tc>
          <w:tcPr>
            <w:tcW w:w="1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Accrued expenses</w:t>
            </w:r>
          </w:p>
        </w:tc>
        <w:tc>
          <w:tcPr>
            <w:tcW w:w="15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11.9</w:t>
            </w:r>
          </w:p>
        </w:tc>
      </w:tr>
      <w:tr>
        <w:trPr>
          <w:trHeight w:val="33"/>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compensation</w:t>
            </w:r>
          </w:p>
        </w:tc>
        <w:tc>
          <w:tcPr>
            <w:tcW w:w="1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Advance payments received on contracts</w:t>
            </w:r>
          </w:p>
        </w:tc>
        <w:tc>
          <w:tcPr>
            <w:tcW w:w="15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Accrued interest</w:t>
            </w:r>
          </w:p>
        </w:tc>
        <w:tc>
          <w:tcPr>
            <w:tcW w:w="1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Billings in excess of costs and earnings on uncompleted contracts</w:t>
            </w:r>
          </w:p>
        </w:tc>
        <w:tc>
          <w:tcPr>
            <w:tcW w:w="15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Income tax receivable and payable</w:t>
            </w:r>
          </w:p>
        </w:tc>
        <w:tc>
          <w:tcPr>
            <w:tcW w:w="1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r>
      <w:tr>
        <w:trPr>
          <w:trHeight w:val="237"/>
        </w:trPr>
        <w:tc>
          <w:tcPr>
            <w:tcW w:w="7200" w:type="dxa"/>
            <w:vAlign w:val="bottom"/>
          </w:tcPr>
          <w:p>
            <w:pPr>
              <w:ind w:left="600"/>
              <w:spacing w:after="0"/>
              <w:rPr>
                <w:sz w:val="20"/>
                <w:szCs w:val="20"/>
                <w:color w:val="auto"/>
              </w:rPr>
            </w:pPr>
            <w:r>
              <w:rPr>
                <w:rFonts w:ascii="Arial" w:cs="Arial" w:eastAsia="Arial" w:hAnsi="Arial"/>
                <w:sz w:val="16"/>
                <w:szCs w:val="16"/>
                <w:color w:val="auto"/>
              </w:rPr>
              <w:t>Other liabilities</w:t>
            </w:r>
          </w:p>
        </w:tc>
        <w:tc>
          <w:tcPr>
            <w:tcW w:w="15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7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operating activities from continuing operations</w:t>
            </w:r>
          </w:p>
        </w:tc>
        <w:tc>
          <w:tcPr>
            <w:tcW w:w="1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5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r>
      <w:tr>
        <w:trPr>
          <w:trHeight w:val="33"/>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1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Change in restricted cash</w:t>
            </w:r>
          </w:p>
        </w:tc>
        <w:tc>
          <w:tcPr>
            <w:tcW w:w="15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33"/>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1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Proceeds from sale of assets</w:t>
            </w:r>
          </w:p>
        </w:tc>
        <w:tc>
          <w:tcPr>
            <w:tcW w:w="15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investing activities from continuing operations</w:t>
            </w:r>
          </w:p>
        </w:tc>
        <w:tc>
          <w:tcPr>
            <w:tcW w:w="1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31"/>
        </w:trPr>
        <w:tc>
          <w:tcPr>
            <w:tcW w:w="720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15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r>
      <w:tr>
        <w:trPr>
          <w:trHeight w:val="33"/>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Extinguishment of long-term debt</w:t>
            </w:r>
          </w:p>
        </w:tc>
        <w:tc>
          <w:tcPr>
            <w:tcW w:w="1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Proceeds from the issuance of common stock</w:t>
            </w:r>
          </w:p>
        </w:tc>
        <w:tc>
          <w:tcPr>
            <w:tcW w:w="15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268.0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debt</w:t>
            </w:r>
          </w:p>
        </w:tc>
        <w:tc>
          <w:tcPr>
            <w:tcW w:w="1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w w:val="91"/>
              </w:rPr>
              <w:t>Proceeds from exercise of restricted stock units, employee stock options, and employee stock purchase plan</w:t>
            </w:r>
          </w:p>
        </w:tc>
        <w:tc>
          <w:tcPr>
            <w:tcW w:w="156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33"/>
        </w:trPr>
        <w:tc>
          <w:tcPr>
            <w:tcW w:w="7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financing activities from continuing operations</w:t>
            </w:r>
          </w:p>
        </w:tc>
        <w:tc>
          <w:tcPr>
            <w:tcW w:w="1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204.7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15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170.1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33"/>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cash flows of discontinued operations</w:t>
            </w:r>
          </w:p>
        </w:tc>
        <w:tc>
          <w:tcPr>
            <w:tcW w:w="15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Net investing cash flows of discontinued operations</w:t>
            </w:r>
          </w:p>
        </w:tc>
        <w:tc>
          <w:tcPr>
            <w:tcW w:w="15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33"/>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5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20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15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4"/>
              </w:rPr>
              <w:t>170.1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33"/>
        </w:trPr>
        <w:tc>
          <w:tcPr>
            <w:tcW w:w="7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5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r>
      <w:tr>
        <w:trPr>
          <w:trHeight w:val="244"/>
        </w:trPr>
        <w:tc>
          <w:tcPr>
            <w:tcW w:w="720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560" w:type="dxa"/>
            <w:vAlign w:val="bottom"/>
            <w:tcBorders>
              <w:top w:val="single" w:sz="8" w:color="auto"/>
              <w:bottom w:val="single" w:sz="8" w:color="auto"/>
            </w:tcBorders>
          </w:tcPr>
          <w:p>
            <w:pPr>
              <w:jc w:val="right"/>
              <w:ind w:right="1363"/>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94"/>
              </w:rPr>
              <w:t>239.2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20.5</w:t>
            </w:r>
          </w:p>
        </w:tc>
      </w:tr>
      <w:tr>
        <w:trPr>
          <w:trHeight w:val="20"/>
        </w:trPr>
        <w:tc>
          <w:tcPr>
            <w:tcW w:w="7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125" w:right="239" w:bottom="773"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773"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subsidiaries.</w:t>
      </w:r>
    </w:p>
    <w:p>
      <w:pPr>
        <w:spacing w:after="0" w:line="221"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0" w:firstLine="690"/>
        <w:spacing w:after="0" w:line="270" w:lineRule="auto"/>
        <w:rPr>
          <w:sz w:val="20"/>
          <w:szCs w:val="20"/>
          <w:color w:val="auto"/>
        </w:rPr>
      </w:pPr>
      <w:r>
        <w:rPr>
          <w:rFonts w:ascii="Arial" w:cs="Arial" w:eastAsia="Arial" w:hAnsi="Arial"/>
          <w:sz w:val="17"/>
          <w:szCs w:val="17"/>
          <w:color w:val="auto"/>
        </w:rPr>
        <w:t>The information as of October 1, 2017 and for the three and nine months ended October 1, 2017 and September 25, 2016 is unaudited. The condensed consolidated balance sheet as of December 25, 2016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for the fiscal year ended December 25, 2016, included in the Company’s Annual Report on Form 10-K filed with the U.S. Securities and Exchange Commission on February 27, 2017 (the “Form 10-K”). Interim operating results are not necessarily indicative of operating results expected in subsequent periods or for the year as a whole.</w:t>
      </w:r>
    </w:p>
    <w:p>
      <w:pPr>
        <w:spacing w:after="0" w:line="39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100% owned subsidiaries for which all inter-company transactions have been eliminated in consolidation.</w:t>
      </w:r>
    </w:p>
    <w:p>
      <w:pPr>
        <w:spacing w:after="0" w:line="166"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has a 52/53 week fiscal year ending on the last Sunday of the calendar year, with interim fiscal periods ending on the last Sunday of each calendar quarter. The three and nine month periods ended October 1, 2017 and September 25, 2016 consisted of 14-week and 13-week periods and 40-week and 39-week periods, respectively. There are 53 calendar weeks in the fiscal year ending on December 31, 2017 and 52 calendar weeks in the fiscal year ended on December 25, 2016.</w:t>
      </w:r>
    </w:p>
    <w:p>
      <w:pPr>
        <w:spacing w:after="0" w:line="18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Accounting Estimates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There have been no significant changes in the Company’s accounting estimates for the three and nine months ended October 1, 2017 as compared to the accounting estimates described in the Form 10-K.</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5"/>
          <w:szCs w:val="15"/>
          <w:b w:val="1"/>
          <w:bCs w:val="1"/>
          <w:color w:val="auto"/>
        </w:rPr>
        <w:t>Accounting Standards Updates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May 2017, the Financial Accounting Standards Board (“FASB”) issued Accounting Standards Update (“ASU”) 2017-09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ASU 2017-09 was issued to provide guidance about which changes to the terms or conditions of a share-based payment award require an entity to apply modification accounting. The amendments in this ASU are effective for annual periods beginning after December 15, 2017. The Company does not expect that the standard will have a material effect on its consolidated financial statements and will apply this guidance to applicable transactions after the adoption date.</w:t>
      </w:r>
    </w:p>
    <w:p>
      <w:pPr>
        <w:spacing w:after="0" w:line="188"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In January 2017, the FASB issued ASU 2017-04 (“ASU 2017-04”), </w:t>
      </w:r>
      <w:r>
        <w:rPr>
          <w:rFonts w:ascii="Arial" w:cs="Arial" w:eastAsia="Arial" w:hAnsi="Arial"/>
          <w:sz w:val="17"/>
          <w:szCs w:val="17"/>
          <w:i w:val="1"/>
          <w:iCs w:val="1"/>
          <w:color w:val="auto"/>
        </w:rPr>
        <w:t>Intangibles - Goodwill and Other (Topic 350):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Impairment</w:t>
      </w:r>
      <w:r>
        <w:rPr>
          <w:rFonts w:ascii="Arial" w:cs="Arial" w:eastAsia="Arial" w:hAnsi="Arial"/>
          <w:sz w:val="17"/>
          <w:szCs w:val="17"/>
          <w:color w:val="auto"/>
        </w:rPr>
        <w:t>. ASU 2017-04 amends the guidance to simplify the subsequent measurement of goodwill by removing Step 2 of the goodwill impairment test.</w:t>
      </w:r>
      <w:r>
        <w:rPr>
          <w:rFonts w:ascii="Arial" w:cs="Arial" w:eastAsia="Arial" w:hAnsi="Arial"/>
          <w:sz w:val="17"/>
          <w:szCs w:val="17"/>
          <w:i w:val="1"/>
          <w:iCs w:val="1"/>
          <w:color w:val="auto"/>
        </w:rPr>
        <w:t xml:space="preserve"> </w:t>
      </w:r>
      <w:r>
        <w:rPr>
          <w:rFonts w:ascii="Arial" w:cs="Arial" w:eastAsia="Arial" w:hAnsi="Arial"/>
          <w:sz w:val="17"/>
          <w:szCs w:val="17"/>
          <w:color w:val="auto"/>
        </w:rPr>
        <w:t>Instead, an entity should perform its annual, or interim, goodwill impairment test by comparing the fair value of a reporting unit with its carrying amount. An entity should recognize an impairment charge for the amount by which the carrying amount exceeds the reporting unit's fair value. ASU 2017-04 is effective for annual reporting periods beginning after December 15, 2019, with early adoption permitted. The Company is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currently evaluating the impact of the new guidance and timing of adoption, but does not expect that the standard will have a material impact on its consolidated financial statements.</w:t>
      </w:r>
    </w:p>
    <w:p>
      <w:pPr>
        <w:spacing w:after="0" w:line="17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In October 2016, the FASB issued ASU 2016-16 (“ASU 2016-16”), </w:t>
      </w:r>
      <w:r>
        <w:rPr>
          <w:rFonts w:ascii="Arial" w:cs="Arial" w:eastAsia="Arial" w:hAnsi="Arial"/>
          <w:sz w:val="16"/>
          <w:szCs w:val="16"/>
          <w:i w:val="1"/>
          <w:iCs w:val="1"/>
          <w:color w:val="auto"/>
        </w:rPr>
        <w:t>Income Taxes (Topic 740), Intra-Entity Transfers of Assets Other Than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Inventory. </w:t>
      </w:r>
      <w:r>
        <w:rPr>
          <w:rFonts w:ascii="Arial" w:cs="Arial" w:eastAsia="Arial" w:hAnsi="Arial"/>
          <w:sz w:val="16"/>
          <w:szCs w:val="16"/>
          <w:color w:val="auto"/>
        </w:rPr>
        <w:t>ASU 2016-16 requires that entities recognize the income tax consequences of an intra-entity transfer of an asset other than inventory when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occurs, rather than when the asset is sold to an outside party. ASU 2016-16 is effective for annual reporting periods beginning after December 15, 2017, including interim periods within those annual reporting periods. Early adoption is permitted as of the beginning of an annual reporting period (as of the first interim period if an entity issues interim financial statements). ASU 2016-16 requires adoption on a modified retrospective basis through a cumulative-effect adjustment directly to retained earnings as of the beginning of the period of adoption. The Company early adopted this standard on December 26, 2016. The adoption of this guidance did not have a material impact on the Company’s consolidated financial statements.</w:t>
      </w:r>
    </w:p>
    <w:p>
      <w:pPr>
        <w:spacing w:after="0" w:line="16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In August 2016, the FASB issued ASU 2016-15 (“ASU 2016-15”), </w:t>
      </w:r>
      <w:r>
        <w:rPr>
          <w:rFonts w:ascii="Arial" w:cs="Arial" w:eastAsia="Arial" w:hAnsi="Arial"/>
          <w:sz w:val="18"/>
          <w:szCs w:val="18"/>
          <w:i w:val="1"/>
          <w:iCs w:val="1"/>
          <w:color w:val="auto"/>
        </w:rPr>
        <w:t>Statement of Cash Flows (Topic 230): Classification of Certain Cash Receipts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Cash Payments. </w:t>
      </w:r>
      <w:r>
        <w:rPr>
          <w:rFonts w:ascii="Arial" w:cs="Arial" w:eastAsia="Arial" w:hAnsi="Arial"/>
          <w:sz w:val="18"/>
          <w:szCs w:val="18"/>
          <w:color w:val="auto"/>
        </w:rPr>
        <w:t>The objective of ASU 2016-15 is to reduce existing diversity in practice by addressing eight specific cash flow issues related to how</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cash receipts and cash payments are presented and classified in the statement of cash flows. ASU 2016-15 is effective for fiscal years beginning after December 15, 2017, including interim periods within those fiscal years. Early adoption is permitted. If early adopted, an entity must adopt all of the amendments in the same period. The Company does not believe that the adoption of this guidance will have a material impact on its consolidated financial statements.</w:t>
      </w:r>
    </w:p>
    <w:p>
      <w:pPr>
        <w:spacing w:after="0" w:line="193"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In February 2016, the FASB issued ASU 2016-02 (“ASU 2016-02”), </w:t>
      </w:r>
      <w:r>
        <w:rPr>
          <w:rFonts w:ascii="Arial" w:cs="Arial" w:eastAsia="Arial" w:hAnsi="Arial"/>
          <w:sz w:val="18"/>
          <w:szCs w:val="18"/>
          <w:i w:val="1"/>
          <w:iCs w:val="1"/>
          <w:color w:val="auto"/>
        </w:rPr>
        <w:t>Leases</w:t>
      </w:r>
      <w:r>
        <w:rPr>
          <w:rFonts w:ascii="Arial" w:cs="Arial" w:eastAsia="Arial" w:hAnsi="Arial"/>
          <w:sz w:val="18"/>
          <w:szCs w:val="18"/>
          <w:color w:val="auto"/>
        </w:rPr>
        <w:t>. ASU 2016-02 requires that lessees recognize assets and liabilities for the rights and obligations underlying leases with a lease term of more than one year. The amendments in this ASU are effective for annual periods beginning after December 15, 2018. Early adoption is permitted. The Company is currently evaluating the impact of the adoption of ASU 2016-02 on its consolidated financial statements.</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In May 2014, the FASB issued ASU 2014-09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ASU 2014-09 establishes a broad principle that would require an entity to recognize revenue to depict the transfer of promised goods or services to customers in an amount that reflects the consideration to which the entity expects to be entitled in exchange for those goods or services. The FASB has also issued several updates to ASU 2014-09. The new standard supersedes GAAP guidance on revenue recognition and requires the use of more estimates and judgments than the present standards. It also requires additional disclosures. ASU 2014-09 may be applied either retrospectively or through the use of a modified-retrospective method. The full retrospective method requires companies to recast each prior reporting period presented as if the new guidance had always existed. Under the modified retrospective method, companies would recognize the cumulative effect of initially applying the standard as an adjustment to the opening balance of retained earnings at the date of initial application. The Company plans to adopt the new revenue standard effective January 1, 2018, through the use of the modified-retrospective method.</w:t>
      </w:r>
    </w:p>
    <w:p>
      <w:pPr>
        <w:spacing w:after="0" w:line="182"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The Company commenced a detailed analysis of the impact of ASU 2014-09 in 2016, by evaluating its impact on selected contracts at each of the Company’s business segments. With this baseline understanding, the Company developed a project plan to evaluate the contracts across all the business segments, spent significant effort in education of both management and other employees on the effects of the new guidance and assessed the internal control structure in order to adopt the ASU on January 1, 2018. ASU 2014-09 also requires expanded disclosure regarding the nature, timing, and uncertainty of revenue, cash flow and customer contract balances, including how and when performance obligations are satisfied and the relationship between revenue recognized and changes in contract balances during a reporting period. The Company has evaluated these disclosure requirements and is incorporating the collection of relevant data into its quarterly processes. The Company also designed and implemented specific controls based on the evaluation of the impact of ASU 2014-09, including the calculation of the cumulative effect of adopting ASU 2014-09. Although the Company does not expect significant changes to its accounting systems or controls upon adoption of ASU 2014-09, it has modified certain of its current controls to incorporate the revisions that it has made to its accounting policies and practices. The Company’s management has periodically briefed the Audit Committee on progress made towards adoption.</w:t>
      </w:r>
    </w:p>
    <w:p>
      <w:pPr>
        <w:spacing w:after="0" w:line="16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Based upon an assessment of material active contracts, the Company does not expect the impact on the results of operations or cash flows upon adoption or in the periods after adoption to be material. Under ASU 2014-09, revenue is recognized as control transfers to the customer. As such, revenue for the Company’s contracts will generally be recognized over time using the cost-to-cost method, which is consistent with the revenue recognition model currently in use for the majority of contracts. For those contracts where revenue is currently recognized as units are delivered, in most cases the accounting for those contracts will change under ASU 2014-09 such that revenue will be recognized as costs are incurred. This change will generally result in an acceleration of revenue as compared with the current revenue recognition method for those contracts.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Company expects the cumulative effect of adopting ASU 2014-09 to result in an increase in revenue of less than $3 million and an increase in operating income of less than $2 million. These changes principally reflect the impact of converting contracts currently applying the units-of-delivery method to the cost-to-cost method of accounting. The Company will adopt the new revenue guidance effective January 1, 2018, by recognizing the cumulative effect of adoption as an increase in unbilled accounts receivable, a reduction in inventoried costs, an increase in advance payments and amounts in excess of costs incurred and a net decrease in accumulated deficit as of January 1, 2018. The Company will continue the evaluation of ASU 2014-09 (including how it may impact new contracts received as well as new or emerging interpretations of the standard) through the date of adoption.</w:t>
      </w:r>
    </w:p>
    <w:p>
      <w:pPr>
        <w:spacing w:after="0" w:line="161"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carrying amounts and the related estimated fair values of the Company’s long-term debt financial instruments not measured at fair value on a recurring basis at October 1, 2017 and December 25, 2016 are presented in Note 7. The carrying value of all other financial instruments, including cash equivalents, accounts receivable, accounts payable, accrued expenses, billings in excess of cost and earnings on uncompleted contracts, income taxes payable and short-term debt, approximated their estimated fair values at October 1, 2017 and December 25, 2016 due to the short-term nature of these instruments.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Goodwill and Intangible Assets</w:t>
      </w:r>
    </w:p>
    <w:p>
      <w:pPr>
        <w:spacing w:after="0" w:line="22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of goodwill as of October 1, 2017 and December 25, 2016 by reportable segment are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As of October 1, 2017</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9"/>
              </w:rPr>
              <w:t>Kratos</w:t>
            </w:r>
          </w:p>
        </w:tc>
        <w:tc>
          <w:tcPr>
            <w:tcW w:w="100" w:type="dxa"/>
            <w:vAlign w:val="bottom"/>
          </w:tcPr>
          <w:p>
            <w:pPr>
              <w:spacing w:after="0"/>
              <w:rPr>
                <w:sz w:val="13"/>
                <w:szCs w:val="13"/>
                <w:color w:val="auto"/>
              </w:rPr>
            </w:pPr>
          </w:p>
        </w:tc>
        <w:tc>
          <w:tcPr>
            <w:tcW w:w="12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Public Safety &amp;</w:t>
            </w:r>
          </w:p>
        </w:tc>
        <w:tc>
          <w:tcPr>
            <w:tcW w:w="10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Unmanned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Government</w:t>
            </w:r>
          </w:p>
        </w:tc>
        <w:tc>
          <w:tcPr>
            <w:tcW w:w="100" w:type="dxa"/>
            <w:vAlign w:val="bottom"/>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7"/>
              </w:rPr>
              <w:t>Solutions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Security</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Systems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Gross value</w:t>
            </w:r>
          </w:p>
        </w:tc>
        <w:tc>
          <w:tcPr>
            <w:tcW w:w="2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732.7</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impairment</w:t>
            </w:r>
          </w:p>
        </w:tc>
        <w:tc>
          <w:tcPr>
            <w:tcW w:w="2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57"/>
        </w:trPr>
        <w:tc>
          <w:tcPr>
            <w:tcW w:w="3940" w:type="dxa"/>
            <w:vAlign w:val="bottom"/>
          </w:tcPr>
          <w:p>
            <w:pPr>
              <w:ind w:left="40"/>
              <w:spacing w:after="0"/>
              <w:rPr>
                <w:sz w:val="20"/>
                <w:szCs w:val="20"/>
                <w:color w:val="auto"/>
              </w:rPr>
            </w:pPr>
            <w:r>
              <w:rPr>
                <w:rFonts w:ascii="Arial" w:cs="Arial" w:eastAsia="Arial" w:hAnsi="Arial"/>
                <w:sz w:val="18"/>
                <w:szCs w:val="18"/>
                <w:color w:val="auto"/>
              </w:rPr>
              <w:t>Net</w:t>
            </w:r>
          </w:p>
        </w:tc>
        <w:tc>
          <w:tcPr>
            <w:tcW w:w="270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39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As of December 25, 2016</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4"/>
              </w:rPr>
              <w:t>Kratos</w:t>
            </w:r>
          </w:p>
        </w:tc>
        <w:tc>
          <w:tcPr>
            <w:tcW w:w="1360" w:type="dxa"/>
            <w:vAlign w:val="bottom"/>
            <w:gridSpan w:val="5"/>
            <w:vMerge w:val="restart"/>
          </w:tcPr>
          <w:p>
            <w:pPr>
              <w:jc w:val="center"/>
              <w:ind w:right="220"/>
              <w:spacing w:after="0"/>
              <w:rPr>
                <w:sz w:val="20"/>
                <w:szCs w:val="20"/>
                <w:color w:val="auto"/>
              </w:rPr>
            </w:pPr>
            <w:r>
              <w:rPr>
                <w:rFonts w:ascii="Arial" w:cs="Arial" w:eastAsia="Arial" w:hAnsi="Arial"/>
                <w:sz w:val="14"/>
                <w:szCs w:val="14"/>
                <w:b w:val="1"/>
                <w:bCs w:val="1"/>
                <w:color w:val="auto"/>
                <w:w w:val="96"/>
              </w:rPr>
              <w:t>Public Safety &amp;</w:t>
            </w:r>
          </w:p>
        </w:tc>
        <w:tc>
          <w:tcPr>
            <w:tcW w:w="100" w:type="dxa"/>
            <w:vAlign w:val="bottom"/>
          </w:tcPr>
          <w:p>
            <w:pPr>
              <w:spacing w:after="0"/>
              <w:rPr>
                <w:sz w:val="13"/>
                <w:szCs w:val="13"/>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Unmanned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Government</w:t>
            </w:r>
          </w:p>
        </w:tc>
        <w:tc>
          <w:tcPr>
            <w:tcW w:w="13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Solutions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Security</w:t>
            </w:r>
          </w:p>
        </w:tc>
        <w:tc>
          <w:tcPr>
            <w:tcW w:w="1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Systems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Gross value</w:t>
            </w:r>
          </w:p>
        </w:tc>
        <w:tc>
          <w:tcPr>
            <w:tcW w:w="25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567.8</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732.8</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impairment</w:t>
            </w:r>
          </w:p>
        </w:tc>
        <w:tc>
          <w:tcPr>
            <w:tcW w:w="2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215.3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57"/>
        </w:trPr>
        <w:tc>
          <w:tcPr>
            <w:tcW w:w="3940" w:type="dxa"/>
            <w:vAlign w:val="bottom"/>
          </w:tcPr>
          <w:p>
            <w:pPr>
              <w:ind w:left="40"/>
              <w:spacing w:after="0"/>
              <w:rPr>
                <w:sz w:val="20"/>
                <w:szCs w:val="20"/>
                <w:color w:val="auto"/>
              </w:rPr>
            </w:pPr>
            <w:r>
              <w:rPr>
                <w:rFonts w:ascii="Arial" w:cs="Arial" w:eastAsia="Arial" w:hAnsi="Arial"/>
                <w:sz w:val="18"/>
                <w:szCs w:val="18"/>
                <w:color w:val="auto"/>
              </w:rPr>
              <w:t>Net</w:t>
            </w:r>
          </w:p>
        </w:tc>
        <w:tc>
          <w:tcPr>
            <w:tcW w:w="25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485.4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580" w:type="dxa"/>
            <w:vAlign w:val="bottom"/>
            <w:vMerge w:val="restart"/>
          </w:tcPr>
          <w:p>
            <w:pPr>
              <w:jc w:val="right"/>
              <w:ind w:right="67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4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finite-lived and indefinite-lived intangible assets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October 1, 2017</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110"/>
              <w:spacing w:after="0"/>
              <w:rPr>
                <w:sz w:val="20"/>
                <w:szCs w:val="20"/>
                <w:color w:val="auto"/>
              </w:rPr>
            </w:pPr>
            <w:r>
              <w:rPr>
                <w:rFonts w:ascii="Arial" w:cs="Arial" w:eastAsia="Arial" w:hAnsi="Arial"/>
                <w:sz w:val="14"/>
                <w:szCs w:val="14"/>
                <w:b w:val="1"/>
                <w:bCs w:val="1"/>
                <w:color w:val="auto"/>
                <w:w w:val="92"/>
              </w:rPr>
              <w:t>As of December 25, 2016</w:t>
            </w:r>
          </w:p>
        </w:tc>
        <w:tc>
          <w:tcPr>
            <w:tcW w:w="980" w:type="dxa"/>
            <w:vAlign w:val="bottom"/>
            <w:tcBorders>
              <w:bottom w:val="single" w:sz="8" w:color="auto"/>
            </w:tcBorders>
          </w:tcPr>
          <w:p>
            <w:pPr>
              <w:spacing w:after="0"/>
              <w:rPr>
                <w:sz w:val="16"/>
                <w:szCs w:val="16"/>
                <w:color w:val="auto"/>
              </w:rPr>
            </w:pPr>
          </w:p>
        </w:tc>
      </w:tr>
      <w:tr>
        <w:trPr>
          <w:trHeight w:val="152"/>
        </w:trPr>
        <w:tc>
          <w:tcPr>
            <w:tcW w:w="3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374"/>
              <w:spacing w:after="0" w:line="15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10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3"/>
                <w:szCs w:val="13"/>
                <w:color w:val="auto"/>
              </w:rPr>
            </w:pPr>
          </w:p>
        </w:tc>
        <w:tc>
          <w:tcPr>
            <w:tcW w:w="92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3"/>
                <w:szCs w:val="13"/>
                <w:color w:val="auto"/>
              </w:rPr>
            </w:pPr>
          </w:p>
        </w:tc>
        <w:tc>
          <w:tcPr>
            <w:tcW w:w="980" w:type="dxa"/>
            <w:vAlign w:val="bottom"/>
          </w:tcPr>
          <w:p>
            <w:pPr>
              <w:jc w:val="right"/>
              <w:ind w:right="434"/>
              <w:spacing w:after="0" w:line="153" w:lineRule="exact"/>
              <w:rPr>
                <w:sz w:val="20"/>
                <w:szCs w:val="20"/>
                <w:color w:val="auto"/>
              </w:rPr>
            </w:pPr>
            <w:r>
              <w:rPr>
                <w:rFonts w:ascii="Arial" w:cs="Arial" w:eastAsia="Arial" w:hAnsi="Arial"/>
                <w:sz w:val="14"/>
                <w:szCs w:val="14"/>
                <w:b w:val="1"/>
                <w:bCs w:val="1"/>
                <w:color w:val="auto"/>
              </w:rPr>
              <w:t>Net</w:t>
            </w:r>
          </w:p>
        </w:tc>
      </w:tr>
      <w:tr>
        <w:trPr>
          <w:trHeight w:val="192"/>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6"/>
                <w:szCs w:val="16"/>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80" w:type="dxa"/>
            <w:vAlign w:val="bottom"/>
          </w:tcPr>
          <w:p>
            <w:pPr>
              <w:spacing w:after="0"/>
              <w:rPr>
                <w:sz w:val="16"/>
                <w:szCs w:val="16"/>
                <w:color w:val="auto"/>
              </w:rPr>
            </w:pPr>
          </w:p>
        </w:tc>
        <w:tc>
          <w:tcPr>
            <w:tcW w:w="980" w:type="dxa"/>
            <w:vAlign w:val="bottom"/>
          </w:tcPr>
          <w:p>
            <w:pPr>
              <w:jc w:val="right"/>
              <w:ind w:right="374"/>
              <w:spacing w:after="0"/>
              <w:rPr>
                <w:sz w:val="20"/>
                <w:szCs w:val="20"/>
                <w:color w:val="auto"/>
              </w:rPr>
            </w:pPr>
            <w:r>
              <w:rPr>
                <w:rFonts w:ascii="Arial" w:cs="Arial" w:eastAsia="Arial" w:hAnsi="Arial"/>
                <w:sz w:val="14"/>
                <w:szCs w:val="14"/>
                <w:b w:val="1"/>
                <w:bCs w:val="1"/>
                <w:color w:val="auto"/>
              </w:rPr>
              <w:t>Value</w:t>
            </w: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finite-lived intangible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53.7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53.7</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8.8</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w w:val="91"/>
              </w:rPr>
              <w:t>Developed technology and technical know-</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how</w:t>
            </w: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9.5</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finite-lived intangible assets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25.7</w:t>
            </w: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trade names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32.6</w:t>
            </w: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Consolidated amortization expense related to intangible assets subject to amortization was $7.9 million and $7.9 million for the nine months ended October 1, 2017 and September 25,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Inventoried Costs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October 1,</w:t>
            </w:r>
          </w:p>
        </w:tc>
        <w:tc>
          <w:tcPr>
            <w:tcW w:w="120" w:type="dxa"/>
            <w:vAlign w:val="bottom"/>
          </w:tcPr>
          <w:p>
            <w:pPr>
              <w:spacing w:after="0"/>
              <w:rPr>
                <w:sz w:val="14"/>
                <w:szCs w:val="14"/>
                <w:color w:val="auto"/>
              </w:rPr>
            </w:pPr>
          </w:p>
        </w:tc>
        <w:tc>
          <w:tcPr>
            <w:tcW w:w="1020" w:type="dxa"/>
            <w:vAlign w:val="bottom"/>
          </w:tcPr>
          <w:p>
            <w:pPr>
              <w:jc w:val="right"/>
              <w:ind w:right="74"/>
              <w:spacing w:after="0"/>
              <w:rPr>
                <w:sz w:val="20"/>
                <w:szCs w:val="20"/>
                <w:color w:val="auto"/>
              </w:rPr>
            </w:pPr>
            <w:r>
              <w:rPr>
                <w:rFonts w:ascii="Arial" w:cs="Arial" w:eastAsia="Arial" w:hAnsi="Arial"/>
                <w:sz w:val="14"/>
                <w:szCs w:val="14"/>
                <w:b w:val="1"/>
                <w:bCs w:val="1"/>
                <w:color w:val="auto"/>
                <w:w w:val="92"/>
              </w:rPr>
              <w:t>December 25,</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tcPr>
          <w:p>
            <w:pPr>
              <w:spacing w:after="0"/>
              <w:rPr>
                <w:sz w:val="16"/>
                <w:szCs w:val="16"/>
                <w:color w:val="auto"/>
              </w:rPr>
            </w:pPr>
          </w:p>
        </w:tc>
        <w:tc>
          <w:tcPr>
            <w:tcW w:w="44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Supplies and other</w:t>
            </w:r>
          </w:p>
        </w:tc>
        <w:tc>
          <w:tcPr>
            <w:tcW w:w="4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 inventoried costs</w:t>
            </w:r>
          </w:p>
        </w:tc>
        <w:tc>
          <w:tcPr>
            <w:tcW w:w="4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Less: Customer advances and progress payments</w:t>
            </w:r>
          </w:p>
        </w:tc>
        <w:tc>
          <w:tcPr>
            <w:tcW w:w="4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inventoried costs</w:t>
            </w:r>
          </w:p>
        </w:tc>
        <w:tc>
          <w:tcPr>
            <w:tcW w:w="4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bottom w:val="single" w:sz="8" w:color="CCEEFF"/>
            </w:tcBorders>
            <w:vMerge w:val="restart"/>
          </w:tcPr>
          <w:p>
            <w:pPr>
              <w:jc w:val="right"/>
              <w:ind w:right="3170"/>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2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stockholders’ equity is provided below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264"/>
        </w:trPr>
        <w:tc>
          <w:tcPr>
            <w:tcW w:w="8920" w:type="dxa"/>
            <w:vAlign w:val="bottom"/>
          </w:tcPr>
          <w:p>
            <w:pPr>
              <w:spacing w:after="0"/>
              <w:rPr>
                <w:sz w:val="22"/>
                <w:szCs w:val="22"/>
                <w:color w:val="auto"/>
              </w:rPr>
            </w:pPr>
          </w:p>
        </w:tc>
        <w:tc>
          <w:tcPr>
            <w:tcW w:w="25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7"/>
              </w:rPr>
              <w:t>October 1, 2017   September 25, 2016</w:t>
            </w:r>
          </w:p>
        </w:tc>
        <w:tc>
          <w:tcPr>
            <w:tcW w:w="0" w:type="dxa"/>
            <w:vAlign w:val="bottom"/>
          </w:tcPr>
          <w:p>
            <w:pPr>
              <w:spacing w:after="0"/>
              <w:rPr>
                <w:sz w:val="1"/>
                <w:szCs w:val="1"/>
                <w:color w:val="auto"/>
              </w:rPr>
            </w:pPr>
          </w:p>
        </w:tc>
      </w:tr>
      <w:tr>
        <w:trPr>
          <w:trHeight w:val="250"/>
        </w:trPr>
        <w:tc>
          <w:tcPr>
            <w:tcW w:w="8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 at beginning of period</w:t>
            </w: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Change in cumulative translation adjustment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Exercise of stock options and warrants</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Issuance of common stock for cash</w:t>
            </w: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for employee stock purchase plan</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Restricted stock units traded for taxes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 at end of period</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531.9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8"/>
                <w:szCs w:val="18"/>
                <w:color w:val="auto"/>
              </w:rPr>
              <w:t>The components of accumulated other comprehensive loss are as follows (in millions):</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8920" w:type="dxa"/>
            <w:vAlign w:val="bottom"/>
          </w:tcPr>
          <w:p>
            <w:pPr>
              <w:spacing w:after="0"/>
              <w:rPr>
                <w:sz w:val="24"/>
                <w:szCs w:val="24"/>
                <w:color w:val="auto"/>
              </w:rPr>
            </w:pPr>
          </w:p>
        </w:tc>
        <w:tc>
          <w:tcPr>
            <w:tcW w:w="25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7"/>
              </w:rPr>
              <w:t>October 1, 2017   September 25, 2016</w:t>
            </w:r>
          </w:p>
        </w:tc>
        <w:tc>
          <w:tcPr>
            <w:tcW w:w="0" w:type="dxa"/>
            <w:vAlign w:val="bottom"/>
          </w:tcPr>
          <w:p>
            <w:pPr>
              <w:spacing w:after="0"/>
              <w:rPr>
                <w:sz w:val="1"/>
                <w:szCs w:val="1"/>
                <w:color w:val="auto"/>
              </w:rPr>
            </w:pPr>
          </w:p>
        </w:tc>
      </w:tr>
      <w:tr>
        <w:trPr>
          <w:trHeight w:val="250"/>
        </w:trPr>
        <w:tc>
          <w:tcPr>
            <w:tcW w:w="8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8920" w:type="dxa"/>
            <w:vAlign w:val="bottom"/>
          </w:tcPr>
          <w:p>
            <w:pPr>
              <w:ind w:left="40"/>
              <w:spacing w:after="0"/>
              <w:rPr>
                <w:sz w:val="20"/>
                <w:szCs w:val="20"/>
                <w:color w:val="auto"/>
              </w:rPr>
            </w:pPr>
            <w:r>
              <w:rPr>
                <w:rFonts w:ascii="Arial" w:cs="Arial" w:eastAsia="Arial" w:hAnsi="Arial"/>
                <w:sz w:val="18"/>
                <w:szCs w:val="18"/>
                <w:color w:val="auto"/>
              </w:rPr>
              <w:t>Post-retirement benefit reserve adjustment net of tax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8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accumulated other comprehensive loss</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80" w:firstLine="648"/>
        <w:spacing w:after="0" w:line="277" w:lineRule="auto"/>
        <w:rPr>
          <w:sz w:val="20"/>
          <w:szCs w:val="20"/>
          <w:color w:val="auto"/>
        </w:rPr>
      </w:pPr>
      <w:r>
        <w:rPr>
          <w:rFonts w:ascii="Arial" w:cs="Arial" w:eastAsia="Arial" w:hAnsi="Arial"/>
          <w:sz w:val="18"/>
          <w:szCs w:val="18"/>
          <w:color w:val="auto"/>
        </w:rPr>
        <w:t>There were no reclassifications from accumulated other comprehensive loss to net loss for the nine months ended October 1, 2017 and September 25,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Common stock issued by the Company for the nine months ended October 1, 2017 and September 25, 2016 was as follows (in millions):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20" w:type="dxa"/>
            <w:vAlign w:val="bottom"/>
          </w:tcPr>
          <w:p>
            <w:pPr>
              <w:spacing w:after="0"/>
              <w:rPr>
                <w:sz w:val="16"/>
                <w:szCs w:val="16"/>
                <w:color w:val="auto"/>
              </w:rPr>
            </w:pPr>
          </w:p>
        </w:tc>
        <w:tc>
          <w:tcPr>
            <w:tcW w:w="250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52"/>
        </w:trPr>
        <w:tc>
          <w:tcPr>
            <w:tcW w:w="892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October 1, 2017</w:t>
            </w:r>
          </w:p>
        </w:tc>
        <w:tc>
          <w:tcPr>
            <w:tcW w:w="1240" w:type="dxa"/>
            <w:vAlign w:val="bottom"/>
          </w:tcPr>
          <w:p>
            <w:pPr>
              <w:jc w:val="right"/>
              <w:ind w:right="96"/>
              <w:spacing w:after="0" w:line="153" w:lineRule="exact"/>
              <w:rPr>
                <w:sz w:val="20"/>
                <w:szCs w:val="20"/>
                <w:color w:val="auto"/>
              </w:rPr>
            </w:pPr>
            <w:r>
              <w:rPr>
                <w:rFonts w:ascii="Arial" w:cs="Arial" w:eastAsia="Arial" w:hAnsi="Arial"/>
                <w:sz w:val="14"/>
                <w:szCs w:val="14"/>
                <w:b w:val="1"/>
                <w:bCs w:val="1"/>
                <w:color w:val="auto"/>
              </w:rPr>
              <w:t>September 25,</w:t>
            </w:r>
          </w:p>
        </w:tc>
        <w:tc>
          <w:tcPr>
            <w:tcW w:w="0" w:type="dxa"/>
            <w:vAlign w:val="bottom"/>
          </w:tcPr>
          <w:p>
            <w:pPr>
              <w:spacing w:after="0"/>
              <w:rPr>
                <w:sz w:val="1"/>
                <w:szCs w:val="1"/>
                <w:color w:val="auto"/>
              </w:rPr>
            </w:pPr>
          </w:p>
        </w:tc>
      </w:tr>
      <w:tr>
        <w:trPr>
          <w:trHeight w:val="192"/>
        </w:trPr>
        <w:tc>
          <w:tcPr>
            <w:tcW w:w="89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40" w:type="dxa"/>
            <w:vAlign w:val="bottom"/>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outstanding at beginning of the period</w:t>
            </w:r>
          </w:p>
        </w:tc>
        <w:tc>
          <w:tcPr>
            <w:tcW w:w="11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43"/>
        </w:trPr>
        <w:tc>
          <w:tcPr>
            <w:tcW w:w="8920" w:type="dxa"/>
            <w:vAlign w:val="bottom"/>
          </w:tcPr>
          <w:p>
            <w:pPr>
              <w:ind w:left="180"/>
              <w:spacing w:after="0"/>
              <w:rPr>
                <w:sz w:val="20"/>
                <w:szCs w:val="20"/>
                <w:color w:val="auto"/>
              </w:rPr>
            </w:pPr>
            <w:r>
              <w:rPr>
                <w:rFonts w:ascii="Arial" w:cs="Arial" w:eastAsia="Arial" w:hAnsi="Arial"/>
                <w:sz w:val="18"/>
                <w:szCs w:val="18"/>
                <w:color w:val="auto"/>
              </w:rPr>
              <w:t>Stock issued for cash</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issued for employee stock purchase plan, stock options and restricted stock units exercised</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8920" w:type="dxa"/>
            <w:vAlign w:val="bottom"/>
          </w:tcPr>
          <w:p>
            <w:pPr>
              <w:ind w:left="40"/>
              <w:spacing w:after="0"/>
              <w:rPr>
                <w:sz w:val="20"/>
                <w:szCs w:val="20"/>
                <w:color w:val="auto"/>
              </w:rPr>
            </w:pPr>
            <w:r>
              <w:rPr>
                <w:rFonts w:ascii="Arial" w:cs="Arial" w:eastAsia="Arial" w:hAnsi="Arial"/>
                <w:sz w:val="18"/>
                <w:szCs w:val="18"/>
                <w:color w:val="auto"/>
              </w:rPr>
              <w:t>Shares outstanding at end of the period</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Common Share</w:t>
      </w:r>
    </w:p>
    <w:p>
      <w:pPr>
        <w:spacing w:after="0" w:line="22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 xml:space="preserve">The Company calculates net loss per share in accordance with FASB Accounting Standards Codification Topic 260,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(“Topic 260”)</w:t>
      </w:r>
      <w:r>
        <w:rPr>
          <w:rFonts w:ascii="Arial" w:cs="Arial" w:eastAsia="Arial" w:hAnsi="Arial"/>
          <w:sz w:val="17"/>
          <w:szCs w:val="17"/>
          <w:i w:val="1"/>
          <w:iCs w:val="1"/>
          <w:color w:val="auto"/>
        </w:rPr>
        <w:t>.</w:t>
      </w:r>
      <w:r>
        <w:rPr>
          <w:rFonts w:ascii="Arial" w:cs="Arial" w:eastAsia="Arial" w:hAnsi="Arial"/>
          <w:sz w:val="17"/>
          <w:szCs w:val="17"/>
          <w:color w:val="auto"/>
        </w:rPr>
        <w:t xml:space="preserve"> Under Topic 260, basic net loss per common share is calculated by dividing net loss by the weighted-average number of common shares outstanding during the reporting period. Diluted net loss per common share reflects the effects of potentially dilutive securities.</w:t>
      </w:r>
    </w:p>
    <w:p>
      <w:pPr>
        <w:spacing w:after="0" w:line="166" w:lineRule="exact"/>
        <w:rPr>
          <w:sz w:val="20"/>
          <w:szCs w:val="20"/>
          <w:color w:val="auto"/>
        </w:rPr>
      </w:pPr>
    </w:p>
    <w:p>
      <w:pPr>
        <w:ind w:right="100" w:firstLine="567"/>
        <w:spacing w:after="0" w:line="264" w:lineRule="auto"/>
        <w:rPr>
          <w:sz w:val="20"/>
          <w:szCs w:val="20"/>
          <w:color w:val="auto"/>
        </w:rPr>
      </w:pPr>
      <w:r>
        <w:rPr>
          <w:rFonts w:ascii="Arial" w:cs="Arial" w:eastAsia="Arial" w:hAnsi="Arial"/>
          <w:sz w:val="18"/>
          <w:szCs w:val="18"/>
          <w:color w:val="auto"/>
        </w:rPr>
        <w:t>Shares from stock options and awards, excluded from the calculation of diluted net loss per share because their inclusion would have been anti-dilutive, were 0.1 million and 0.2 million for the three and nine months ended October 1, 2017, respectively, and 1.2 million and 1.4 million for the three and nine months ended September 25, 2016,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229" w:lineRule="exact"/>
        <w:rPr>
          <w:sz w:val="20"/>
          <w:szCs w:val="20"/>
          <w:color w:val="auto"/>
        </w:rPr>
      </w:pPr>
    </w:p>
    <w:p>
      <w:pPr>
        <w:jc w:val="both"/>
        <w:ind w:right="300" w:firstLine="567"/>
        <w:spacing w:after="0" w:line="264" w:lineRule="auto"/>
        <w:rPr>
          <w:sz w:val="20"/>
          <w:szCs w:val="20"/>
          <w:color w:val="auto"/>
        </w:rPr>
      </w:pPr>
      <w:r>
        <w:rPr>
          <w:rFonts w:ascii="Arial" w:cs="Arial" w:eastAsia="Arial" w:hAnsi="Arial"/>
          <w:sz w:val="18"/>
          <w:szCs w:val="18"/>
          <w:color w:val="auto"/>
        </w:rPr>
        <w:t>The reconciliation of the income tax benefit from continuing operations computed by applying the statutory federal income tax rate of 35% to loss from continuing operations before income taxes to the income tax provision for the three and nine months ended October 1, 2017 and September 25, 2016 was as follows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For the Nine Months Ended</w:t>
            </w:r>
          </w:p>
        </w:tc>
      </w:tr>
      <w:tr>
        <w:trPr>
          <w:trHeight w:val="152"/>
        </w:trPr>
        <w:tc>
          <w:tcPr>
            <w:tcW w:w="6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October 1,</w:t>
            </w:r>
          </w:p>
        </w:tc>
        <w:tc>
          <w:tcPr>
            <w:tcW w:w="14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25,</w:t>
            </w:r>
          </w:p>
        </w:tc>
        <w:tc>
          <w:tcPr>
            <w:tcW w:w="200" w:type="dxa"/>
            <w:vAlign w:val="bottom"/>
          </w:tcPr>
          <w:p>
            <w:pPr>
              <w:spacing w:after="0"/>
              <w:rPr>
                <w:sz w:val="13"/>
                <w:szCs w:val="13"/>
                <w:color w:val="auto"/>
              </w:rPr>
            </w:pPr>
          </w:p>
        </w:tc>
        <w:tc>
          <w:tcPr>
            <w:tcW w:w="11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October 1,</w:t>
            </w:r>
          </w:p>
        </w:tc>
        <w:tc>
          <w:tcPr>
            <w:tcW w:w="140" w:type="dxa"/>
            <w:vAlign w:val="bottom"/>
          </w:tcPr>
          <w:p>
            <w:pPr>
              <w:spacing w:after="0"/>
              <w:rPr>
                <w:sz w:val="13"/>
                <w:szCs w:val="13"/>
                <w:color w:val="auto"/>
              </w:rPr>
            </w:pPr>
          </w:p>
        </w:tc>
        <w:tc>
          <w:tcPr>
            <w:tcW w:w="1120" w:type="dxa"/>
            <w:vAlign w:val="bottom"/>
          </w:tcPr>
          <w:p>
            <w:pPr>
              <w:jc w:val="right"/>
              <w:ind w:right="114"/>
              <w:spacing w:after="0" w:line="153" w:lineRule="exact"/>
              <w:rPr>
                <w:sz w:val="20"/>
                <w:szCs w:val="20"/>
                <w:color w:val="auto"/>
              </w:rPr>
            </w:pPr>
            <w:r>
              <w:rPr>
                <w:rFonts w:ascii="Arial" w:cs="Arial" w:eastAsia="Arial" w:hAnsi="Arial"/>
                <w:sz w:val="14"/>
                <w:szCs w:val="14"/>
                <w:b w:val="1"/>
                <w:bCs w:val="1"/>
                <w:color w:val="auto"/>
                <w:w w:val="93"/>
              </w:rPr>
              <w:t>September 25,</w:t>
            </w:r>
          </w:p>
        </w:tc>
      </w:tr>
      <w:tr>
        <w:trPr>
          <w:trHeight w:val="192"/>
        </w:trPr>
        <w:tc>
          <w:tcPr>
            <w:tcW w:w="60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at federal statutory rate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State and foreign taxes, net of federal tax benefit and valuation allowance</w:t>
            </w: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Impact of deferred tax liabilities for indefinite-lived assets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3.5</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reserves for uncertain tax positions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Increase in federal valuation allowance</w:t>
            </w: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16.2</w:t>
            </w: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income tax provision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U.S. federal, combined state and certain foreign deferred tax assets, with the exception of an amount equal to its deferred tax liabilities, which can be expected to reverse over a definite life.</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Federal and state income tax laws impose restrictions on the utilization of net operating losses (“NOLs”) and tax credit carryforwards in the event that an “ownership change” occurs for tax purposes, as defined by Section 382 of the Internal Revenue Code of 1986, as amended (“Section 382”). In general, an ownership change occurs when shareholders owning 5% or more of a “loss corporation” (a corporation entitled to use NOLs or other loss carryovers) have increased their ownership of stock in such corporation by more than 50 percentage points during any three-year period. The annual base Section 382 limitation is calculated by multiplying the loss corporation’s value at the time of the ownership change by the greater of the long-term tax-exempt rate determined by the Internal Revenue Service in the month of the ownership change or the two preceding months. This base limitation is subject to adjustments, including an increase for built-in gains recognized in the five-year period after the ownership change.</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March 2010, an “ownership change” occurred that will limit the utilization of NOL carryforwards. In July 2011, another “ownership change” occurred. The March 2010 ownership change limitation is more restrictive. In prior years, the Company acquired corporations with NOL carryforwards at the date of acquisition (“Acquired NOLs”). The Acquired NOLs are subject to separate limitations that may further restrict the use of Acquired NOLs. As a result, the Company’s federal annual utilization of NOL carryforwards was limited to $27.0 million a year for the five years succeeding the March 2010 ownership change and $11.6 million for each year thereafter subject to separate limitations for Acquired NOLs. If the entire limitation amount is not utilized in a year, the excess can be carried forward and utilized in future years.</w:t>
      </w:r>
    </w:p>
    <w:p>
      <w:pPr>
        <w:spacing w:after="0" w:line="193"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For the nine months ended October 1, 2017, such limitations did not impact the income tax provision, since the amount of taxable income did not exceed the annual limitation amount. However, future equity offerings or acquisitions that have equity as a component of the purchase price could also cause an “ownership change.” If and when any other “ownership change” occurs, utilization of the NOLs or other tax attributes may be further limited.</w:t>
      </w:r>
    </w:p>
    <w:p>
      <w:pPr>
        <w:spacing w:after="0" w:line="14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As discussed elsewhere, deferred tax assets relating to the NOLs and credit carryforwards are offset by a full valuation allowance. In addition, utilization of state tax loss carryforwards is dependent upon sufficient taxable income apportioned to the states.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is subject to taxation in the U.S. and various state and foreign tax jurisdictions. The Company’s tax years for 2000 and later are subject to examination by the U.S. and state tax authorities due to the existence of the NOL carryforwards. Generally, the Company’s tax years for 2002 and later are subject to examination by various foreign tax authorities as well.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of December 25, 2016, the Company had $18.6 million of unrecognized tax benefits that, if recognized, would impact the effective income tax rate, subject to possible offset by an increase in the deferred tax asset valuation allowance. During the nine months ended October 1, 2017, unrecognized tax benefits increased by $0.2 million relating to various current year and prior positions.</w:t>
      </w:r>
    </w:p>
    <w:p>
      <w:pPr>
        <w:spacing w:after="0" w:line="181" w:lineRule="exact"/>
        <w:rPr>
          <w:sz w:val="20"/>
          <w:szCs w:val="20"/>
          <w:color w:val="auto"/>
        </w:rPr>
      </w:pPr>
    </w:p>
    <w:p>
      <w:pPr>
        <w:ind w:right="260" w:firstLine="567"/>
        <w:spacing w:after="0" w:line="297" w:lineRule="auto"/>
        <w:rPr>
          <w:sz w:val="20"/>
          <w:szCs w:val="20"/>
          <w:color w:val="auto"/>
        </w:rPr>
      </w:pPr>
      <w:r>
        <w:rPr>
          <w:rFonts w:ascii="Arial" w:cs="Arial" w:eastAsia="Arial" w:hAnsi="Arial"/>
          <w:sz w:val="16"/>
          <w:szCs w:val="16"/>
          <w:color w:val="auto"/>
        </w:rPr>
        <w:t>The Company recognizes interest and penalties related to unrecognized tax benefits in its provision for income taxes. For the nine months ended October 1, 2017 and September 25, 2016, a $0.4 million expense and $0.8 million expense, respectively, were recorded related to interest and penalties related to unrecognized tax benefits. For the nine months ended October 1, 2017 and September 25, 2016, there was no material benefit recorded related to the removal of interest and penalties. The Company believes that it is reasonably possible that as much as $1.0 million of the liabilities for uncertain tax positions will expire within twelve months of October 1, 2017 due to the expiration of various applicable statutes of limitation.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22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7.00% Senior Secured Notes due 2019</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May 2014, the Company refinanced its $625.0 million of 10% Senior Secured Notes due in 2017 (the “10% Notes”) with $625.0 million of newly issued 7.00% Senior Secured Notes due in 2019 (the “7% Notes”). The net proceeds from the issuance of the 7% Notes was $618.5 million after an original issue discount of $6.5 million. The Company incurred debt issuance costs of $8.8 million associated with the 7% Notes. The Company utilized the net proceeds from the issuance of the 7% Notes, a $41.0 million draw on its Credit Agreement (as defined below), as well as cash from operations to extinguish the 10% Notes. The Company completed the offering of the 7% Notes in a private placement conducted pursuant to Rule 144A and Regulation S under the Securities Act of 1933, as amended (the “Act”). On October 16, 2014, the Company exchanged the outstanding 7% Notes for an equal amount of new 7.00% Senior Secured Notes due in 2019 (the “Notes”) that had been registered under the Act. The terms of the Notes issued in the exchange offer were identical in all material respects to the terms of the 7% Notes, except the Notes issued in the exchange offer had been registered under the Act.</w:t>
      </w:r>
    </w:p>
    <w:p>
      <w:pPr>
        <w:spacing w:after="0" w:line="26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Notes are governed by an Indenture, dated May 14, 2014 (the “Indenture”), among the Company, certain of the Company’s subsidiaries (each, a “Subsidiary Guarantor” and together, the “Subsidiary Guarantors”) and Wilmington Trust, National Association, as Trustee and Collateral Agent. A Subsidiary Guarantor can be released from its Guarantee (as defined in the Indenture) (a) if all of the capital stock issued by such Subsidiary Guarantor or all or substantially all of the assets of such Subsidiary Guarantor are sold or otherwise disposed of; (b) if the Company designates such Subsidiary Guarantor as an Unrestricted Subsidiary (as defined in the Indenture); (c) if the Company exercises its legal defeasance option or its covenant defeasance option; or (d) upon satisfaction and discharge of the Indenture or payment in full in cash of the principal of, premium, if any, and accrued and unpaid interest on the Notes.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holders of the Notes have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Notes have a second priority lien to the $110.0 million Credit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pays interest on the Notes semi-annually, in arrears, on May 15 and November 15 of each year.</w:t>
      </w:r>
    </w:p>
    <w:p>
      <w:pPr>
        <w:spacing w:after="0" w:line="225" w:lineRule="exact"/>
        <w:rPr>
          <w:sz w:val="20"/>
          <w:szCs w:val="20"/>
          <w:color w:val="auto"/>
        </w:rPr>
      </w:pPr>
    </w:p>
    <w:p>
      <w:pPr>
        <w:ind w:right="280" w:firstLine="648"/>
        <w:spacing w:after="0" w:line="276" w:lineRule="auto"/>
        <w:rPr>
          <w:sz w:val="20"/>
          <w:szCs w:val="20"/>
          <w:color w:val="auto"/>
        </w:rPr>
      </w:pPr>
      <w:r>
        <w:rPr>
          <w:rFonts w:ascii="Arial" w:cs="Arial" w:eastAsia="Arial" w:hAnsi="Arial"/>
          <w:sz w:val="17"/>
          <w:szCs w:val="17"/>
          <w:color w:val="auto"/>
        </w:rPr>
        <w:t>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October 1, 2017, the Company was in compliance with the covenants contained in the Indenture governing the Notes.</w:t>
      </w:r>
    </w:p>
    <w:p>
      <w:pPr>
        <w:spacing w:after="0" w:line="173"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may redeem some or all of the Notes at 102.625% of the aggregate principal amount of such Notes if redeemed on or before May 15, 2018 and 100% of the aggregate principal amount of such Notes if redeemed on or after May 16, 2018, plus accrued and unpaid interest to the date of redemption.</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terms of the Indenture require that the net cash proceeds from asset dispositions be utilized to (i) repay or prepay amounts outstanding under the Credit Agreement unless such amounts are reinvested in similar collateral, (ii) make an investment in assets that replace the collateral of the Notes or (iii) a combination of both clauses (i) and (ii). To the extent there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are any remaining net proceeds from the asset disposition after application of clauses (i) and (ii), such amounts are required to be utilized to repurchase Notes at par after 360 days following the asset disposition.</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Following the sale of its U.S. and U.K. Electronic Products Divisions (the “Herley Entities”) the Company paid down $41.0 million outstanding under the Credit Agreement and repurchased $175.0 million of the Notes at par, in accordance with the terms of the Indenture. The total reacquisition price of the Notes was $178.4 million including the write off of $1.8 million of unamortized issue costs, $1.4 million of unamortized discount, along with $0.2 million of legal fees, which resulted in a loss on extinguishment of debt of $3.4 million.</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reinvested all net proceeds remaining after the repurchase of the $175.0 million of Notes in replacement collateral in accordance with the terms of the Indenture within 360 days following the asset disposition, in accordance with the terms of the Indenture.</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During the quarter ended December 25, 2016, the Company repurchased and extinguished $14.5 million of the outstanding Notes, which resulted in a gain of $0.4 million offset by $0.1 million of unamortized issuance cost and $0.1 million of unamortized discount resulting in a gain on extinguishment of debt of $0.2 million.</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During the quarter ended March 26, 2017, the Company repurchased and extinguished $62.7 million of the outstanding Notes, which resulted in a loss of $1.4 million and the realization of $0.4 million of unamortized issuance cost and $0.3 million of unamortized discount resulting in a loss on extinguishment of debt of $2.1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October 1, 2017, there was $372.8 million in Notes outstanding.</w:t>
      </w:r>
    </w:p>
    <w:p>
      <w:pPr>
        <w:spacing w:after="0" w:line="2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Agreement</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On May 14, 2014, the Company entered into a $110.0 million Credit and Security Agreement, dated May 14, 2014 (the “Credit Agreement”), with the lenders from time to time party thereto, SunTrust Bank, as Agent (the “Agent”), PNC Bank, National Association, as Joint Lead Arranger and Documentation Agent, and SunTrust Robinson Humphrey, Inc., as Joint Lead Arranger and Sole Book Runner.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(i) a first priority lien on the Company’s accounts receivable, inventory, deposit accounts, securities accounts, cash, securities and general intangibles (other than intellectual property) and (ii) a second priority lien, junior to the lien securing the Notes, on all of the Company’s other assets.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(as modified per the Third Amendment and the Fourth Amendment, as defined and discussed below). Events of default under the terms of the Credit Agreement include, but are not limited to: failure of the Company to pay any principal of any loans in full when due and payable; failure of the Company to pay any interest on any loan or any fee or other amount payable under the Credit Agreement within three business days after the date when due and payable; failure of the Company or any of its subsidiaries to comply with certain covenants and agreements, subject to applicable grace periods and/or notice requirements; any representation, warranty or statement made in or pursuant to the Credit Agreement or any related writing or any other material information furnished by the Company or any of its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prospects of the Company or the ability of the Company to repay its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At October 1, 2017, no event of default had occurred and the Company believes that events or conditions having a material adverse effect, giving rise to an acceleration of any amounts outstanding under the Credit Agreement, have not occurred and the likelihood of such events or conditions occurring is remote.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Borrowings under the Credit Agreement may take the form of a base rate revolving loan, Eurodollar revolving loan or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 (iii) the adjusted London Interbank Offered Rate (“LIBOR”) determined at such time for an interest period of one month, plus 1.00% per annum. Eurodollar revolving loans will bear interest at a rate per annum equal to the sum of the applicable margin from time to time in effect plus the adjusted LIBOR. The applicable margin varies between 1.50% and 2.00% for base rate revolving loans and swingline loans and 2.50% and 3.00% for Eurodollar loans, and is based on several factors including the Company’s then-existing borrowing base and the lender’s total commitment amount and revolving credit exposure. The calculation of the Company’s borrowing base takes into account several items relating to the Company and its subsidiaries, including, without limitation, amounts due and owing under billed and unbilled accounts receivables, then-held eligible raw materials inventory, work-in-process inventory, and applicable reserves.</w:t>
      </w:r>
    </w:p>
    <w:p>
      <w:pPr>
        <w:spacing w:after="0" w:line="197"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On May 31, 2015, the Company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Notes by the Company was required, and the payment in full of the outstanding balance of the Credit Agreement was required. Additionally, the measurement of the fixed charge coverage ratio of 1.15:1 was modified as follows: (i) the fixed charge coverage ratio will not be measured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 clause (i) above, a fixed charge coverage ratio of at least 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 coverage ratio of at least 1.10:1 must be maintained if the aforementioned percentage is equal to or greater than 15.00% but less than 25.00%. In all other instances, a fixed charge coverage ratio of at least 1.15:1 must be maintained. For purposes of computing the fixed charge coverage ratio, the associated reduction in consolidated interest expense in connection with the repurchase of Notes with proceeds from the sale of the Herley Entities shall be deemed to have occurred on the first day of the most recently completed four quarterly reporting periods prior to the sale.</w:t>
      </w:r>
    </w:p>
    <w:p>
      <w:pPr>
        <w:spacing w:after="0" w:line="175"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The terms of the Third Amendment also included the establishment of a reserve (the “Herley Disposition Proceeds Reinvestment Reserve”) that reduced the maximum $110.0 million total borrowing base on the Credit Agreement. With the sale of the Herley Entities, a $50.8 million reserve was established based upon the collateral carrying value under the Credit Agreement of the Herley Entities disposed. The reserve and therefore the maximum borrowing base were adjusted monthly for the subsequent cumulative reinvestment in similar collateral assets over a period not to have exceeded 360 days from the date of sale of the Herley Entities. As of October 1, 2017, there was no reserve on the maximum borrowings, resulting from a cumulative reinvestment in similar collateral assets since the sale of the Herley Entities in excess of the $50.8 million reserve established at the date of the sale of the Herley Entities. The Company made investments in assets that replaced the collateral, which reinstated the maximum facility to the full $110.0 million as of the end of the first quarter of 2016.</w:t>
      </w:r>
    </w:p>
    <w:p>
      <w:pPr>
        <w:spacing w:after="0" w:line="19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On August 20, 2015, the Company entered into a fourth amendment (the “Fourth Amendment”) to the Credit Agreement. Among other things, the Fourth Amendment provides for a modification of the Third Amendment as it relates to when the minimum fixed charge coverage ratio will be measured based upon the Company’s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October 1, 2017, there were no borrowings outstanding on the Credit Agreement and $9.2 million outstanding on letters of credit, resulting in net borrowing base availability of $68.7 million. The Company was in compliance with the financial covenants of the Credit Agreement and its amendments as of October 1, 2017.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has a $10.0 million ten-year term loan with a bank in Israel entered into on September 16, 2008 in connection with the acquisition of one of its wholly owned subsidiaries. The balance under the term loan as of October 1, 2017 was $1.0 million, and the loan is payable in quarterly installments of $0.3 million plus interest at LIBOR plus a margin of 1.5%. The loan agreement governing the term loan contains various covenants, including a minimum net equity covenant as defined in the loan agreement. The Company was in compliance with all covenants contained in this loan agreement as of October 1, 2017.</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October 1, 2017 and December 25, 2016 are presented in the following table: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ind w:left="720"/>
              <w:spacing w:after="0"/>
              <w:rPr>
                <w:sz w:val="20"/>
                <w:szCs w:val="20"/>
                <w:color w:val="auto"/>
              </w:rPr>
            </w:pPr>
            <w:r>
              <w:rPr>
                <w:rFonts w:ascii="Arial" w:cs="Arial" w:eastAsia="Arial" w:hAnsi="Arial"/>
                <w:sz w:val="14"/>
                <w:szCs w:val="14"/>
                <w:b w:val="1"/>
                <w:bCs w:val="1"/>
                <w:color w:val="auto"/>
                <w:w w:val="90"/>
              </w:rPr>
              <w:t>As of October 1, 2017</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0"/>
              </w:rPr>
              <w:t>As of December 25, 2016</w:t>
            </w:r>
          </w:p>
        </w:tc>
        <w:tc>
          <w:tcPr>
            <w:tcW w:w="0" w:type="dxa"/>
            <w:vAlign w:val="bottom"/>
          </w:tcPr>
          <w:p>
            <w:pPr>
              <w:spacing w:after="0"/>
              <w:rPr>
                <w:sz w:val="1"/>
                <w:szCs w:val="1"/>
                <w:color w:val="auto"/>
              </w:rPr>
            </w:pPr>
          </w:p>
        </w:tc>
      </w:tr>
      <w:tr>
        <w:trPr>
          <w:trHeight w:val="152"/>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Principal</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w w:val="94"/>
              </w:rPr>
              <w:t>Principal</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3"/>
                <w:szCs w:val="13"/>
                <w:color w:val="auto"/>
              </w:rPr>
            </w:pPr>
          </w:p>
        </w:tc>
        <w:tc>
          <w:tcPr>
            <w:tcW w:w="7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debt including current portion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373.8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370.7</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383.1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437.3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432.0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the Company’s long-term debt was based upon actual trading activity (Level 1, Observable inputs -quoted prices in active markets).</w:t>
      </w:r>
    </w:p>
    <w:p>
      <w:pPr>
        <w:spacing w:after="0" w:line="248" w:lineRule="exact"/>
        <w:rPr>
          <w:sz w:val="20"/>
          <w:szCs w:val="20"/>
          <w:color w:val="auto"/>
        </w:rPr>
      </w:pPr>
    </w:p>
    <w:p>
      <w:pPr>
        <w:ind w:right="40" w:firstLine="683"/>
        <w:spacing w:after="0" w:line="276" w:lineRule="auto"/>
        <w:rPr>
          <w:sz w:val="20"/>
          <w:szCs w:val="20"/>
          <w:color w:val="auto"/>
        </w:rPr>
      </w:pPr>
      <w:r>
        <w:rPr>
          <w:rFonts w:ascii="Arial" w:cs="Arial" w:eastAsia="Arial" w:hAnsi="Arial"/>
          <w:sz w:val="17"/>
          <w:szCs w:val="17"/>
          <w:color w:val="auto"/>
        </w:rPr>
        <w:t>As of October 1, 2017, the difference between the carrying amount of $370.7 million and the principal amount of $373.8 million presented in the table above is the net unamortized original issue discount of $1.4 million and the unamortized debt issuance costs of $1.7 million, which are being accreted to interest expense over the term of the related debt. As of December 25, 2016, the difference between the carrying amount of $432.0 million and the principal amount of $437.3 million presented in the previous table is the net unamortized original issue discount of $2.4 million and the unamortized debt issuance costs of $2.9 million, which are being accreted to interest expense over the term of the related debt.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Segment Information</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Company operates in three reportable segments. The Kratos Government Solutions (“KGS”) reportable segment is comprised of an aggregation of KGS operating segments, including the microwave electronic products, satellite communications, modular systems and defense and rocket support operating segments. The Unmanned Systems (“US”) reportable segment consists of its unmanned aerial system and unmanned ground and seaborne system businesses. The KGS and US reportable segments provide products, solutions and services for mission critical national security programs. KGS and US customers primarily include national security related agencies, the U.S. Department of Defense (the “DoD”), intelligence agencies and classified agencies, and to a lesser degree, international government agencies and domestic and international commercial customers. The Public Safety &amp; Security (“PSS”) reportable segment provides independent integrated solutions for advanced homeland security, public safety, critical infrastructure, and security and surveillance systems for government and commercial applications. PSS customers include those in the critical infrastructure, power generation, power transport, nuclear energy, financial, IT, healthcare, education, transportation and petro-chemical industries, as well as certain government customers.</w:t>
      </w:r>
    </w:p>
    <w:p>
      <w:pPr>
        <w:spacing w:after="0" w:line="16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Company organizes its reportable segments based on the nature of the products, solutions and services offered. Transactions between segments are generally negotiated and accounted for under terms and conditions similar to other government and commercial contracts. This presentation is consistent with the Company’s operating structure. In the following table, total operating income (loss) from continuing operations of the reportable business segments is reconciled to the corresponding consolidated amount. The reconciling item “unallocated corporate expense, net”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segments, and other miscellaneous corporate activities.</w:t>
      </w:r>
    </w:p>
    <w:p>
      <w:pPr>
        <w:spacing w:after="0" w:line="17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During the nine months ended September 25, 2016, the PSS reportable segment recorded a $1.9 million charge related to a litigation settlement of a contract dispute and the KGS reportable segment recorded a $7.8 million charge as a result of the decision to close one of its manufacturing facilities and exit certain lower margin product business lines. The operating loss for the US segment for the three and nine months ended September 25, 2016 includes an $18.7 million loss accrual recorded on the Low Cost Attritable Unmanned Aerial System Demonstration cost share contract awarded in July 2016.</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93"/>
        <w:spacing w:after="0" w:line="277" w:lineRule="auto"/>
        <w:rPr>
          <w:sz w:val="20"/>
          <w:szCs w:val="20"/>
          <w:color w:val="auto"/>
        </w:rPr>
      </w:pPr>
      <w:r>
        <w:rPr>
          <w:rFonts w:ascii="Arial" w:cs="Arial" w:eastAsia="Arial" w:hAnsi="Arial"/>
          <w:sz w:val="18"/>
          <w:szCs w:val="18"/>
          <w:color w:val="auto"/>
        </w:rPr>
        <w:t>Revenues, depreciation and amortization, and operating income (loss) generated by the Company’s reportable segments for the three and nine month periods ended October 1, 2017 and September 25, 2016 are as follows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October 1, 2017</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25, 2016</w:t>
            </w:r>
          </w:p>
        </w:tc>
        <w:tc>
          <w:tcPr>
            <w:tcW w:w="140" w:type="dxa"/>
            <w:vAlign w:val="bottom"/>
          </w:tcPr>
          <w:p>
            <w:pPr>
              <w:spacing w:after="0"/>
              <w:rPr>
                <w:sz w:val="22"/>
                <w:szCs w:val="22"/>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October 1, 2017</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25, 2016</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67.9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Kratos Government Solutions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112.8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356.4</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37"/>
        </w:trPr>
        <w:tc>
          <w:tcPr>
            <w:tcW w:w="5060" w:type="dxa"/>
            <w:vAlign w:val="bottom"/>
          </w:tcPr>
          <w:p>
            <w:pPr>
              <w:ind w:left="180"/>
              <w:spacing w:after="0"/>
              <w:rPr>
                <w:sz w:val="20"/>
                <w:szCs w:val="20"/>
                <w:color w:val="auto"/>
              </w:rPr>
            </w:pPr>
            <w:r>
              <w:rPr>
                <w:rFonts w:ascii="Arial" w:cs="Arial" w:eastAsia="Arial" w:hAnsi="Arial"/>
                <w:sz w:val="18"/>
                <w:szCs w:val="18"/>
                <w:color w:val="auto"/>
              </w:rPr>
              <w:t>Public Safety &amp; Security</w:t>
            </w:r>
          </w:p>
        </w:tc>
        <w:tc>
          <w:tcPr>
            <w:tcW w:w="10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 revenues</w:t>
            </w: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Product sales</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Public Safety &amp; Security</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37"/>
        </w:trPr>
        <w:tc>
          <w:tcPr>
            <w:tcW w:w="5060" w:type="dxa"/>
            <w:vAlign w:val="bottom"/>
          </w:tcPr>
          <w:p>
            <w:pPr>
              <w:ind w:left="180"/>
              <w:spacing w:after="0"/>
              <w:rPr>
                <w:sz w:val="20"/>
                <w:szCs w:val="20"/>
                <w:color w:val="auto"/>
              </w:rPr>
            </w:pPr>
            <w:r>
              <w:rPr>
                <w:rFonts w:ascii="Arial" w:cs="Arial" w:eastAsia="Arial" w:hAnsi="Arial"/>
                <w:sz w:val="18"/>
                <w:szCs w:val="18"/>
                <w:color w:val="auto"/>
              </w:rPr>
              <w:t>Unmanned Systems</w:t>
            </w:r>
          </w:p>
        </w:tc>
        <w:tc>
          <w:tcPr>
            <w:tcW w:w="10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Service revenues</w:t>
            </w: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Product sales</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Unmanned Systems</w:t>
            </w:r>
          </w:p>
        </w:tc>
        <w:tc>
          <w:tcPr>
            <w:tcW w:w="10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97"/>
        </w:trPr>
        <w:tc>
          <w:tcPr>
            <w:tcW w:w="50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revenues</w:t>
            </w:r>
          </w:p>
        </w:tc>
        <w:tc>
          <w:tcPr>
            <w:tcW w:w="10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196.2</w:t>
            </w:r>
          </w:p>
        </w:tc>
        <w:tc>
          <w:tcPr>
            <w:tcW w:w="120" w:type="dxa"/>
            <w:vAlign w:val="bottom"/>
            <w:tcBorders>
              <w:bottom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165.4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549.7</w:t>
            </w:r>
          </w:p>
        </w:tc>
        <w:tc>
          <w:tcPr>
            <w:tcW w:w="100" w:type="dxa"/>
            <w:vAlign w:val="bottom"/>
            <w:tcBorders>
              <w:bottom w:val="single" w:sz="8" w:color="CCEEFF"/>
            </w:tcBorders>
          </w:tcPr>
          <w:p>
            <w:pPr>
              <w:spacing w:after="0"/>
              <w:rPr>
                <w:sz w:val="24"/>
                <w:szCs w:val="24"/>
                <w:color w:val="auto"/>
              </w:rPr>
            </w:pPr>
          </w:p>
        </w:tc>
        <w:tc>
          <w:tcPr>
            <w:tcW w:w="6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486.6</w:t>
            </w:r>
          </w:p>
        </w:tc>
        <w:tc>
          <w:tcPr>
            <w:tcW w:w="0" w:type="dxa"/>
            <w:vAlign w:val="bottom"/>
          </w:tcPr>
          <w:p>
            <w:pPr>
              <w:spacing w:after="0"/>
              <w:rPr>
                <w:sz w:val="1"/>
                <w:szCs w:val="1"/>
                <w:color w:val="auto"/>
              </w:rPr>
            </w:pPr>
          </w:p>
        </w:tc>
      </w:tr>
      <w:tr>
        <w:trPr>
          <w:trHeight w:val="237"/>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&amp; amortization:</w:t>
            </w: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Unmanned Systems</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depreciation and amortization</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Operating income (loss) from continuing operations:</w:t>
            </w:r>
          </w:p>
        </w:tc>
        <w:tc>
          <w:tcPr>
            <w:tcW w:w="1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vMerge w:val="continue"/>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Kratos Government Solutions</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Public Safety &amp; Security</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Unmanned Systems</w:t>
            </w: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43"/>
        </w:trPr>
        <w:tc>
          <w:tcPr>
            <w:tcW w:w="5060" w:type="dxa"/>
            <w:vAlign w:val="bottom"/>
          </w:tcPr>
          <w:p>
            <w:pPr>
              <w:ind w:left="180"/>
              <w:spacing w:after="0"/>
              <w:rPr>
                <w:sz w:val="20"/>
                <w:szCs w:val="20"/>
                <w:color w:val="auto"/>
              </w:rPr>
            </w:pPr>
            <w:r>
              <w:rPr>
                <w:rFonts w:ascii="Arial" w:cs="Arial" w:eastAsia="Arial" w:hAnsi="Arial"/>
                <w:sz w:val="18"/>
                <w:szCs w:val="18"/>
                <w:color w:val="auto"/>
              </w:rPr>
              <w:t>Unallocated corporate expense, net</w:t>
            </w: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income (loss) from continuing operations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Significant Customers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and US segments have substantial revenue from the U.S. Government. Sales to the U.S. Government amounted to approximately $118.2 million and $95.4 million, or 60% and 58% of total revenue, for the three months ended October 1, 2017 and September 25, 2016, respectively, and $325.9 million and $293.6 million, or 59% and 60% of total revenue, for the nine months ended October 1, 2017 and September 25, 2016,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the Company is subject to various claims, pending and potential legal actions for damages, investigations relating to governmental laws and regulations and other matters arising out of the normal conduct of the Company’s business. The Company assesses contingencies to determine the degree of probability and range of possible loss for potential accrual in its condensed consolidated financial statements. An estimated loss contingency is accrued in the Company’s condensed consolidated financial statements if it is probable that a liability has been incurred and the amount of the loss can be reasonably estimated. Because litigation is inherently unpredictable and unfavorable resolutions could occur, assessing litigation contingencies is highly subjective and requires judgments about future events. When evaluating contingencies, the Company may be unable to provide a meaningful estimate due to a number of factors, including but not limited to the procedural status of the matter in question, the presence of complex or novel legal theories, and the ongoing discovery and development of information important to the matters. In addition, damage amounts claimed in litigation against it may be unsupported, exaggerated or unrelated to possible outcomes and, as such, are not meaningful indicators of its potential liability. The Company regularly reviews contingencies to determine the adequacy of its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monetary significance any such losses, damages or remedies may have on the Company’s condensed consolidated financial statements; and the unique facts and circumstances of the particular matter that may give rise to additional factors.</w:t>
      </w:r>
    </w:p>
    <w:p>
      <w:pPr>
        <w:spacing w:after="0" w:line="32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Legal and Regulatory Matters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U.S. Government Cost Claims.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Company’s contracts with the DoD are subject to audit by the Defense Contract Audit Agency (“DCAA”). As a result of these audits, from time to time the Company is advised of claims concerning potential disallowed, overstated or disputed costs. For example, during the course of recent audits of the Company’s contracts, the DCAA is closely examining and questioning certain of the established and disclosed practices that it had previously audited and accepted. The Company’s personnel regularly scrutinizes costs incurred and allocated to contracts with the U.S. Government for compliance with regulatory standards. On July 28, 2015, the Company received a determination letter from the Defense Contract Management Agency (“DCMA”) regarding what the DCMA believed were certain unallowable costs for one of the Company’s subsidiaries with respect to fiscal year 2007. In April 2016, the Company reached an agreement with the DCAA to settle matters related to unallowable costs for this subsidiary for fiscal years 2007 and 2008 for approximately $0.2 million. For those Company subsidiaries and fiscal years which have not yet been audited by the DCAA or for those audits which are in process which have not been completed by the DCAA, the Company cannot reasonably estimate the range of loss, if any, that may result from audits and reviews in which it is currently involved given the inherent difficulty in predicting regulatory action, fines and penalties, if any, and the various remedies and levels of judicial review available to the Company in the event of an adverse finding. As a result, the Company has not recorded any liability related to these matters.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Litigation Matters.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is subject to normal and routine litigation arising from the ordinary course and conduct of business and, at times, as a result of acquisitions and dispositions. Such disputes include, for example, commercial, employment, intellectual property, environmental and securities matters. The aggregate amounts accrued related to these matters are not material to the total liabilities of the Company. The Company intends to defend itself in any such matters and does not currently believe that the outcome of any such matters will have a material adverse impact on the Company’s financial condition, results of</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5" w:right="2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operations or cash flows. During the nine months ended September 25, 2016, the Company recorded a charge of $1.9 million related to a litigation settlement of a contract dispute in the PSS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Condensed Consolidating Financial Statements</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Company has $372.8 million in outstanding Notes (see Note 7). The Notes are guaranteed by the Subsidiary Guarantors and are collateralized by the assets of all of the Company’s 100% owned subsidiaries. The Notes are fully and unconditionally guaranteed on a joint and several basis by each Subsidiary Guarantor and the Company. There are no contractual restrictions with respect to the Notes limiting cash transfers from Subsidiary Guarantors by dividends, loans or advances to the Company. The Notes are not guaranteed by the Company’s foreign subsidiaries (the “Non-Guarantor Subsidiaries”).</w:t>
      </w:r>
    </w:p>
    <w:p>
      <w:pPr>
        <w:spacing w:after="0" w:line="15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following tables present condensed consolidating financial statements for the parent company, the Subsidiary Guarantors and the Non-Guarantor Subsidiaries, respectively. The condensed consolidating financial information below follows the same accounting policies as described in the condensed consolidated financial statements, except for the use of the equity method of accounting to reflect ownership interests in 100% owned subsidiaries, which are eliminated upon consolidation.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October 1, 2017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239.2</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220.4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244.2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62.8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464.2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275.1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567.8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56.7</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442.6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485.3</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Investment in subsidiaries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469.2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w:t>
            </w:r>
          </w:p>
        </w:tc>
      </w:tr>
      <w:tr>
        <w:trPr>
          <w:trHeight w:val="284"/>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935.7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859.4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112.3</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(764.7)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1,142.7</w:t>
            </w: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8"/>
                <w:szCs w:val="18"/>
                <w:color w:val="auto"/>
              </w:rPr>
              <w:t>’</w:t>
            </w:r>
            <w:r>
              <w:rPr>
                <w:rFonts w:ascii="Arial" w:cs="Arial" w:eastAsia="Arial" w:hAnsi="Arial"/>
                <w:sz w:val="16"/>
                <w:szCs w:val="16"/>
                <w:b w:val="1"/>
                <w:bCs w:val="1"/>
                <w:color w:val="auto"/>
              </w:rPr>
              <w:t xml:space="preserve">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36.9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51.8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uncompleted contracts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51.1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current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358.2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369.7</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38.5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8"/>
              </w:rPr>
              <w:t>Non-current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403.8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378.2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610.8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531.9</w:t>
            </w:r>
          </w:p>
        </w:tc>
      </w:tr>
      <w:tr>
        <w:trPr>
          <w:trHeight w:val="244"/>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935.7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859.4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112.3</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(764.7)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1,142.7</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46"/>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9"/>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25, 2016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69.1</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229.4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from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Inventoried costs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55.4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278.1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243.4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373.1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plant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442.5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485.4</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Investment in subsidiaries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458.0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r>
      <w:tr>
        <w:trPr>
          <w:trHeight w:val="284"/>
        </w:trPr>
        <w:tc>
          <w:tcPr>
            <w:tcW w:w="35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738.1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826.9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113.7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(730.1)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948.6</w:t>
            </w: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8"/>
                <w:szCs w:val="18"/>
                <w:color w:val="auto"/>
              </w:rPr>
              <w:t>’</w:t>
            </w:r>
            <w:r>
              <w:rPr>
                <w:rFonts w:ascii="Arial" w:cs="Arial" w:eastAsia="Arial" w:hAnsi="Arial"/>
                <w:sz w:val="16"/>
                <w:szCs w:val="16"/>
                <w:b w:val="1"/>
                <w:bCs w:val="1"/>
                <w:color w:val="auto"/>
              </w:rPr>
              <w:t xml:space="preserve"> Equity</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w:t>
            </w:r>
          </w:p>
        </w:tc>
      </w:tr>
      <w:tr>
        <w:trPr>
          <w:trHeight w:val="237"/>
        </w:trPr>
        <w:tc>
          <w:tcPr>
            <w:tcW w:w="354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53.6</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Accrued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w:t>
            </w:r>
          </w:p>
        </w:tc>
      </w:tr>
      <w:tr>
        <w:trPr>
          <w:trHeight w:val="220"/>
        </w:trPr>
        <w:tc>
          <w:tcPr>
            <w:tcW w:w="3540" w:type="dxa"/>
            <w:vAlign w:val="bottom"/>
          </w:tcPr>
          <w:p>
            <w:pPr>
              <w:ind w:left="180"/>
              <w:spacing w:after="0"/>
              <w:rPr>
                <w:sz w:val="20"/>
                <w:szCs w:val="20"/>
                <w:color w:val="auto"/>
              </w:rPr>
            </w:pPr>
            <w:r>
              <w:rPr>
                <w:rFonts w:ascii="Arial" w:cs="Arial" w:eastAsia="Arial" w:hAnsi="Arial"/>
                <w:sz w:val="16"/>
                <w:szCs w:val="16"/>
                <w:color w:val="auto"/>
              </w:rPr>
              <w:t>Billings in excess of costs and earnings on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6"/>
                <w:szCs w:val="16"/>
                <w:color w:val="auto"/>
              </w:rPr>
              <w:t>uncompleted contracts</w:t>
            </w:r>
          </w:p>
        </w:tc>
        <w:tc>
          <w:tcPr>
            <w:tcW w:w="1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41.8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due to affiliated companies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337.0</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196.5</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431.0</w:t>
            </w:r>
          </w:p>
        </w:tc>
      </w:tr>
      <w:tr>
        <w:trPr>
          <w:trHeight w:val="237"/>
        </w:trPr>
        <w:tc>
          <w:tcPr>
            <w:tcW w:w="3540" w:type="dxa"/>
            <w:vAlign w:val="bottom"/>
          </w:tcPr>
          <w:p>
            <w:pPr>
              <w:ind w:left="18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41.0</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 of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17"/>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461.7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356.9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672.2</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276.4</w:t>
            </w:r>
          </w:p>
        </w:tc>
      </w:tr>
      <w:tr>
        <w:trPr>
          <w:trHeight w:val="244"/>
        </w:trPr>
        <w:tc>
          <w:tcPr>
            <w:tcW w:w="3540" w:type="dxa"/>
            <w:vAlign w:val="bottom"/>
          </w:tcPr>
          <w:p>
            <w:pPr>
              <w:ind w:left="200"/>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8"/>
                <w:szCs w:val="18"/>
                <w:color w:val="auto"/>
              </w:rPr>
              <w:t>’</w:t>
            </w:r>
            <w:r>
              <w:rPr>
                <w:rFonts w:ascii="Arial" w:cs="Arial" w:eastAsia="Arial" w:hAnsi="Arial"/>
                <w:sz w:val="16"/>
                <w:szCs w:val="16"/>
                <w:color w:val="auto"/>
              </w:rPr>
              <w:t xml:space="preserve">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738.1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826.9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113.7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(730.1)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948.6</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79"/>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October 1, 2017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86.7</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109.5</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196.2</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87.3</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139.9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148.1</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40.8</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w w:val="93"/>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Interest income (expense),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r>
      <w:tr>
        <w:trPr>
          <w:trHeight w:val="217"/>
        </w:trPr>
        <w:tc>
          <w:tcPr>
            <w:tcW w:w="3540" w:type="dxa"/>
            <w:vAlign w:val="bottom"/>
          </w:tcPr>
          <w:p>
            <w:pPr>
              <w:ind w:left="24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5"/>
              </w:rPr>
              <w:t>Provision (benefit) for income taxes from continuing</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Loss from discontinued operations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3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 September 25, 2016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Parent Company</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Eliminations</w:t>
            </w:r>
          </w:p>
        </w:tc>
        <w:tc>
          <w:tcPr>
            <w:tcW w:w="200" w:type="dxa"/>
            <w:vAlign w:val="bottom"/>
          </w:tcPr>
          <w:p>
            <w:pPr>
              <w:spacing w:after="0"/>
              <w:rPr>
                <w:sz w:val="18"/>
                <w:szCs w:val="18"/>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84.3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78.2</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165.4</w:t>
            </w: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74.8</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rPr>
              <w:t>Total costs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139.5</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35.7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 expenses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17"/>
        </w:trPr>
        <w:tc>
          <w:tcPr>
            <w:tcW w:w="3540" w:type="dxa"/>
            <w:vAlign w:val="bottom"/>
          </w:tcPr>
          <w:p>
            <w:pPr>
              <w:ind w:left="120"/>
              <w:spacing w:after="0"/>
              <w:rPr>
                <w:sz w:val="20"/>
                <w:szCs w:val="20"/>
                <w:color w:val="auto"/>
              </w:rPr>
            </w:pPr>
            <w:r>
              <w:rPr>
                <w:rFonts w:ascii="Arial" w:cs="Arial" w:eastAsia="Arial" w:hAnsi="Arial"/>
                <w:sz w:val="16"/>
                <w:szCs w:val="16"/>
                <w:color w:val="auto"/>
                <w:w w:val="93"/>
              </w:rPr>
              <w:t>Operating income (loss) from continuing operations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17"/>
        </w:trPr>
        <w:tc>
          <w:tcPr>
            <w:tcW w:w="3540" w:type="dxa"/>
            <w:vAlign w:val="bottom"/>
          </w:tcPr>
          <w:p>
            <w:pPr>
              <w:ind w:left="240"/>
              <w:spacing w:after="0"/>
              <w:rPr>
                <w:sz w:val="20"/>
                <w:szCs w:val="20"/>
                <w:color w:val="auto"/>
              </w:rPr>
            </w:pPr>
            <w:r>
              <w:rPr>
                <w:rFonts w:ascii="Arial" w:cs="Arial" w:eastAsia="Arial" w:hAnsi="Arial"/>
                <w:sz w:val="16"/>
                <w:szCs w:val="16"/>
                <w:color w:val="auto"/>
              </w:rPr>
              <w:t>Total other income (expense), net</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 before</w:t>
            </w: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(21.6)</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Provision for income taxes from continuing</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operations</w:t>
            </w: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continuing operations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Loss from discontinued operations</w:t>
            </w:r>
          </w:p>
        </w:tc>
        <w:tc>
          <w:tcPr>
            <w:tcW w:w="14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net income (loss) of subsidiaries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3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w:t>
            </w:r>
          </w:p>
        </w:tc>
      </w:tr>
      <w:tr>
        <w:trPr>
          <w:trHeight w:val="237"/>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October 1, 2017</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Parent Company</w:t>
            </w: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Eliminations</w:t>
            </w: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33"/>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tcPr>
          <w:p>
            <w:pPr>
              <w:ind w:left="1080"/>
              <w:spacing w:after="0"/>
              <w:rPr>
                <w:sz w:val="20"/>
                <w:szCs w:val="20"/>
                <w:color w:val="auto"/>
              </w:rPr>
            </w:pPr>
            <w:r>
              <w:rPr>
                <w:rFonts w:ascii="Arial" w:cs="Arial" w:eastAsia="Arial" w:hAnsi="Arial"/>
                <w:sz w:val="16"/>
                <w:szCs w:val="16"/>
                <w:color w:val="auto"/>
              </w:rPr>
              <w:t>—   $</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253.5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gridSpan w:val="3"/>
          </w:tcPr>
          <w:p>
            <w:pPr>
              <w:ind w:left="980"/>
              <w:spacing w:after="0"/>
              <w:rPr>
                <w:sz w:val="20"/>
                <w:szCs w:val="20"/>
                <w:color w:val="auto"/>
              </w:rPr>
            </w:pPr>
            <w:r>
              <w:rPr>
                <w:rFonts w:ascii="Arial" w:cs="Arial" w:eastAsia="Arial" w:hAnsi="Arial"/>
                <w:sz w:val="16"/>
                <w:szCs w:val="16"/>
                <w:color w:val="auto"/>
              </w:rPr>
              <w:t>—   $</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263.3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286.4</w:t>
            </w:r>
          </w:p>
        </w:tc>
        <w:tc>
          <w:tcPr>
            <w:tcW w:w="0" w:type="dxa"/>
            <w:vAlign w:val="bottom"/>
          </w:tcPr>
          <w:p>
            <w:pPr>
              <w:spacing w:after="0"/>
              <w:rPr>
                <w:sz w:val="1"/>
                <w:szCs w:val="1"/>
                <w:color w:val="auto"/>
              </w:rPr>
            </w:pP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510.1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549.7</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189.6</w:t>
            </w:r>
          </w:p>
        </w:tc>
        <w:tc>
          <w:tcPr>
            <w:tcW w:w="0" w:type="dxa"/>
            <w:vAlign w:val="bottom"/>
          </w:tcPr>
          <w:p>
            <w:pPr>
              <w:spacing w:after="0"/>
              <w:rPr>
                <w:sz w:val="1"/>
                <w:szCs w:val="1"/>
                <w:color w:val="auto"/>
              </w:rPr>
            </w:pPr>
          </w:p>
        </w:tc>
      </w:tr>
      <w:tr>
        <w:trPr>
          <w:trHeight w:val="33"/>
        </w:trPr>
        <w:tc>
          <w:tcPr>
            <w:tcW w:w="3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6"/>
          <w:szCs w:val="16"/>
          <w:color w:val="auto"/>
        </w:rPr>
        <w:t>Cost of product sales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costs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and administrative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 expenses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Operating income (loss)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income (expense),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Loss on extinguishment of debt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other income (expense), net</w:t>
      </w:r>
    </w:p>
    <w:p>
      <w:pPr>
        <w:spacing w:after="0" w:line="86" w:lineRule="exact"/>
        <w:rPr>
          <w:sz w:val="20"/>
          <w:szCs w:val="20"/>
          <w:color w:val="auto"/>
        </w:rPr>
      </w:pPr>
    </w:p>
    <w:p>
      <w:pPr>
        <w:ind w:left="40" w:right="300"/>
        <w:spacing w:after="0" w:line="293" w:lineRule="auto"/>
        <w:rPr>
          <w:sz w:val="20"/>
          <w:szCs w:val="20"/>
          <w:color w:val="auto"/>
        </w:rPr>
      </w:pPr>
      <w:r>
        <w:rPr>
          <w:rFonts w:ascii="Arial" w:cs="Arial" w:eastAsia="Arial" w:hAnsi="Arial"/>
          <w:sz w:val="16"/>
          <w:szCs w:val="16"/>
          <w:color w:val="auto"/>
        </w:rPr>
        <w:t>Income (loss) from continuing operations before income taxes</w:t>
      </w:r>
    </w:p>
    <w:p>
      <w:pPr>
        <w:spacing w:after="0" w:line="10" w:lineRule="exact"/>
        <w:rPr>
          <w:sz w:val="20"/>
          <w:szCs w:val="20"/>
          <w:color w:val="auto"/>
        </w:rPr>
      </w:pPr>
    </w:p>
    <w:p>
      <w:pPr>
        <w:ind w:left="40" w:right="620"/>
        <w:spacing w:after="0" w:line="293" w:lineRule="auto"/>
        <w:rPr>
          <w:sz w:val="20"/>
          <w:szCs w:val="20"/>
          <w:color w:val="auto"/>
        </w:rPr>
      </w:pPr>
      <w:r>
        <w:rPr>
          <w:rFonts w:ascii="Arial" w:cs="Arial" w:eastAsia="Arial" w:hAnsi="Arial"/>
          <w:sz w:val="16"/>
          <w:szCs w:val="16"/>
          <w:color w:val="auto"/>
        </w:rPr>
        <w:t>Provision for income taxes from continuing operations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continuing operations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Loss from discontinued operations</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Equity in net income (loss) of subsidiaries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197.2</w:t>
            </w:r>
          </w:p>
        </w:tc>
        <w:tc>
          <w:tcPr>
            <w:tcW w:w="120" w:type="dxa"/>
            <w:vAlign w:val="bottom"/>
          </w:tcPr>
          <w:p>
            <w:pPr>
              <w:spacing w:after="0"/>
              <w:rPr>
                <w:sz w:val="17"/>
                <w:szCs w:val="17"/>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7"/>
                <w:szCs w:val="17"/>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219.5</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379.5</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409.1</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130.6</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140.6</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3"/>
                <w:szCs w:val="23"/>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23"/>
                <w:szCs w:val="23"/>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120.5</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3"/>
                <w:szCs w:val="23"/>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12.7</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7.4</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501"/>
        </w:trPr>
        <w:tc>
          <w:tcPr>
            <w:tcW w:w="1500" w:type="dxa"/>
            <w:vAlign w:val="bottom"/>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76"/>
        </w:trPr>
        <w:tc>
          <w:tcPr>
            <w:tcW w:w="15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64"/>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2"/>
                <w:szCs w:val="22"/>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(24.2)</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406"/>
        </w:trPr>
        <w:tc>
          <w:tcPr>
            <w:tcW w:w="150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459"/>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4"/>
                <w:szCs w:val="24"/>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3"/>
                <w:szCs w:val="23"/>
                <w:color w:val="auto"/>
              </w:rPr>
            </w:pPr>
          </w:p>
        </w:tc>
        <w:tc>
          <w:tcPr>
            <w:tcW w:w="1500" w:type="dxa"/>
            <w:vAlign w:val="bottom"/>
          </w:tcPr>
          <w:p>
            <w:pPr>
              <w:jc w:val="right"/>
              <w:ind w:right="38"/>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-2799715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-2456815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-2113915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-1762125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-1419225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-1076325</wp:posOffset>
            </wp:positionV>
            <wp:extent cx="724662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-492760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-149860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3" w:lineRule="exact"/>
        <w:rPr>
          <w:sz w:val="20"/>
          <w:szCs w:val="20"/>
          <w:color w:val="auto"/>
        </w:rPr>
      </w:pPr>
    </w:p>
    <w:p>
      <w:pPr>
        <w:sectPr>
          <w:pgSz w:w="11900" w:h="16838" w:orient="portrait"/>
          <w:cols w:equalWidth="0" w:num="2">
            <w:col w:w="3480" w:space="60"/>
            <w:col w:w="78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540" w:type="dxa"/>
            <w:vAlign w:val="bottom"/>
          </w:tcPr>
          <w:p>
            <w:pPr>
              <w:ind w:left="380"/>
              <w:spacing w:after="0"/>
              <w:rPr>
                <w:sz w:val="20"/>
                <w:szCs w:val="20"/>
                <w:color w:val="auto"/>
              </w:rPr>
            </w:pPr>
            <w:r>
              <w:rPr>
                <w:rFonts w:ascii="Arial" w:cs="Arial" w:eastAsia="Arial" w:hAnsi="Arial"/>
                <w:sz w:val="16"/>
                <w:szCs w:val="16"/>
                <w:color w:val="auto"/>
              </w:rPr>
              <w:t>Net income (loss)</w:t>
            </w:r>
          </w:p>
        </w:tc>
        <w:tc>
          <w:tcPr>
            <w:tcW w:w="58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62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(20.5)</w:t>
            </w:r>
          </w:p>
        </w:tc>
      </w:tr>
      <w:tr>
        <w:trPr>
          <w:trHeight w:val="73"/>
        </w:trPr>
        <w:tc>
          <w:tcPr>
            <w:tcW w:w="354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r>
      <w:tr>
        <w:trPr>
          <w:trHeight w:val="242"/>
        </w:trPr>
        <w:tc>
          <w:tcPr>
            <w:tcW w:w="3540" w:type="dxa"/>
            <w:vAlign w:val="bottom"/>
            <w:tcBorders>
              <w:bottom w:val="single" w:sz="8" w:color="CCEEFF"/>
            </w:tcBorders>
            <w:shd w:val="clear" w:color="auto" w:fill="CCEEFF"/>
          </w:tcPr>
          <w:p>
            <w:pPr>
              <w:ind w:left="380"/>
              <w:spacing w:after="0" w:line="177" w:lineRule="exact"/>
              <w:rPr>
                <w:sz w:val="20"/>
                <w:szCs w:val="20"/>
                <w:color w:val="auto"/>
              </w:rPr>
            </w:pPr>
            <w:r>
              <w:rPr>
                <w:rFonts w:ascii="Arial" w:cs="Arial" w:eastAsia="Arial" w:hAnsi="Arial"/>
                <w:sz w:val="16"/>
                <w:szCs w:val="16"/>
                <w:color w:val="auto"/>
              </w:rPr>
              <w:t>Comprehensive income (loss)</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Operations and Comprehensive Income (Loss)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25, 2016</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Subsidiary</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6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Non-Guarantors on</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ind w:left="20"/>
              <w:spacing w:after="0"/>
              <w:rPr>
                <w:sz w:val="20"/>
                <w:szCs w:val="20"/>
                <w:color w:val="auto"/>
              </w:rPr>
            </w:pPr>
            <w:r>
              <w:rPr>
                <w:rFonts w:ascii="Arial" w:cs="Arial" w:eastAsia="Arial" w:hAnsi="Arial"/>
                <w:sz w:val="16"/>
                <w:szCs w:val="16"/>
                <w:b w:val="1"/>
                <w:bCs w:val="1"/>
                <w:color w:val="auto"/>
              </w:rPr>
              <w:t>Parent Company</w:t>
            </w: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a Combined Basis</w:t>
            </w:r>
          </w:p>
        </w:tc>
        <w:tc>
          <w:tcPr>
            <w:tcW w:w="200" w:type="dxa"/>
            <w:vAlign w:val="bottom"/>
          </w:tcPr>
          <w:p>
            <w:pPr>
              <w:spacing w:after="0"/>
              <w:rPr>
                <w:sz w:val="18"/>
                <w:szCs w:val="18"/>
                <w:color w:val="auto"/>
              </w:rPr>
            </w:pPr>
          </w:p>
        </w:tc>
        <w:tc>
          <w:tcPr>
            <w:tcW w:w="1560" w:type="dxa"/>
            <w:vAlign w:val="bottom"/>
            <w:gridSpan w:val="3"/>
          </w:tcPr>
          <w:p>
            <w:pPr>
              <w:ind w:left="80"/>
              <w:spacing w:after="0"/>
              <w:rPr>
                <w:sz w:val="20"/>
                <w:szCs w:val="20"/>
                <w:color w:val="auto"/>
              </w:rPr>
            </w:pPr>
            <w:r>
              <w:rPr>
                <w:rFonts w:ascii="Arial" w:cs="Arial" w:eastAsia="Arial" w:hAnsi="Arial"/>
                <w:sz w:val="16"/>
                <w:szCs w:val="16"/>
                <w:b w:val="1"/>
                <w:bCs w:val="1"/>
                <w:color w:val="auto"/>
              </w:rPr>
              <w:t>Eliminations</w:t>
            </w: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Consolidated</w:t>
            </w:r>
          </w:p>
        </w:tc>
        <w:tc>
          <w:tcPr>
            <w:tcW w:w="0" w:type="dxa"/>
            <w:vAlign w:val="bottom"/>
          </w:tcPr>
          <w:p>
            <w:pPr>
              <w:spacing w:after="0"/>
              <w:rPr>
                <w:sz w:val="1"/>
                <w:szCs w:val="1"/>
                <w:color w:val="auto"/>
              </w:rPr>
            </w:pPr>
          </w:p>
        </w:tc>
      </w:tr>
      <w:tr>
        <w:trPr>
          <w:trHeight w:val="33"/>
        </w:trPr>
        <w:tc>
          <w:tcPr>
            <w:tcW w:w="3540" w:type="dxa"/>
            <w:vAlign w:val="bottom"/>
            <w:vMerge w:val="restart"/>
          </w:tcPr>
          <w:p>
            <w:pPr>
              <w:ind w:left="40"/>
              <w:spacing w:after="0"/>
              <w:rPr>
                <w:sz w:val="20"/>
                <w:szCs w:val="20"/>
                <w:color w:val="auto"/>
              </w:rPr>
            </w:pPr>
            <w:r>
              <w:rPr>
                <w:rFonts w:ascii="Arial" w:cs="Arial" w:eastAsia="Arial" w:hAnsi="Arial"/>
                <w:sz w:val="16"/>
                <w:szCs w:val="16"/>
                <w:color w:val="auto"/>
              </w:rPr>
              <w:t>Service revenues</w:t>
            </w: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3"/>
          </w:tcPr>
          <w:p>
            <w:pPr>
              <w:ind w:left="1080"/>
              <w:spacing w:after="0"/>
              <w:rPr>
                <w:sz w:val="20"/>
                <w:szCs w:val="20"/>
                <w:color w:val="auto"/>
              </w:rPr>
            </w:pPr>
            <w:r>
              <w:rPr>
                <w:rFonts w:ascii="Arial" w:cs="Arial" w:eastAsia="Arial" w:hAnsi="Arial"/>
                <w:sz w:val="16"/>
                <w:szCs w:val="16"/>
                <w:color w:val="auto"/>
              </w:rPr>
              <w:t>—   $</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244.0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gridSpan w:val="3"/>
          </w:tcPr>
          <w:p>
            <w:pPr>
              <w:ind w:left="980"/>
              <w:spacing w:after="0"/>
              <w:rPr>
                <w:sz w:val="20"/>
                <w:szCs w:val="20"/>
                <w:color w:val="auto"/>
              </w:rPr>
            </w:pPr>
            <w:r>
              <w:rPr>
                <w:rFonts w:ascii="Arial" w:cs="Arial" w:eastAsia="Arial" w:hAnsi="Arial"/>
                <w:sz w:val="16"/>
                <w:szCs w:val="16"/>
                <w:color w:val="auto"/>
              </w:rPr>
              <w:t>—   $</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258.0</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228.6</w:t>
            </w:r>
          </w:p>
        </w:tc>
        <w:tc>
          <w:tcPr>
            <w:tcW w:w="0" w:type="dxa"/>
            <w:vAlign w:val="bottom"/>
          </w:tcPr>
          <w:p>
            <w:pPr>
              <w:spacing w:after="0"/>
              <w:rPr>
                <w:sz w:val="1"/>
                <w:szCs w:val="1"/>
                <w:color w:val="auto"/>
              </w:rPr>
            </w:pPr>
          </w:p>
        </w:tc>
      </w:tr>
      <w:tr>
        <w:trPr>
          <w:trHeight w:val="217"/>
        </w:trPr>
        <w:tc>
          <w:tcPr>
            <w:tcW w:w="3540" w:type="dxa"/>
            <w:vAlign w:val="bottom"/>
          </w:tcPr>
          <w:p>
            <w:pPr>
              <w:ind w:left="380"/>
              <w:spacing w:after="0"/>
              <w:rPr>
                <w:sz w:val="20"/>
                <w:szCs w:val="20"/>
                <w:color w:val="auto"/>
              </w:rPr>
            </w:pPr>
            <w:r>
              <w:rPr>
                <w:rFonts w:ascii="Arial" w:cs="Arial" w:eastAsia="Arial" w:hAnsi="Arial"/>
                <w:sz w:val="16"/>
                <w:szCs w:val="16"/>
                <w:color w:val="auto"/>
              </w:rPr>
              <w:t>Total revenues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439.8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486.6</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service revenues</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189.4</w:t>
            </w:r>
          </w:p>
        </w:tc>
        <w:tc>
          <w:tcPr>
            <w:tcW w:w="0" w:type="dxa"/>
            <w:vAlign w:val="bottom"/>
          </w:tcPr>
          <w:p>
            <w:pPr>
              <w:spacing w:after="0"/>
              <w:rPr>
                <w:sz w:val="1"/>
                <w:szCs w:val="1"/>
                <w:color w:val="auto"/>
              </w:rPr>
            </w:pPr>
          </w:p>
        </w:tc>
      </w:tr>
      <w:tr>
        <w:trPr>
          <w:trHeight w:val="33"/>
        </w:trPr>
        <w:tc>
          <w:tcPr>
            <w:tcW w:w="35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420"/>
          </w:cols>
          <w:pgMar w:left="240" w:top="125" w:right="239" w:bottom="1440" w:gutter="0" w:footer="0" w:header="0"/>
        </w:sectPr>
      </w:pPr>
    </w:p>
    <w:p>
      <w:pPr>
        <w:ind w:left="40"/>
        <w:spacing w:after="0"/>
        <w:rPr>
          <w:sz w:val="20"/>
          <w:szCs w:val="20"/>
          <w:color w:val="auto"/>
        </w:rPr>
      </w:pPr>
      <w:r>
        <w:rPr>
          <w:rFonts w:ascii="Arial" w:cs="Arial" w:eastAsia="Arial" w:hAnsi="Arial"/>
          <w:sz w:val="16"/>
          <w:szCs w:val="16"/>
          <w:color w:val="auto"/>
        </w:rPr>
        <w:t>Cost of product sales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costs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Gross profit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and administrative expenses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Research and development expenses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Operating income (loss) from continuing operations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income (expense):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expense,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income (expense), net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other income (expense), net</w:t>
      </w:r>
    </w:p>
    <w:p>
      <w:pPr>
        <w:spacing w:after="0" w:line="86" w:lineRule="exact"/>
        <w:rPr>
          <w:sz w:val="20"/>
          <w:szCs w:val="20"/>
          <w:color w:val="auto"/>
        </w:rPr>
      </w:pPr>
    </w:p>
    <w:p>
      <w:pPr>
        <w:ind w:left="40" w:right="300"/>
        <w:spacing w:after="0" w:line="293" w:lineRule="auto"/>
        <w:rPr>
          <w:sz w:val="20"/>
          <w:szCs w:val="20"/>
          <w:color w:val="auto"/>
        </w:rPr>
      </w:pPr>
      <w:r>
        <w:rPr>
          <w:rFonts w:ascii="Arial" w:cs="Arial" w:eastAsia="Arial" w:hAnsi="Arial"/>
          <w:sz w:val="16"/>
          <w:szCs w:val="16"/>
          <w:color w:val="auto"/>
        </w:rPr>
        <w:t>Income (loss) from continuing operations before income taxes</w:t>
      </w:r>
    </w:p>
    <w:p>
      <w:pPr>
        <w:spacing w:after="0" w:line="10" w:lineRule="exact"/>
        <w:rPr>
          <w:sz w:val="20"/>
          <w:szCs w:val="20"/>
          <w:color w:val="auto"/>
        </w:rPr>
      </w:pPr>
    </w:p>
    <w:p>
      <w:pPr>
        <w:ind w:left="40" w:right="620"/>
        <w:spacing w:after="0" w:line="293" w:lineRule="auto"/>
        <w:rPr>
          <w:sz w:val="20"/>
          <w:szCs w:val="20"/>
          <w:color w:val="auto"/>
        </w:rPr>
      </w:pPr>
      <w:r>
        <w:rPr>
          <w:rFonts w:ascii="Arial" w:cs="Arial" w:eastAsia="Arial" w:hAnsi="Arial"/>
          <w:sz w:val="16"/>
          <w:szCs w:val="16"/>
          <w:color w:val="auto"/>
        </w:rPr>
        <w:t>Provision for income taxes from continuing operations</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Income (loss) from continuing operations</w:t>
      </w:r>
    </w:p>
    <w:p>
      <w:pPr>
        <w:spacing w:after="0" w:line="86" w:lineRule="exact"/>
        <w:rPr>
          <w:sz w:val="20"/>
          <w:szCs w:val="20"/>
          <w:color w:val="auto"/>
        </w:rPr>
      </w:pPr>
    </w:p>
    <w:p>
      <w:pPr>
        <w:ind w:left="40" w:right="700"/>
        <w:spacing w:after="0" w:line="389" w:lineRule="auto"/>
        <w:rPr>
          <w:sz w:val="20"/>
          <w:szCs w:val="20"/>
          <w:color w:val="auto"/>
        </w:rPr>
      </w:pPr>
      <w:r>
        <w:rPr>
          <w:rFonts w:ascii="Arial" w:cs="Arial" w:eastAsia="Arial" w:hAnsi="Arial"/>
          <w:sz w:val="14"/>
          <w:szCs w:val="14"/>
          <w:color w:val="auto"/>
        </w:rPr>
        <w:t>Loss from discontinued operations Equity in net income (loss) of subsidiaries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165.9</w:t>
            </w:r>
          </w:p>
        </w:tc>
        <w:tc>
          <w:tcPr>
            <w:tcW w:w="120" w:type="dxa"/>
            <w:vAlign w:val="bottom"/>
          </w:tcPr>
          <w:p>
            <w:pPr>
              <w:spacing w:after="0"/>
              <w:rPr>
                <w:sz w:val="17"/>
                <w:szCs w:val="17"/>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7"/>
                <w:szCs w:val="17"/>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190.2</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345.5</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39.7</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379.6</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107.0</w:t>
            </w:r>
          </w:p>
        </w:tc>
      </w:tr>
      <w:tr>
        <w:trPr>
          <w:trHeight w:val="270"/>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109.1</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120.1</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10.1</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(23.2)</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501"/>
        </w:trPr>
        <w:tc>
          <w:tcPr>
            <w:tcW w:w="1500" w:type="dxa"/>
            <w:vAlign w:val="bottom"/>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4"/>
                <w:szCs w:val="24"/>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(26.1)</w:t>
            </w:r>
          </w:p>
        </w:tc>
      </w:tr>
      <w:tr>
        <w:trPr>
          <w:trHeight w:val="270"/>
        </w:trPr>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406"/>
        </w:trPr>
        <w:tc>
          <w:tcPr>
            <w:tcW w:w="150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459"/>
        </w:trPr>
        <w:tc>
          <w:tcPr>
            <w:tcW w:w="150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4"/>
                <w:szCs w:val="24"/>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7.3</w:t>
            </w:r>
          </w:p>
        </w:tc>
      </w:tr>
      <w:tr>
        <w:trPr>
          <w:trHeight w:val="33"/>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1500" w:type="dxa"/>
            <w:vAlign w:val="bottom"/>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(56.0)</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270"/>
        </w:trPr>
        <w:tc>
          <w:tcPr>
            <w:tcW w:w="1500" w:type="dxa"/>
            <w:vAlign w:val="bottom"/>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3"/>
                <w:szCs w:val="23"/>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3"/>
                <w:szCs w:val="23"/>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23"/>
                <w:szCs w:val="23"/>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-2628265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-2285365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-1942465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-1590675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-1247775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-784225</wp:posOffset>
            </wp:positionV>
            <wp:extent cx="724662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-321310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3480" w:space="60"/>
            <w:col w:w="788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354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(loss)</w:t>
            </w:r>
          </w:p>
        </w:tc>
        <w:tc>
          <w:tcPr>
            <w:tcW w:w="58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Comprehensive income (loss)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540" w:type="dxa"/>
            <w:vAlign w:val="bottom"/>
            <w:vMerge w:val="continue"/>
          </w:tcPr>
          <w:p>
            <w:pPr>
              <w:spacing w:after="0"/>
              <w:rPr>
                <w:sz w:val="17"/>
                <w:szCs w:val="17"/>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(56.4)</w:t>
            </w:r>
          </w:p>
        </w:tc>
        <w:tc>
          <w:tcPr>
            <w:tcW w:w="120" w:type="dxa"/>
            <w:vAlign w:val="bottom"/>
          </w:tcPr>
          <w:p>
            <w:pPr>
              <w:spacing w:after="0"/>
              <w:rPr>
                <w:sz w:val="17"/>
                <w:szCs w:val="17"/>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17"/>
                <w:szCs w:val="17"/>
                <w:color w:val="auto"/>
              </w:rPr>
            </w:pPr>
          </w:p>
        </w:tc>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7"/>
                <w:szCs w:val="17"/>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October 1, 2017</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Non-Guarantors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120" w:type="dxa"/>
            <w:vAlign w:val="bottom"/>
          </w:tcPr>
          <w:p>
            <w:pPr>
              <w:spacing w:after="0"/>
              <w:rPr>
                <w:sz w:val="18"/>
                <w:szCs w:val="18"/>
                <w:color w:val="auto"/>
              </w:rPr>
            </w:pPr>
          </w:p>
        </w:tc>
        <w:tc>
          <w:tcPr>
            <w:tcW w:w="15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Parent Company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acquisitions, net of cash acquired</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Investment in affiliated companies</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 in restricted cash</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Capital expenditures</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investing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Extinguishment of long-term debt</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5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the issuance of common stock</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268.0</w:t>
            </w:r>
          </w:p>
        </w:tc>
      </w:tr>
      <w:tr>
        <w:trPr>
          <w:trHeight w:val="220"/>
        </w:trPr>
        <w:tc>
          <w:tcPr>
            <w:tcW w:w="4120" w:type="dxa"/>
            <w:vAlign w:val="bottom"/>
          </w:tcPr>
          <w:p>
            <w:pPr>
              <w:ind w:left="180"/>
              <w:spacing w:after="0"/>
              <w:rPr>
                <w:sz w:val="20"/>
                <w:szCs w:val="20"/>
                <w:color w:val="auto"/>
              </w:rPr>
            </w:pPr>
            <w:r>
              <w:rPr>
                <w:rFonts w:ascii="Arial" w:cs="Arial" w:eastAsia="Arial" w:hAnsi="Arial"/>
                <w:sz w:val="16"/>
                <w:szCs w:val="16"/>
                <w:color w:val="auto"/>
                <w:w w:val="97"/>
              </w:rPr>
              <w:t>Proceeds from the sale of employee stock purchase plan</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6"/>
                <w:szCs w:val="16"/>
                <w:color w:val="auto"/>
              </w:rPr>
              <w:t>shares</w:t>
            </w:r>
          </w:p>
        </w:tc>
        <w:tc>
          <w:tcPr>
            <w:tcW w:w="5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Financings from affiliated companies</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0"/>
        </w:trPr>
        <w:tc>
          <w:tcPr>
            <w:tcW w:w="4120" w:type="dxa"/>
            <w:vAlign w:val="bottom"/>
          </w:tcPr>
          <w:p>
            <w:pPr>
              <w:ind w:left="40"/>
              <w:spacing w:after="0"/>
              <w:rPr>
                <w:sz w:val="20"/>
                <w:szCs w:val="20"/>
                <w:color w:val="auto"/>
              </w:rPr>
            </w:pPr>
            <w:r>
              <w:rPr>
                <w:rFonts w:ascii="Arial" w:cs="Arial" w:eastAsia="Arial" w:hAnsi="Arial"/>
                <w:sz w:val="16"/>
                <w:szCs w:val="16"/>
                <w:color w:val="auto"/>
              </w:rPr>
              <w:t>Net cash provided by (used in) financing activities from</w:t>
            </w:r>
          </w:p>
        </w:tc>
        <w:tc>
          <w:tcPr>
            <w:tcW w:w="5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Pr>
          <w:p>
            <w:pPr>
              <w:spacing w:after="0"/>
              <w:rPr>
                <w:sz w:val="17"/>
                <w:szCs w:val="17"/>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204.7</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170.1</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Net operating cash flows from discontinued operations</w:t>
            </w:r>
          </w:p>
        </w:tc>
        <w:tc>
          <w:tcPr>
            <w:tcW w:w="5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investing cash flows from discontinued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w w:val="91"/>
              </w:rPr>
              <w:t>Effect of exchange rate changes on cash and cash equivalents</w:t>
            </w:r>
          </w:p>
        </w:tc>
        <w:tc>
          <w:tcPr>
            <w:tcW w:w="5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0.6</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165.8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170.1</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Nine Months Ended September 25, 2016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Subsidiary</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Non-Guarantors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Guarantors on a</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on a Combined</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0"/>
        </w:trPr>
        <w:tc>
          <w:tcPr>
            <w:tcW w:w="4120" w:type="dxa"/>
            <w:vAlign w:val="bottom"/>
          </w:tcPr>
          <w:p>
            <w:pPr>
              <w:spacing w:after="0"/>
              <w:rPr>
                <w:sz w:val="18"/>
                <w:szCs w:val="18"/>
                <w:color w:val="auto"/>
              </w:rPr>
            </w:pPr>
          </w:p>
        </w:tc>
        <w:tc>
          <w:tcPr>
            <w:tcW w:w="1520" w:type="dxa"/>
            <w:vAlign w:val="bottom"/>
            <w:gridSpan w:val="3"/>
          </w:tcPr>
          <w:p>
            <w:pPr>
              <w:ind w:left="120"/>
              <w:spacing w:after="0"/>
              <w:rPr>
                <w:sz w:val="20"/>
                <w:szCs w:val="20"/>
                <w:color w:val="auto"/>
              </w:rPr>
            </w:pPr>
            <w:r>
              <w:rPr>
                <w:rFonts w:ascii="Arial" w:cs="Arial" w:eastAsia="Arial" w:hAnsi="Arial"/>
                <w:sz w:val="16"/>
                <w:szCs w:val="16"/>
                <w:b w:val="1"/>
                <w:bCs w:val="1"/>
                <w:color w:val="auto"/>
              </w:rPr>
              <w:t>Parent Company</w:t>
            </w:r>
          </w:p>
        </w:tc>
        <w:tc>
          <w:tcPr>
            <w:tcW w:w="12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Combined Basis</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Basis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80" w:type="dxa"/>
            <w:vAlign w:val="bottom"/>
          </w:tcPr>
          <w:p>
            <w:pPr>
              <w:spacing w:after="0"/>
              <w:rPr>
                <w:sz w:val="18"/>
                <w:szCs w:val="18"/>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31"/>
        </w:trPr>
        <w:tc>
          <w:tcPr>
            <w:tcW w:w="412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affiliated companies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Change in restricted cash</w:t>
            </w:r>
          </w:p>
        </w:tc>
        <w:tc>
          <w:tcPr>
            <w:tcW w:w="5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Capital expenditures</w:t>
            </w: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00"/>
        </w:trPr>
        <w:tc>
          <w:tcPr>
            <w:tcW w:w="412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 from</w:t>
            </w:r>
          </w:p>
        </w:tc>
        <w:tc>
          <w:tcPr>
            <w:tcW w:w="5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06"/>
        </w:trPr>
        <w:tc>
          <w:tcPr>
            <w:tcW w:w="4120" w:type="dxa"/>
            <w:vAlign w:val="bottom"/>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Repayment of debt</w:t>
            </w:r>
          </w:p>
        </w:tc>
        <w:tc>
          <w:tcPr>
            <w:tcW w:w="5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0"/>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Proceeds from the sale of employee stock purchase plan</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w:t>
            </w:r>
          </w:p>
        </w:tc>
        <w:tc>
          <w:tcPr>
            <w:tcW w:w="5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37"/>
        </w:trPr>
        <w:tc>
          <w:tcPr>
            <w:tcW w:w="4120" w:type="dxa"/>
            <w:vAlign w:val="bottom"/>
          </w:tcPr>
          <w:p>
            <w:pPr>
              <w:ind w:left="180"/>
              <w:spacing w:after="0"/>
              <w:rPr>
                <w:sz w:val="20"/>
                <w:szCs w:val="20"/>
                <w:color w:val="auto"/>
              </w:rPr>
            </w:pPr>
            <w:r>
              <w:rPr>
                <w:rFonts w:ascii="Arial" w:cs="Arial" w:eastAsia="Arial" w:hAnsi="Arial"/>
                <w:sz w:val="16"/>
                <w:szCs w:val="16"/>
                <w:color w:val="auto"/>
              </w:rPr>
              <w:t>Financing from affiliated companies</w:t>
            </w:r>
          </w:p>
        </w:tc>
        <w:tc>
          <w:tcPr>
            <w:tcW w:w="5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 from</w:t>
            </w:r>
          </w:p>
        </w:tc>
        <w:tc>
          <w:tcPr>
            <w:tcW w:w="5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continuing operations</w:t>
            </w:r>
          </w:p>
        </w:tc>
        <w:tc>
          <w:tcPr>
            <w:tcW w:w="5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17"/>
        </w:trPr>
        <w:tc>
          <w:tcPr>
            <w:tcW w:w="4120" w:type="dxa"/>
            <w:vAlign w:val="bottom"/>
          </w:tcPr>
          <w:p>
            <w:pPr>
              <w:ind w:left="40"/>
              <w:spacing w:after="0"/>
              <w:rPr>
                <w:sz w:val="20"/>
                <w:szCs w:val="20"/>
                <w:color w:val="auto"/>
              </w:rPr>
            </w:pPr>
            <w:r>
              <w:rPr>
                <w:rFonts w:ascii="Arial" w:cs="Arial" w:eastAsia="Arial" w:hAnsi="Arial"/>
                <w:sz w:val="16"/>
                <w:szCs w:val="16"/>
                <w:color w:val="auto"/>
              </w:rPr>
              <w:t>Net cash flows of continuing operations</w:t>
            </w:r>
          </w:p>
        </w:tc>
        <w:tc>
          <w:tcPr>
            <w:tcW w:w="5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(12.4)</w:t>
            </w:r>
          </w:p>
        </w:tc>
      </w:tr>
      <w:tr>
        <w:trPr>
          <w:trHeight w:val="33"/>
        </w:trPr>
        <w:tc>
          <w:tcPr>
            <w:tcW w:w="4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operating cash flows from discontinued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Net investing cash flows from discontinued operations</w:t>
            </w:r>
          </w:p>
        </w:tc>
        <w:tc>
          <w:tcPr>
            <w:tcW w:w="52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33"/>
        </w:trPr>
        <w:tc>
          <w:tcPr>
            <w:tcW w:w="4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i w:val="1"/>
          <w:iCs w:val="1"/>
          <w:color w:val="auto"/>
        </w:rPr>
        <w:t xml:space="preserve">This Quarterly Report on Form 10-Q (this “Quarterly Report”) contains “forward-looking statements” relating to our future financial performance, the market for our services and our expansion plans and opportunities.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or cutbacks in spending or the appropriation of funding by the federal government, including the U.S. Department of Defense (the </w:t>
      </w:r>
      <w:r>
        <w:rPr>
          <w:rFonts w:ascii="Arial" w:cs="Arial" w:eastAsia="Arial" w:hAnsi="Arial"/>
          <w:sz w:val="16"/>
          <w:szCs w:val="16"/>
          <w:color w:val="auto"/>
        </w:rPr>
        <w:t>“</w:t>
      </w:r>
      <w:r>
        <w:rPr>
          <w:rFonts w:ascii="Arial" w:cs="Arial" w:eastAsia="Arial" w:hAnsi="Arial"/>
          <w:sz w:val="16"/>
          <w:szCs w:val="16"/>
          <w:i w:val="1"/>
          <w:iCs w:val="1"/>
          <w:color w:val="auto"/>
        </w:rPr>
        <w:t>DoD</w:t>
      </w:r>
      <w:r>
        <w:rPr>
          <w:rFonts w:ascii="Arial" w:cs="Arial" w:eastAsia="Arial" w:hAnsi="Arial"/>
          <w:sz w:val="16"/>
          <w:szCs w:val="16"/>
          <w:color w:val="auto"/>
        </w:rPr>
        <w:t>”)</w:t>
      </w:r>
      <w:r>
        <w:rPr>
          <w:rFonts w:ascii="Arial" w:cs="Arial" w:eastAsia="Arial" w:hAnsi="Arial"/>
          <w:sz w:val="16"/>
          <w:szCs w:val="16"/>
          <w:i w:val="1"/>
          <w:iCs w:val="1"/>
          <w:color w:val="auto"/>
        </w:rPr>
        <w:t>, which could cause delays, cancellations or reductions of key government contracts; bid protests; changes in the scope or timing of our projects; the timing, rescheduling or cancellation of significant customer contracts and agreements, or consolidation by or the loss of key customers; risks of adverse regulatory action or litigation; risks associated with debt leverage and the refinancing of outstanding debt; failure to successfully achieve our integration, cost reduction or divestiture strategies; risks related to security breaches, cybersecurity attacks or other significant disruptions of our information systems; and competition in the marketplace, which could reduce revenues and profit margins, as well as the additional risks and uncertainties described in this Quarterly Report, in “Item 1A-Risk Factors” of our Annual Report on Form 10-K for the fiscal year ended December 25, 2016 filed with the U.S. Securities and Exchange Commission (the “SEC”</w:t>
      </w:r>
      <w:r>
        <w:rPr>
          <w:rFonts w:ascii="Arial" w:cs="Arial" w:eastAsia="Arial" w:hAnsi="Arial"/>
          <w:sz w:val="16"/>
          <w:szCs w:val="16"/>
          <w:color w:val="auto"/>
        </w:rPr>
        <w:t>)</w:t>
      </w:r>
      <w:r>
        <w:rPr>
          <w:rFonts w:ascii="Arial" w:cs="Arial" w:eastAsia="Arial" w:hAnsi="Arial"/>
          <w:sz w:val="16"/>
          <w:szCs w:val="16"/>
          <w:i w:val="1"/>
          <w:iCs w:val="1"/>
          <w:color w:val="auto"/>
        </w:rPr>
        <w:t xml:space="preserve"> on February 27, 2017 (the “Form 10-K”), and in other reports that we have filed with the SEC. These forward-looking statements reflect our views and assumptions only as of the date such forward-looking statements are made. Except as required by law, we assume no responsibility for updating any forward-looking statements, whether as a result of new information, future events or otherwise.</w:t>
      </w:r>
    </w:p>
    <w:p>
      <w:pPr>
        <w:spacing w:after="0" w:line="17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All references to “us,” “we,” “our,” the “Company” and “Kratos” refer to Kratos Defense &amp; Security Solutions, Inc., a Delaware corporation, and its wholly owned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are a mid-size government contractor at the forefront of the DoD’s Third Offset Strategy. We are a leading technology, intellectual property and proprietary product and solutions company focused on the U.S. and its allies’ national security. A key element of our business plan is to make Company-funded investments related to key platforms, products and systems, so that we own the related intellectual property. We are a demonstrated leader in innovation and rapidly designing, developing, demonstrating, and fielding leading technology products and systems at an affordable cost. We are an industry leader in high performance, jet powered, unmanned aerial drone target systems used to test weapon systems and to train the warfighter, and a provider of high performance unmanned combat aerial systems for force multiplication and amplification. We are also an industry leader in satellite communications, microwave electronics, cyber security/warfare, missile defense and combat and training systems. We have primarily an engineering and technically oriented work force of approximately 2,900 employees with a significant number holding national security clearances. Substantially all of our work is performed at customer locations, in a secure facility or at a critical infrastructure location. Our primary end customers are national security related agencies and homeland security related agencies. We believe that our technology, intellectual property, proprietary products and designed-in positions on our customers’ platforms and systems gives us a competitive advantage and creates a high barrier to entry into our markets. Our entire organization is focused on executing our strategy of becoming the leading technology and intellectual property based company in our industry.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is an update of events relating to the U.S. political and economic environment since the filing of our Form 10-K and subsequent filings that we have made with the SEC, including our Quarterly Reports on Form 10-Q.</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March 2017, President Trump submitted a budget proposal for fiscal year (FY) 2018 to Congress. The proposal includes funding of $639 billion for the DoD, comprising a base budget of $574 billion and Overseas Contingency Operations / Global War on Terror (OCO/GWT) funding of $65 billion. The requested FY 2018 funding level for the DoD is approximately $32 billion over the FY 2017 funding level. Congress must approve or revise the President’s FY 2018 budget proposals through enactment of appropriations bills and other policy legislation, which would then require final Presidential approval.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80" w:firstLine="648"/>
        <w:spacing w:after="0" w:line="259" w:lineRule="auto"/>
        <w:rPr>
          <w:sz w:val="20"/>
          <w:szCs w:val="20"/>
          <w:color w:val="auto"/>
        </w:rPr>
      </w:pPr>
      <w:r>
        <w:rPr>
          <w:rFonts w:ascii="Arial" w:cs="Arial" w:eastAsia="Arial" w:hAnsi="Arial"/>
          <w:sz w:val="18"/>
          <w:szCs w:val="18"/>
          <w:color w:val="auto"/>
        </w:rPr>
        <w:t>In March 2017, the debt ceiling was reached and the Treasury Department began taking “extraordinary measures” to finance the government. On September 8, 2017, the President signed a bill increasing the debt ceiling to December 8, 2017. The bill also approved $15.25 billion in relief funds for the victims of Hurricane Harvey and Hurricane Irma. It included an extension of government spending to December 8, 2017 as well. Congress must approve a new debt ceiling and create a new budget by December 8, 2017.</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September 28, 2017, the Senate Budget Committee released the FY 2018 Senate Budget Resolution. The budget proposes $3.3 trillion in net policy savings over ten years, the result of $4.9 trillion of largely unspecified spending cuts and $1.6 trillion of tax cuts, in addition to $1.4 trillion of claimed savings due to increased economic growth. The Senate's resolution keeps defense spending at the budget cap levels outlined by the Budget Control Act. It cuts non-defense spending starting in 2019, cutting it by as much as $106 billion by 2027.</w:t>
      </w:r>
    </w:p>
    <w:p>
      <w:pPr>
        <w:spacing w:after="0" w:line="187"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It is unclear whether an annual appropriations bill will be enacted for FY 2018 at the levels proposed by the President. On October 1, 2017, the government has once again begun its fiscal year operating under a continuing resolution, which is set to expire on December 8, 2017.</w:t>
      </w:r>
    </w:p>
    <w:p>
      <w:pPr>
        <w:spacing w:after="0" w:line="147"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It is unclear when or if an annual appropriations bill will be enacted for FY 2018 or at what levels. Failure to enact appropriations or an additional Continuing Resolution Authorization by December 8, 2017 could result in a government shutdown of unknown duration. If a prolonged government shutdown were to occur, it could result in program cancellations and/or stop work orders and could limit our ability to perform on our U.S. Government contracts and the U.S. Government’s ability to make timely payments.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 operates in three reportable segments: The Kratos Government Solutions (“KGS”) reportable segment is comprised of an aggregation of KGS operating segments, including our microwave electronic products, satellite communications, modular systems and defense and rocket support services operating segments. The Unmanned Systems (“US”) reportable segment consists of our unmanned aerial system and unmanned ground and seaborne system businesses. The Public Safety &amp; Security (“PSS”) reportable segment provides independent integrated solutions for advanced homeland security, public safety, critical infrastructure, and security and surveillance systems for government and commercial applications. We organize our business segments based primarily on the nature of the products, solutions and services offered. Transactions between segments are negotiated and accounted for under terms and conditions similar to other government and commercial contracts, and these intercompany transactions are eliminated in consolidation. For additional information regarding our reportable segments, see Note 8 of the Notes to Condensed Consolidated Financial Statements. From a customer and solutions perspective, we view our business as an integrated whole, leveraging skills and assets wherever possible.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There have been no changes to our key financial statement concepts for the nine months ended October 1, 2017. For a complete description of our business and a discussion of our critical accounting matters, please refer to Item 7, “Management’s Discussion and Analysis of Financial Condition and Results of Operations,” in the Form 10-K.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October 1, 2017 to the Three Months Ended September 25, 2016</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by operating segment for the three months ended October 1, 2017 and September 25, 2016 are as follows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1, 2017</w:t>
            </w:r>
          </w:p>
        </w:tc>
        <w:tc>
          <w:tcPr>
            <w:tcW w:w="12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25, 2016</w:t>
            </w:r>
          </w:p>
        </w:tc>
        <w:tc>
          <w:tcPr>
            <w:tcW w:w="300" w:type="dxa"/>
            <w:vAlign w:val="bottom"/>
          </w:tcPr>
          <w:p>
            <w:pPr>
              <w:spacing w:after="0"/>
              <w:rPr>
                <w:sz w:val="16"/>
                <w:szCs w:val="16"/>
                <w:color w:val="auto"/>
              </w:rPr>
            </w:pPr>
          </w:p>
        </w:tc>
        <w:tc>
          <w:tcPr>
            <w:tcW w:w="116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580" w:type="dxa"/>
            <w:vAlign w:val="bottom"/>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13.4 %</w:t>
            </w: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2.3 %</w:t>
            </w:r>
          </w:p>
        </w:tc>
      </w:tr>
      <w:tr>
        <w:trPr>
          <w:trHeight w:val="27"/>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 service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14.3 %</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Unmanned Systems product sales</w:t>
            </w: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23.3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127.3 %</w:t>
            </w:r>
          </w:p>
        </w:tc>
      </w:tr>
      <w:tr>
        <w:trPr>
          <w:trHeight w:val="27"/>
        </w:trPr>
        <w:tc>
          <w:tcPr>
            <w:tcW w:w="5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84"/>
        </w:trPr>
        <w:tc>
          <w:tcPr>
            <w:tcW w:w="5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service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Total product sales</w:t>
            </w: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31.3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40.0 %</w:t>
            </w:r>
          </w:p>
        </w:tc>
      </w:tr>
      <w:tr>
        <w:trPr>
          <w:trHeight w:val="27"/>
        </w:trPr>
        <w:tc>
          <w:tcPr>
            <w:tcW w:w="5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18.6 %</w:t>
            </w: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Revenues increased $30.8 million to $196.2 million for the three months ended October 1, 2017 from $165.4 million for the three months ended September 25, 2016. The increase in revenues was primarily due to increased work in our training solutions, satellite communications and microwave products businesses offset by continued contraction in our legacy government services business within our KGS segment, an increase in our PSS segment of $4.9 million due primarily to a large security system deployment for a mass transportation authority and, to a lesser degree, to a new physical access control project for a large healthcare customer. Revenues in our US segment increased due to an increase in shipments and production of certain of our unmanned aerial drone systems (“UAS”) primarily driven by the commencement of low rate initial production of our SSAT program and government funded work on certain new UAS initiatives.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Product sales increased $31.3 million to $109.5 million for the three months ended October 1, 2017 from $78.2 million for the three months ended September 25, 2016, primarily as a result of an increase in production and product shipments in our KGS segment of $8.0 million and $23.3 million in our US segment. As a percentage of total revenue, product sales were 55.8% for the three months ended October 1, 2017 as compared to 47.3% for the three months ended September 25, 2016. Service revenues decreased by $0.5 million to $86.7 million for the three months ended October 1, 2017 from $87.2 million for the three months ended September 25, 2016. The decrease was primarily related to the decrease in revenues in our KGS segment, partially offset by an increase in service revenue in our PSS segment.</w:t>
      </w:r>
    </w:p>
    <w:p>
      <w:pPr>
        <w:spacing w:after="0" w:line="193"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increased $8.6 million to $148.1 million for the three months ended October 1, 2017 from $139.5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September 25, 2016. The increase in cost of revenues was primarily a result of the revenue changes discussed above.</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Gross margin increased to 24.5% for the three months ended October 1, 2017 from 15.7% for the three months ended September 25, 2016. Margins on services increased to 29.9% for the three months ended October 1, 2017 from 25.8% for the three months ended September 25, 2016, due primarily to a more favorable mix of revenues. Margins on product sales increased to 20.3% for the three months ended October 1, 2017 from 4.3% for the three months ended September 25, 2016, due primarily to a loss accrual of $18.7 million that was recorded on the Low Cost Attritable Unmanned Aerial System Demonstration (“LCASD”) contract in our US segment during the three months ended September 25, 2016. Margins in the KGS segment decreased to 24.8% for the three months ended October 1, 2017 from 27.3% for the three months ended September 25, 2016, primarily as a result of a less favorable mix of revenues. Margins in the US segment increased to 20.4% for the three months ended October 1, 2017 from (77.6)% for the three months ended September 25, 2016, primarily due to the loss accrual on the LCASD contract recorded in the three months ended September 25, 2016. Margins in the PSS segment increased to 28.1% for the three months ended October 1, 2017 from 27.1% for the three months ended September 25, 2016, due primarily to a more favorable mix of revenues, as well as due to improved performance on certain integration projects.</w:t>
      </w:r>
    </w:p>
    <w:p>
      <w:pPr>
        <w:spacing w:after="0" w:line="178"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i w:val="1"/>
          <w:iCs w:val="1"/>
          <w:color w:val="auto"/>
        </w:rPr>
        <w:t>Selling, General and Administrative (</w:t>
      </w:r>
      <w:r>
        <w:rPr>
          <w:rFonts w:ascii="Arial" w:cs="Arial" w:eastAsia="Arial" w:hAnsi="Arial"/>
          <w:sz w:val="16"/>
          <w:szCs w:val="16"/>
          <w:color w:val="auto"/>
        </w:rPr>
        <w:t>“</w:t>
      </w:r>
      <w:r>
        <w:rPr>
          <w:rFonts w:ascii="Arial" w:cs="Arial" w:eastAsia="Arial" w:hAnsi="Arial"/>
          <w:sz w:val="16"/>
          <w:szCs w:val="16"/>
          <w:i w:val="1"/>
          <w:iCs w:val="1"/>
          <w:color w:val="auto"/>
        </w:rPr>
        <w:t>SG&amp;A</w:t>
      </w:r>
      <w:r>
        <w:rPr>
          <w:rFonts w:ascii="Arial" w:cs="Arial" w:eastAsia="Arial" w:hAnsi="Arial"/>
          <w:sz w:val="16"/>
          <w:szCs w:val="16"/>
          <w:color w:val="auto"/>
        </w:rPr>
        <w:t>”</w:t>
      </w:r>
      <w:r>
        <w:rPr>
          <w:rFonts w:ascii="Arial" w:cs="Arial" w:eastAsia="Arial" w:hAnsi="Arial"/>
          <w:sz w:val="16"/>
          <w:szCs w:val="16"/>
          <w:i w:val="1"/>
          <w:iCs w:val="1"/>
          <w:color w:val="auto"/>
        </w:rPr>
        <w:t xml:space="preserve">) Expenses. </w:t>
      </w:r>
      <w:r>
        <w:rPr>
          <w:rFonts w:ascii="Arial" w:cs="Arial" w:eastAsia="Arial" w:hAnsi="Arial"/>
          <w:sz w:val="16"/>
          <w:szCs w:val="16"/>
          <w:color w:val="auto"/>
        </w:rPr>
        <w:t>SG&amp;A expense was $40.7 million for the three months ended October 1, 2017 and $35.5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September 25, 2016. The increase was primarily driven by an increase in stock compensation expense of $1.7 million and due to the increase in revenues. As a percentage of revenues, SG&amp;A decreased slightly to 20.7% at October 1, 2017 from 21.5% at September 25, 2016.</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Research and Development (</w:t>
      </w:r>
      <w:r>
        <w:rPr>
          <w:rFonts w:ascii="Arial" w:cs="Arial" w:eastAsia="Arial" w:hAnsi="Arial"/>
          <w:sz w:val="16"/>
          <w:szCs w:val="16"/>
          <w:color w:val="auto"/>
        </w:rPr>
        <w:t>“</w:t>
      </w:r>
      <w:r>
        <w:rPr>
          <w:rFonts w:ascii="Arial" w:cs="Arial" w:eastAsia="Arial" w:hAnsi="Arial"/>
          <w:sz w:val="16"/>
          <w:szCs w:val="16"/>
          <w:i w:val="1"/>
          <w:iCs w:val="1"/>
          <w:color w:val="auto"/>
        </w:rPr>
        <w:t>R&amp;D</w:t>
      </w:r>
      <w:r>
        <w:rPr>
          <w:rFonts w:ascii="Arial" w:cs="Arial" w:eastAsia="Arial" w:hAnsi="Arial"/>
          <w:sz w:val="16"/>
          <w:szCs w:val="16"/>
          <w:color w:val="auto"/>
        </w:rPr>
        <w:t>”</w:t>
      </w:r>
      <w:r>
        <w:rPr>
          <w:rFonts w:ascii="Arial" w:cs="Arial" w:eastAsia="Arial" w:hAnsi="Arial"/>
          <w:sz w:val="16"/>
          <w:szCs w:val="16"/>
          <w:i w:val="1"/>
          <w:iCs w:val="1"/>
          <w:color w:val="auto"/>
        </w:rPr>
        <w:t xml:space="preserve">) Expenses. </w:t>
      </w:r>
      <w:r>
        <w:rPr>
          <w:rFonts w:ascii="Arial" w:cs="Arial" w:eastAsia="Arial" w:hAnsi="Arial"/>
          <w:sz w:val="16"/>
          <w:szCs w:val="16"/>
          <w:color w:val="auto"/>
        </w:rPr>
        <w:t>R&amp;D expenses were $4.2 million for the three months ended October 1, 2017 and $3.2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September 25, 2016. As a percentage of revenues, R&amp;D increased to 2.1% for the three months ended October 1, 2017 from 1.9% of revenues in the three months ended September 25, 2016. R&amp;D expenditures are primarily related to investments we are making in conjunction with our customers, with the objectives of the Company’s products being the new platform for or “designed-in” to certain new long-term program opportunities and the Company owning certain intellectual property rights for products that support these programs as well as technology upgrades and refresh activities that are necessary for the next generation of our existing product lines specifically in our technology and satellite communications business.</w:t>
      </w:r>
    </w:p>
    <w:p>
      <w:pPr>
        <w:spacing w:after="0" w:line="16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i w:val="1"/>
          <w:iCs w:val="1"/>
          <w:color w:val="auto"/>
        </w:rPr>
        <w:t xml:space="preserve">Unused Office Space, Restructuring Expenses, and Other. </w:t>
      </w:r>
      <w:r>
        <w:rPr>
          <w:rFonts w:ascii="Arial" w:cs="Arial" w:eastAsia="Arial" w:hAnsi="Arial"/>
          <w:sz w:val="16"/>
          <w:szCs w:val="16"/>
          <w:color w:val="auto"/>
        </w:rPr>
        <w:t>The expense of $0.1 million for the three months ended October 1, 2017 was primarily due</w:t>
      </w:r>
      <w:r>
        <w:rPr>
          <w:rFonts w:ascii="Arial" w:cs="Arial" w:eastAsia="Arial" w:hAnsi="Arial"/>
          <w:sz w:val="16"/>
          <w:szCs w:val="16"/>
          <w:i w:val="1"/>
          <w:iCs w:val="1"/>
          <w:color w:val="auto"/>
        </w:rPr>
        <w:t xml:space="preserve"> </w:t>
      </w:r>
      <w:r>
        <w:rPr>
          <w:rFonts w:ascii="Arial" w:cs="Arial" w:eastAsia="Arial" w:hAnsi="Arial"/>
          <w:sz w:val="16"/>
          <w:szCs w:val="16"/>
          <w:color w:val="auto"/>
        </w:rPr>
        <w:t>to employee termination costs related to personnel reduction actions taken in the third quarter of 2017. The expense of $0.2 million for the three months ended September 25, 2016 was primarily due to costs to move fixed assets and plant equipment from our closed modular systems facility.</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to $7.1 million from $8.6 million for the three months ended October 1, 2017 and September 25,</w:t>
      </w:r>
      <w:r>
        <w:rPr>
          <w:rFonts w:ascii="Arial" w:cs="Arial" w:eastAsia="Arial" w:hAnsi="Arial"/>
          <w:sz w:val="18"/>
          <w:szCs w:val="18"/>
          <w:i w:val="1"/>
          <w:iCs w:val="1"/>
          <w:color w:val="auto"/>
        </w:rPr>
        <w:t xml:space="preserve"> </w:t>
      </w:r>
      <w:r>
        <w:rPr>
          <w:rFonts w:ascii="Arial" w:cs="Arial" w:eastAsia="Arial" w:hAnsi="Arial"/>
          <w:sz w:val="18"/>
          <w:szCs w:val="18"/>
          <w:color w:val="auto"/>
        </w:rPr>
        <w:t>2016, respectively. The decrease in expense of $1.5 million is primarily related to a decrease in interest expense due to repurchases of our Notes (as defined below) that occurred in the fourth quarter of 2016 and the first quarter of 2017.</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i w:val="1"/>
          <w:iCs w:val="1"/>
          <w:color w:val="auto"/>
        </w:rPr>
        <w:t xml:space="preserve">Provision for Income Taxes from Continuing Operations. </w:t>
      </w:r>
      <w:r>
        <w:rPr>
          <w:rFonts w:ascii="Arial" w:cs="Arial" w:eastAsia="Arial" w:hAnsi="Arial"/>
          <w:sz w:val="18"/>
          <w:szCs w:val="18"/>
          <w:color w:val="auto"/>
        </w:rPr>
        <w:t>Income tax expense from continuing operations for the three months ended October 1,</w:t>
      </w:r>
      <w:r>
        <w:rPr>
          <w:rFonts w:ascii="Arial" w:cs="Arial" w:eastAsia="Arial" w:hAnsi="Arial"/>
          <w:sz w:val="18"/>
          <w:szCs w:val="18"/>
          <w:i w:val="1"/>
          <w:iCs w:val="1"/>
          <w:color w:val="auto"/>
        </w:rPr>
        <w:t xml:space="preserve"> </w:t>
      </w:r>
      <w:r>
        <w:rPr>
          <w:rFonts w:ascii="Arial" w:cs="Arial" w:eastAsia="Arial" w:hAnsi="Arial"/>
          <w:sz w:val="18"/>
          <w:szCs w:val="18"/>
          <w:color w:val="auto"/>
        </w:rPr>
        <w:t>2017 and September 25, 2016 was $0.2 million and $1.9 million, respectively. For the three months ended October 1, 2017 and September 25, 2016, the expense was primarily a function of the estimated effective tax rate for the year. The estimated effective tax rate is driven by estimated foreign taxes, estimated federal and state taxes, permanent book/tax differences, tax amortization of intangible assets that have an indefinite life under accounting principles generally accepted in the U.S. (“GAAP”) and the projected income or loss for the year.</w:t>
      </w:r>
    </w:p>
    <w:p>
      <w:pPr>
        <w:spacing w:after="0" w:line="18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Loss from Discontinued Operations. </w:t>
      </w:r>
      <w:r>
        <w:rPr>
          <w:rFonts w:ascii="Arial" w:cs="Arial" w:eastAsia="Arial" w:hAnsi="Arial"/>
          <w:sz w:val="18"/>
          <w:szCs w:val="18"/>
          <w:color w:val="auto"/>
        </w:rPr>
        <w:t>The loss from discontinued operations was $0.1 million for the three months ended October 1, 2017. The loss</w:t>
      </w:r>
      <w:r>
        <w:rPr>
          <w:rFonts w:ascii="Arial" w:cs="Arial" w:eastAsia="Arial" w:hAnsi="Arial"/>
          <w:sz w:val="18"/>
          <w:szCs w:val="18"/>
          <w:i w:val="1"/>
          <w:iCs w:val="1"/>
          <w:color w:val="auto"/>
        </w:rPr>
        <w:t xml:space="preserve"> </w:t>
      </w:r>
      <w:r>
        <w:rPr>
          <w:rFonts w:ascii="Arial" w:cs="Arial" w:eastAsia="Arial" w:hAnsi="Arial"/>
          <w:sz w:val="18"/>
          <w:szCs w:val="18"/>
          <w:color w:val="auto"/>
        </w:rPr>
        <w:t>from discontinued operations was $0.1 million for the three months ended September 25,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Nine Months Ended October 1, 2017 to the Nine Months Ended September 25, 2016</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by operating segment for the nine months ended October 1, 2017 and September 25, 2016 are as follows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1, 2017</w:t>
            </w:r>
          </w:p>
        </w:tc>
        <w:tc>
          <w:tcPr>
            <w:tcW w:w="12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25, 2016</w:t>
            </w:r>
          </w:p>
        </w:tc>
        <w:tc>
          <w:tcPr>
            <w:tcW w:w="300" w:type="dxa"/>
            <w:vAlign w:val="bottom"/>
          </w:tcPr>
          <w:p>
            <w:pPr>
              <w:spacing w:after="0"/>
              <w:rPr>
                <w:sz w:val="16"/>
                <w:szCs w:val="16"/>
                <w:color w:val="auto"/>
              </w:rPr>
            </w:pPr>
          </w:p>
        </w:tc>
        <w:tc>
          <w:tcPr>
            <w:tcW w:w="1160" w:type="dxa"/>
            <w:vAlign w:val="bottom"/>
          </w:tcPr>
          <w:p>
            <w:pPr>
              <w:jc w:val="right"/>
              <w:ind w:right="372"/>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580" w:type="dxa"/>
            <w:vAlign w:val="bottom"/>
          </w:tcPr>
          <w:p>
            <w:pPr>
              <w:jc w:val="right"/>
              <w:ind w:right="4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Kratos Government Solutions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Service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149.4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(13.7)</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16.1 %</w:t>
            </w:r>
          </w:p>
        </w:tc>
      </w:tr>
      <w:tr>
        <w:trPr>
          <w:trHeight w:val="237"/>
        </w:trPr>
        <w:tc>
          <w:tcPr>
            <w:tcW w:w="5100" w:type="dxa"/>
            <w:vAlign w:val="bottom"/>
          </w:tcPr>
          <w:p>
            <w:pPr>
              <w:ind w:left="40"/>
              <w:spacing w:after="0"/>
              <w:rPr>
                <w:sz w:val="20"/>
                <w:szCs w:val="20"/>
                <w:color w:val="auto"/>
              </w:rPr>
            </w:pPr>
            <w:r>
              <w:rPr>
                <w:rFonts w:ascii="Arial" w:cs="Arial" w:eastAsia="Arial" w:hAnsi="Arial"/>
                <w:sz w:val="18"/>
                <w:szCs w:val="18"/>
                <w:color w:val="auto"/>
              </w:rPr>
              <w:t>Total Kratos Government Solutions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341.4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4.4 %</w:t>
            </w:r>
          </w:p>
        </w:tc>
      </w:tr>
      <w:tr>
        <w:trPr>
          <w:trHeight w:val="27"/>
        </w:trPr>
        <w:tc>
          <w:tcPr>
            <w:tcW w:w="5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Safety &amp; Security service revenues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20.0 %</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Unmanned Systems product sales</w:t>
            </w: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29.1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57.9 %</w:t>
            </w:r>
          </w:p>
        </w:tc>
      </w:tr>
      <w:tr>
        <w:trPr>
          <w:trHeight w:val="27"/>
        </w:trPr>
        <w:tc>
          <w:tcPr>
            <w:tcW w:w="5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84"/>
        </w:trPr>
        <w:tc>
          <w:tcPr>
            <w:tcW w:w="5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service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Total product sales</w:t>
            </w:r>
          </w:p>
        </w:tc>
        <w:tc>
          <w:tcPr>
            <w:tcW w:w="16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286.4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25.3 %</w:t>
            </w:r>
          </w:p>
        </w:tc>
      </w:tr>
      <w:tr>
        <w:trPr>
          <w:trHeight w:val="27"/>
        </w:trPr>
        <w:tc>
          <w:tcPr>
            <w:tcW w:w="5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549.7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63.1</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13.0 %</w:t>
            </w: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Revenues increased $63.1 million to $549.7 million for the nine months ended October 1, 2017 from $486.6 million for the nine months ended September 25, 2016. The increase in revenues was primarily due to increased work in our satellite communications, training solutions and modular systems businesses within our KGS segment, an increase in our PSS business revenue of $19.0 million due primarily to a large security system deployment for a mass transportation authority and, to a lesser degree, to a new physical access control project for a large healthcare customer. Revenues in our US segment increased due to an increase in shipments and production of certain of our aerial drone systems and government funded work on certain new UAS initiatives.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Product sales increased $57.8 million to $286.4 million for the nine months ended October 1, 2017 from $228.6 million for the nine months ended September 25, 2016, primarily as a result of an increase in production and product shipments of $28.7 million in our KGS segment and $29.1 million in our US segment. As a percentage of total revenue, product sales were 52.1% for the nine months ended October 1, 2017 as compared to 47.0% for the nine months ended September 25, 2016. Service revenues increased by $5.3 million to $263.3 million for the nine months ended October 1, 2017 from $258.0 million for the nine months ended September 25, 2016. The increase was primarily related to the increase in revenues in our PSS segment.</w:t>
      </w:r>
    </w:p>
    <w:p>
      <w:pPr>
        <w:spacing w:after="0" w:line="158"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$29.5 million to $409.1 million for the nine months ended October 1, 2017 from $379.6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September 25, 2016. The increase in cost of revenues was primarily a result of the revenue changes discussed above.</w:t>
      </w:r>
    </w:p>
    <w:p>
      <w:pPr>
        <w:spacing w:after="0" w:line="12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Gross margin increased to 25.6% for the nine months ended October 1, 2017 from 22.0% for the nine months ended September 25, 2016. Margins on services increased to 28.0% for the nine months ended October 1, 2017 from 26.6% for the nine months ended September 25, 2016, due primarily to a more favorable mix of revenues. Margins on product sales increased to 23.4% for the nine months ended October 1, 2017 from 16.8% for the nine months ended September 25, 2016, primarily due to the loss accrual of $18.7 million that was recorded on the LCASD contract in our US segment during the nine months ended September 25, 2016. Margins in the KGS segment increased to 26.8% for the nine months ended October 1, 2017 from 26.1% for the nine months ended September 25, 2016, primarily as a result of a more favorable mix of revenues. Margins in the US segment increased to 19.3% for the nine months ended October 1, 2017 from (16.5)% for the nine months ended September 25, 2016, primarily due to the LCASD loss accrual recorded during the nine months ended October 1, 2017. Margins in the PSS segment decreased to 26.3% for the nine months ended October 1, 2017 from 27.5% for the nine months ended September 25, 2016, due primarily to a less favorable mix of services performed, as well as due to improved performance on certain integration projects.</w:t>
      </w:r>
    </w:p>
    <w:p>
      <w:pPr>
        <w:spacing w:after="0" w:line="19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SG&amp;A Expenses. </w:t>
      </w:r>
      <w:r>
        <w:rPr>
          <w:rFonts w:ascii="Arial" w:cs="Arial" w:eastAsia="Arial" w:hAnsi="Arial"/>
          <w:sz w:val="18"/>
          <w:szCs w:val="18"/>
          <w:color w:val="auto"/>
        </w:rPr>
        <w:t>SG&amp;A expense was $120.0 million for the nine months ended October 1, 2017 and $109.6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25, 2016. The increase was primarily driven by an increase in stock compensation expense of $2.6 million and due to the increase in revenues. As a percentage of revenues, SG&amp;A decreased to 21.8% at October 1, 2017 from 22.5% at September 25, 2016, which is primarily due to the increase in revenue discussed above.</w:t>
      </w:r>
    </w:p>
    <w:p>
      <w:pPr>
        <w:spacing w:after="0" w:line="18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i w:val="1"/>
          <w:iCs w:val="1"/>
          <w:color w:val="auto"/>
        </w:rPr>
        <w:t xml:space="preserve">R&amp;D Expenses. </w:t>
      </w:r>
      <w:r>
        <w:rPr>
          <w:rFonts w:ascii="Arial" w:cs="Arial" w:eastAsia="Arial" w:hAnsi="Arial"/>
          <w:sz w:val="17"/>
          <w:szCs w:val="17"/>
          <w:color w:val="auto"/>
        </w:rPr>
        <w:t>R&amp;D expenses were $12.7 million for the nine months ended October 1, 2017 and $10.1 million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25, 2016. As a percentage of revenues, R&amp;D increased to 2.3% for the nine months ended October 1, 2017 from 2.1% of revenues in the nine months ended September 25, 2016. R&amp;D expenditures are primarily related to investments we are making in conjunction with our customers, with the objectives of the Company’s products being the new platform for or “designed-in” to certain new long-term program opportunities and the Company owning certain intellectual property rights for products that support these programs as well as technology upgrades and refresh activities that are necessary for the next generation of our existing product lines specifically in our technology and satellite communications business.</w:t>
      </w:r>
    </w:p>
    <w:p>
      <w:pPr>
        <w:spacing w:after="0" w:line="17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i w:val="1"/>
          <w:iCs w:val="1"/>
          <w:color w:val="auto"/>
        </w:rPr>
        <w:t xml:space="preserve">Unused Office Space, Restructuring Expenses, and Other. </w:t>
      </w:r>
      <w:r>
        <w:rPr>
          <w:rFonts w:ascii="Arial" w:cs="Arial" w:eastAsia="Arial" w:hAnsi="Arial"/>
          <w:sz w:val="17"/>
          <w:szCs w:val="17"/>
          <w:color w:val="auto"/>
        </w:rPr>
        <w:t>The expense of $0.5 million for the nine months ended October 1, 2017 was primarily due</w:t>
      </w:r>
      <w:r>
        <w:rPr>
          <w:rFonts w:ascii="Arial" w:cs="Arial" w:eastAsia="Arial" w:hAnsi="Arial"/>
          <w:sz w:val="17"/>
          <w:szCs w:val="17"/>
          <w:i w:val="1"/>
          <w:iCs w:val="1"/>
          <w:color w:val="auto"/>
        </w:rPr>
        <w:t xml:space="preserve"> </w:t>
      </w:r>
      <w:r>
        <w:rPr>
          <w:rFonts w:ascii="Arial" w:cs="Arial" w:eastAsia="Arial" w:hAnsi="Arial"/>
          <w:sz w:val="17"/>
          <w:szCs w:val="17"/>
          <w:color w:val="auto"/>
        </w:rPr>
        <w:t>to employee termination costs related to personnel reduction actions taken in the first and second quarters of 2017. The expense of $10.5 million for the nine months ended September 25, 2016 was primarily due to a $7.8 million charge that was recorded in the Company’s modular systems business as a result of the closure of one of its manufacturing facilities and the exit from certain lower margin product business lines, a $1.9 million charge related to a litigation settlement of a contract dispute in our PSS business during the first quarter of 2016, and employee termination costs related to personnel reduction actions taken in the first quarter of 2016. The restructuring charge recorded in our modular systems business was comprised of $3.4 million related to fixed and intangible assets, $3.0 million related to exited product lines and $1.3 million related to excess facilities.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decreased to $24.2 million from $25.5 million for the nine months ended October 1, 2017 and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September 25, 2016, respectively. The decrease in other expense, net, of $1.3 million is primarily related to the loss of $1.4 million and the realization of $0.4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of unamortized issuance cost and $0.3 million of unamortized discount from the repurchase and extinguishment of $62.7 million of our Notes,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resulted in a $2.1 million loss on extinguishment of debt in the first quarter of 2017. This loss was partially offset by a reduction in interest expense of $2.7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due to the repurchases of the Notes that occurred in the fourth quarter of 2016 and the first quarter of 2017.</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Provision for Income Taxes from Continuing Operations. </w:t>
      </w:r>
      <w:r>
        <w:rPr>
          <w:rFonts w:ascii="Arial" w:cs="Arial" w:eastAsia="Arial" w:hAnsi="Arial"/>
          <w:sz w:val="18"/>
          <w:szCs w:val="18"/>
          <w:color w:val="auto"/>
        </w:rPr>
        <w:t>Income tax expense from continuing operations for the nine months ended October 1, 2017</w:t>
      </w:r>
      <w:r>
        <w:rPr>
          <w:rFonts w:ascii="Arial" w:cs="Arial" w:eastAsia="Arial" w:hAnsi="Arial"/>
          <w:sz w:val="18"/>
          <w:szCs w:val="18"/>
          <w:i w:val="1"/>
          <w:iCs w:val="1"/>
          <w:color w:val="auto"/>
        </w:rPr>
        <w:t xml:space="preserve"> </w:t>
      </w:r>
      <w:r>
        <w:rPr>
          <w:rFonts w:ascii="Arial" w:cs="Arial" w:eastAsia="Arial" w:hAnsi="Arial"/>
          <w:sz w:val="18"/>
          <w:szCs w:val="18"/>
          <w:color w:val="auto"/>
        </w:rPr>
        <w:t>and September 25, 2016 was $3.5 million and $7.3 million, respectively. For the nine months ended October 1, 2017 and September 25, 2016, the expense was primarily a function of the estimated effective tax rate for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year. The estimated effective tax rate is driven by estimated foreign taxes, estimated federal and state taxes, permanent book/tax differences, tax amortization of intangible assets that have an indefinite life under GAAP and the projected income or loss for the year. The income tax expense for the nine months ended September 25, 2016 includes a discrete tax expense of $1.9 million related to an increase in uncertain tax positions.</w:t>
      </w:r>
    </w:p>
    <w:p>
      <w:pPr>
        <w:spacing w:after="0" w:line="166" w:lineRule="exact"/>
        <w:rPr>
          <w:sz w:val="20"/>
          <w:szCs w:val="20"/>
          <w:color w:val="auto"/>
        </w:rPr>
      </w:pPr>
    </w:p>
    <w:p>
      <w:pPr>
        <w:ind w:right="200" w:firstLine="693"/>
        <w:spacing w:after="0" w:line="277" w:lineRule="auto"/>
        <w:rPr>
          <w:sz w:val="20"/>
          <w:szCs w:val="20"/>
          <w:color w:val="auto"/>
        </w:rPr>
      </w:pPr>
      <w:r>
        <w:rPr>
          <w:rFonts w:ascii="Arial" w:cs="Arial" w:eastAsia="Arial" w:hAnsi="Arial"/>
          <w:sz w:val="18"/>
          <w:szCs w:val="18"/>
          <w:i w:val="1"/>
          <w:iCs w:val="1"/>
          <w:color w:val="auto"/>
        </w:rPr>
        <w:t xml:space="preserve">Loss from Discontinued Operations. </w:t>
      </w:r>
      <w:r>
        <w:rPr>
          <w:rFonts w:ascii="Arial" w:cs="Arial" w:eastAsia="Arial" w:hAnsi="Arial"/>
          <w:sz w:val="18"/>
          <w:szCs w:val="18"/>
          <w:color w:val="auto"/>
        </w:rPr>
        <w:t>The loss from discontinued operations was $0.2 million for the nine months ended October 1, 2017. The loss</w:t>
      </w:r>
      <w:r>
        <w:rPr>
          <w:rFonts w:ascii="Arial" w:cs="Arial" w:eastAsia="Arial" w:hAnsi="Arial"/>
          <w:sz w:val="18"/>
          <w:szCs w:val="18"/>
          <w:i w:val="1"/>
          <w:iCs w:val="1"/>
          <w:color w:val="auto"/>
        </w:rPr>
        <w:t xml:space="preserve"> </w:t>
      </w:r>
      <w:r>
        <w:rPr>
          <w:rFonts w:ascii="Arial" w:cs="Arial" w:eastAsia="Arial" w:hAnsi="Arial"/>
          <w:sz w:val="18"/>
          <w:szCs w:val="18"/>
          <w:color w:val="auto"/>
        </w:rPr>
        <w:t>from discontinued operations was $0.2 million for the nine months ended September 25, 2016.</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As of October 1, 2017 and September 25, 2016, our backlog was approximately $798.9 million and $900.9 million, respectively, of which $586.2 million was funded in 2017 and $582.4 million was funded in 2016.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Unfunded backlog reflects our estimate of future revenue under awarded government contracts and task orders for which either funding has not yet been appropriated or the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or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78"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that is considered to be firm, we cannot guarantee that cancellations or scope adjustments will not occur. The majority of funded backlog represents contracts with terms that would entitle us to all or a portion of our costs incurred and potential fees upon cancellation by the customer.</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quarter-to-quarter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As of October 1, 2017, we had cash and cash equivalents of $239.2 million compared with cash and cash equivalents of $69.1 million as of December 25, 2016, which includes $8.4 million and $5.2 million, respectively, of cash and cash equivalents held by our foreign subsidiaries. We are not presently aware of any restrictions on the repatriation of these funds; however, earnings of these foreign subsidiaries are considered permanently invested in these foreign subsidiaries. If these funds were needed to fund our operations or satisfy obligations in the U.S. they could be repatriated, and their repatriation into the U.S. may cause us to incur additional U.S. income taxes or foreign withholding taxes. Any additional U.S. income taxes could be offset, in part or in whole, by foreign tax credits. The amount of such taxes and application of tax credits would be dependent on the income tax laws and other circumstances at the time these amounts are repatriated. Based on these variables, it is not practicable to determine the income tax liability that might be incurred if these earnings were to be repatriated. We do not currently intend to repatriate these earnings.</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carrying amount of our total debt, including capital lease obligations, principal due on our Notes (as defined below), and other term debt decreased from $432.0 million at December 25, 2016 to $370.7 million at October 1, 2017, due to the redemption of $62.7 million of our Notes during the nine months ended October 1, 2017, in addition to the principal payment required on our ten-year term loan with a bank in Israel, offset partially by the amortization of the discount on our Notes and the amortization of deferred financing costs.</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use our operating cash flow to finance trade accounts receivable, fund necessary increases in inventory, fund capital expenditures, our internal R&amp;D and product development investments, and our ongoing operations, service our debt and make strategic acquisitions. Financing trade accounts receivable is necessary because, on average, our customers do not pay us as quickly as we pay our vendors and employees for their goods and services since a number of our receivables are contractually billable and due to us only when certain contractual milestones are achieved. Financing increases in inventory balances is necessary to fulfill shipment requirements to meet delivery schedules of our customers. Cash from continuing operations is primarily derived from our customer contracts in progress and associated changes in working capital components. Our days sales outstanding (“DSO”) have decreased to 113 days as of October 1, 2017 from 115 days as of December 25, 2016. Our DSOs can fluctuate from period to period, primarily as a result of certain contractual billing milestones that have not yet been attained, such as equipment shipments and deliveries on certain products, and for certain flight requirements that must be fulfilled on certain aerial target programs, or final billings which are not due until completion on certain of our large critical infrastructure deployment projects and large training systems deliveries, and therefore we are unable to contractually bill for amounts outstanding related to those milestones at this time. In addition, we used our working capital during the nine months ended October 1, 2017 to build inventory of approximately $7.4 million in anticipation of future scheduled product deliveries.</w:t>
      </w:r>
    </w:p>
    <w:p>
      <w:pPr>
        <w:spacing w:after="0" w:line="180"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A summary of our net cash provided by (used in) operating activities from continuing operations, investing activities from continuing operations, and financing activities from continuing operations and our cash flows from discontinued operations from our condensed consolidated statements of cash flows is as follows (in millions):</w:t>
      </w:r>
    </w:p>
    <w:p>
      <w:pPr>
        <w:spacing w:after="0" w:line="200" w:lineRule="exact"/>
        <w:rPr>
          <w:sz w:val="20"/>
          <w:szCs w:val="20"/>
          <w:color w:val="auto"/>
        </w:rPr>
      </w:pP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Borders>
              <w:bottom w:val="single" w:sz="8" w:color="auto"/>
            </w:tcBorders>
          </w:tcPr>
          <w:p>
            <w:pPr>
              <w:spacing w:after="0"/>
              <w:rPr>
                <w:sz w:val="16"/>
                <w:szCs w:val="16"/>
                <w:color w:val="auto"/>
              </w:rPr>
            </w:pPr>
          </w:p>
        </w:tc>
      </w:tr>
      <w:tr>
        <w:trPr>
          <w:trHeight w:val="264"/>
        </w:trPr>
        <w:tc>
          <w:tcPr>
            <w:tcW w:w="8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1, 2017</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25, 2016</w:t>
            </w:r>
          </w:p>
        </w:tc>
      </w:tr>
      <w:tr>
        <w:trPr>
          <w:trHeight w:val="250"/>
        </w:trPr>
        <w:tc>
          <w:tcPr>
            <w:tcW w:w="85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 from continuing operations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204.7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Net operating cash flows of discontinued operations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investing cash flows of discontinued operations</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r>
      <w:tr>
        <w:trPr>
          <w:trHeight w:val="27"/>
        </w:trPr>
        <w:tc>
          <w:tcPr>
            <w:tcW w:w="8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Net cash used in operating activities from continuing operations for the nine months ended October 1, 2017 was positively impacted by decreased operating loss as compared to the nine months ended September 25, 2016, offset by changes in working capital accounts, primarily reflecting requirements to fund our growth. The net use in working capital accounts for the nine months ended October 1, 2017 includes approximately $6.1 million of internal development investments we are making related to the LCASD or “Valkyrie”. For fiscal 2017, we expect to spend $7.0 million to $10.0 million on internal product development efforts that are non-capital expenditures related to the LCASD program.</w:t>
      </w:r>
    </w:p>
    <w:p>
      <w:pPr>
        <w:spacing w:after="0" w:line="173"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Net cash used in investing activities from continuing operations for the nine months ended October 1, 2017 is comprised of capital expenditures, which consist primarily of investments in machinery, computer hardware and software and improvement of our physical properties in order to maintain suitable conditions in which to conduct our business, as well as expenditures related to internal capital investments to build company-owned capital aerial targets and related support equipment and tooling related to the Firejet, Valkyrie and UTAP-22 or “Mako” platforms for the nine months ended October 1, 2017. During the nine months ended October 1, 2017, capital expenditures of approximately $11.6 million were incurred in our US segment, primarily related to our unmanned combat target initiative. We expect our capital expenditures for fiscal 2017 to be significant due primarily to the capital aerial targets and related support equipment and tooling that we are building related to the Valkyrie and Mako platforms in our US segment. These capital expenditures are expected to equal an aggregate of approximately $18.0 million to $23.0 million for fiscal 2017. Net cash used in investing activities for the nine months ended September 25, 2016 is comprised of capital expenditures, which consist primarily of investment in machinery, computer hardware and software and improvement of our physical properties in order to maintain suitable conditions in which to conduct our business.</w:t>
      </w:r>
    </w:p>
    <w:p>
      <w:pPr>
        <w:spacing w:after="0" w:line="16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Net cash provided by financing activities from continuing operations for the nine months ended October 1, 2017 was primarily net proceeds of $268.0 million from equity offerings of approximately 28.0 million shares of common stock, partially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offset by $64.0 million used to retire approximately $62.7 million in principal amount of outstanding Notes. Net cash provided by financing activities from continuing operations for the nine months ended September 25, 2016 was primarily proceeds from our employee stock purchase plan.</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investing cash flow from discontinued operations for the nine months ended October 1, 2017 reflects cash used of $0.5 million, primarily related to the discontinued operations of our former U.S. and U.K. Electronic Products Divisions (the “Herley Entities”). The investing cash flow from discontinued operations for the nine months ended September 25, 2016 reflects cash provided of $4.3 million, primarily related to the reimbursement of taxes related to the sale of the Herley Entities.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7.00% Senior Secured Notes due 2019</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May 2014, we refinanced our $625.0 million of 10% Senior Secured Notes due in 2017 (the “10% Notes”) with $625.0 million of newly issued 7.00% Senior Secured Notes due in 2019 (the “7% Notes”). The net proceeds from the issuance of the 7% Notes was $618.5 million after an original issue discount of $6.5 million. We incurred debt issuance costs of $8.8 million associated with the 7% Notes. We utilized the net proceeds from the issuance of the 7% Notes, a $41.0 million draw on our Credit Agreement (as defined below), as well as cash from operations to extinguish the 10% Notes. We completed the offering of the 7% Notes in a private placement conducted pursuant to Rule 144A and Regulation S under the Securities Act of 1933, as amended (the “Act”). On October 16, 2014, the Company exchanged the outstanding 7% Notes for an equal amount of new 7.00% Senior Secured Notes due in 2019 (the “Notes”) that had been registered under the Act. The terms of the Notes issued in the exchange offer were identical in all material respects to the terms of the 7% Notes, except the Notes issued in the exchange offer had been registered under the Act.</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Notes are governed by an Indenture, dated May 14, 2014 (the “Indenture”), among the Company, certain of the Company’s subsidiaries (each, a “Subsidiary Guarantor” and together, the “Subsidiary Guarantors”) and Wilmington Trust, National Association, as Trustee and Collateral Agent. A Subsidiary Guarantor can be released from its Guarantee (as defined in the Indenture) if: (a) all of the capital stock issued by such Subsidiary Guarantor or all or substantially all of the assets of such Subsidiary Guarantor are sold or otherwise disposed of; (b) the Company designates such Subsidiary Guarantor as an Unrestricted Subsidiary (as defined in the Indenture); (c) if the Company exercises its legal defeasance option or its covenant defeasance option; or (d) upon satisfaction and discharge of the Indenture or payment in full in cash of the principal of, premium, if any, and accrued and unpaid interest on the Notes.</w:t>
      </w:r>
    </w:p>
    <w:p>
      <w:pPr>
        <w:spacing w:after="0" w:line="1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holders of the Notes have a first priority lien on substantially all of the Company’s assets and the assets of the Subsidiary Guarantors, except with respect to accounts receivable, inventory, deposit accounts, securities accounts, cash, securities and general intangibles (other than intellectual property), on which the holders of the Notes have a second priority lien to our $110.0 million Credit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pay interest on the Notes semi-annually, in arrears, on May 15 and November 15 of each year.</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The Notes include customary covenants and events of default as well as a consolidated fixed charge ratio of 2.0:1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October 1, 2017, we were in compliance with the covenants contained in the Indenture governing the Notes.</w:t>
      </w:r>
    </w:p>
    <w:p>
      <w:pPr>
        <w:spacing w:after="0" w:line="18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We may redeem some or all of the Notes at 102.625% of the aggregate principal amount of such Notes if redeemed on or before May 15, 2018 and 100% of the aggregate principal amount of such Notes if redeemed on or after May 16, 2018, plus accrued and unpaid interest to the date of redemption.</w:t>
      </w:r>
    </w:p>
    <w:p>
      <w:pPr>
        <w:spacing w:after="0" w:line="12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terms of the Indenture require that the net cash proceeds from asset dispositions be utilized to (i) repay or prepay amounts outstanding under our Credit Agreement unless such amounts are reinvested in similar collateral, (ii) make an investment in assets that replace the collateral of the Notes or (iii) a combination of both clauses (i) and (ii). To the extent there are any remaining net proceeds from the asset disposition after application of clauses (i) and (ii), such amounts are required to be utilized to repurchase Notes at par after 360 days following the asset disposition.</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Following the sale of the Herley Entities, we paid down the $41.0 million outstanding under the Credit Agreement and repurchased $175.0 million of the Notes at par, in accordance with the terms of the Indenture. The total reacquisition price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Notes was $178.4 million including the write off of $1.8 million of unamortized issue costs, $1.4 million of unamortized discount, along with $0.2 million of legal fees, which resulted in a loss on extinguishment of debt of $3.4 million.</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reinvested all net proceeds remaining after the repurchase of the $175.0 million of Notes in replacement collateral under the Indenture within 360 days following the asset disposition, in accordance with the terms of the Indenture.</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During the quarter ended December 25, 2016, the Company repurchased and extinguished $14.5 million of the outstanding Notes, which resulted in a gain of $0.4 million offset by $0.1 million of unamortized issuance cost and $0.1 million of unamortized discount resulting in a net gain of $0.2 million.</w:t>
      </w:r>
    </w:p>
    <w:p>
      <w:pPr>
        <w:spacing w:after="0" w:line="124"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During the quarter ended March 26, 2017, the Company repurchased and extinguished $62.7 million of the outstanding Notes, which resulted in a loss of $1.4 million and the realization of $0.4 million of unamortized issuance cost and $0.3 million of unamortized discount resulting in a net loss of $2.1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October 1, 2017, there was $372.8 million in Notes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$110.0 Million Credit Agreement</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On May 14, 2014, we entered into a $110.0 million Credit and Security Agreement, dated May 14, 2014 (the “Credit Agreement”), with the lenders from time to time party thereto, SunTrust Bank, as Agent (the “Agent”), PNC Bank, National Association, as Joint Lead Arranger and Documentation Agent, and SunTrust Robinson Humphrey, Inc., as Joint Lead Arranger and Sole Book Runner. The Credit Agreement established a five-year senior secured revolving credit facility in the maximum amount of $110.0 million (subject to a potential increase of the maximum principal amount to $135.0 million, subject to the Agent’s and applicable lenders’ approval as described therein), consisting of a subline for letters of credit in an amount not to exceed $50.0 million, as well as a swingline loan in an aggregate principal amount at any time outstanding not to exceed $10.0 million. The obligations under the Credit Agreement are secured by (i) a first priority lien on our accounts receivable, inventory, deposit accounts, securities accounts, cash, securities and general intangibles (other than intellectual property) and (ii) a second priority lien, junior to the lien securing the Notes, on all of our other assets.</w:t>
      </w:r>
    </w:p>
    <w:p>
      <w:pPr>
        <w:spacing w:after="0" w:line="16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Credit Agreement contains certain covenants, which include, but are not limited to, restrictions on indebtedness, liens, and investments, and limits on other various payments, as well as a financial covenant relating to a minimum fixed charge coverage ratio of 1.15:1 (as modified per the Third Amendment and the Fourth Amendment, as defined and discussed below). Events of default under the terms of the Credit Agreement include, but are not limited to: our failure to pay any principal of any loans in full when due and payable; our failure to pay any interest on any loan or any fee or other amount payable under the Credit Agreement within three business days after the date when due and payable; our failure or the failure of any of our subsidiaries to comply with certain covenants and agreements, subject to applicable grace periods and/or notice requirements; any representation, warranty or statement made in or pursuant to the Credit Agreement or any related writing or any other material information furnished by us or any of our subsidiaries to the Agent or the lenders proving to be false or erroneous; and the occurrence of an event or condition having or reasonably likely to have a material adverse effect, which includes a material adverse effect on the business, operations, condition (financial or otherwise) or our prospects or our ability to repay our obligations. Where an event of default arises from certain bankruptcy events, the commitments will automatically and immediately terminate and the principal of, and interest then outstanding on, all of the loans will become immediately due and payable. Subject to certain notice requirements and other conditions, upon the occurrence of an event of default, including the occurrence of a condition having or reasonably likely to have a material adverse effect, commitments may be terminated and the principal of, and interest then outstanding on, all of the loans may become immediately due and payable. As of October 1, 2017, no event of default had occurred and we believe that events or conditions having a material adverse effect, giving rise to an acceleration of any amounts outstanding under the Credit Agreement, have not occurred and the likelihood of such events or conditions occurring is remote.</w:t>
      </w:r>
    </w:p>
    <w:p>
      <w:pPr>
        <w:spacing w:after="0" w:line="16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Borrowings under the Credit Agreement may take the form of a base rate revolving loan, Eurodollar revolving loan or swingline loan. Base rate revolving loans and swingline loans will bear interest at a rate per annum equal to the sum of the applicable margin from time to time in effect plus the highest of (i) the Agent’s prime lending rate, as in effect at such time, (ii) the federal funds rate, as in effect at such time, plus 0.50% per annum, and (iii) the adjusted London Interbank Offered Rate (“LIBOR”) determined at such time for an interest period of one month, plus 1.00% per annum. Eurodollar revolving loans will bear interest at a rate per annum equal to the sum of the applicable margin from time to time in effect plus the adjusted LIBOR. The applicable margin varies between 1.50% and 2.00% for base rate revolving loans and swingline loans and 2.50% and 3.00% for Eurodollar loans, and is based on several factors including our then-existing borrowing base and the lender’s total commitment amount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revolving credit exposure. The calculation of our borrowing base takes into account several items relating to us and our subsidiaries, including, without limitation, amounts due and owing under billed and unbilled accounts receivables, then-held eligible raw materials inventory, work-in-process inventory, and applicable reserves.</w:t>
      </w:r>
    </w:p>
    <w:p>
      <w:pPr>
        <w:spacing w:after="0" w:line="181"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May 31, 2015, we entered into a third amendment (the “Third Amendment”) to the Credit Agreement. Under the terms of the Third Amendment, the definitions of certain terms of the Credit Agreement were modified, the disposition of the Herley Entities was approved by the lenders, a minimum $175.0 million repurchase of the Notes by us was required, and the payment in full of the outstanding balance of the Credit Agreement was required. Additionally, the measurement of the fixed charge coverage ratio of 1.15:1 was modified as follows: (i) the fixed charge coverage ratio will not be measured as of the end of any quarterly reporting period ending after June 30, 2015, if on such date (a) there are no outstanding revolving loans or swingline loans and (b) the aggregate amount outstanding under letters of credit is less than or equal to $17.0 million; and (ii) as to any subsequent quarterly reporting period ending after June 30, 2015, and not covered by clause (i) above, a fixed charge coverage ratio of at least 1.05:1 must be maintained if the percentage of (a) outstanding revolving loans plus the sum of the outstanding swingline loans and outstanding letters of credit that are in excess of $17.0 million, to (b) the revolving credit commitment, minus the Herley Disposition Proceeds Reinvestment Reserve (as defined below) is greater than 0.00% but less than 15.00% or a fixed charge coverage ratio of at least 1.10:1 must be maintained if the aforementioned percentage is equal to or greater than 15.00% but less than 25.00%. In all other instances, a fixed charge coverage ratio of at least 1.15:1 must be maintained. For purposes of computing the fixed charge coverage ratio, the associated reduction in consolidated interest expense in connection with the repurchase of Notes with proceeds from the sale of the Herley Entities shall be deemed to have occurred on the first day of the most recently completed four quarterly reporting periods prior to the sale.</w:t>
      </w:r>
    </w:p>
    <w:p>
      <w:pPr>
        <w:spacing w:after="0" w:line="175"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The terms of the Third Amendment also included the establishment of a reserve (the “Herley Disposition Proceeds Reinvestment Reserve”) that reduced the maximum $110.0 million total borrowing base on the Credit Agreement. With the sale of the Herley Entities, a $50.8 million reserve was established based upon the collateral carrying value under the Credit Agreement of the Herley Entities disposed. The reserve and therefore the maximum borrowing base were adjusted monthly for the subsequent cumulative reinvestment in similar collateral assets over a period not to have exceeded 360 days from the date of sale of the Herley Entities. As of October 1, 2017, there was no reserve on the maximum borrowings, resulting from a cumulative reinvestment in similar collateral assets since the sale of the Herley Entities in excess of the $50.8 million reserve established at the date of the sale of the Herley Entities. The Company made investments in assets that replaced the collateral, which reinstated the maximum facility to the full $110.0 million as of the end of the first quarter of 2016.</w:t>
      </w:r>
    </w:p>
    <w:p>
      <w:pPr>
        <w:spacing w:after="0" w:line="19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On August 20, 2015, we entered into a fourth amendment (the “Fourth Amendment”) to the Credit Agreement. Among other things, the Fourth Amendment provides for a modification of the Third Amendment as it relates to when the minimum fixed charge coverage ratio will be measured based upon our outstanding borrowings. Outstanding borrowings for purposes of computing the applicable minimum fixed charge coverage ratio exclude any letter of credit exposure outstanding of $17.0 million plus the amount of letters of credit outstanding for the divested Herley Entities for which a cash deposit has been placed in escrow by the buyer to cover the amount of such outstanding letters of credit, should the letters of credit be pulled.</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October 1, 2017, there were no borrowings outstanding on the Credit Agreement and $9.2 million was outstanding on letters of credit, resulting in net borrowing base availability of $68.7 million. We were in compliance with the financial covenants of the Credit Agreement and its amendments as of October 1, 2017.</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w:t>
      </w:r>
    </w:p>
    <w:p>
      <w:pPr>
        <w:spacing w:after="0" w:line="225" w:lineRule="exact"/>
        <w:rPr>
          <w:sz w:val="20"/>
          <w:szCs w:val="20"/>
          <w:color w:val="auto"/>
        </w:rPr>
      </w:pPr>
    </w:p>
    <w:p>
      <w:pPr>
        <w:ind w:firstLine="690"/>
        <w:spacing w:after="0" w:line="302" w:lineRule="auto"/>
        <w:rPr>
          <w:sz w:val="20"/>
          <w:szCs w:val="20"/>
          <w:color w:val="auto"/>
        </w:rPr>
      </w:pPr>
      <w:r>
        <w:rPr>
          <w:rFonts w:ascii="Arial" w:cs="Arial" w:eastAsia="Arial" w:hAnsi="Arial"/>
          <w:sz w:val="16"/>
          <w:szCs w:val="16"/>
          <w:color w:val="auto"/>
        </w:rPr>
        <w:t>We assumed a $10.0 million ten-year term loan with a bank in Israel entered into on September 16, 2008 in connection with the acquisition of one of our wholly owned subsidiaries. The balance under the term loan as of October 1, 2017 was $1.0 million, and the loan is payable in quarterly installments of $0.3 million plus interest at LIBOR plus a margin of 1.5%. The loan agreement governing the term loan contains various covenants, including a minimum net equity covenant as defined in the loan agreement. We were in compliance with all covenants contained in this loan agreement as of October 1, 2017.</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New Leases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On May 1, 2017, we entered into an office lease for our new corporate headquarters in San Diego, California (the “Lease”). The premises being rented consist of approximately 26,192 square feet of office space. The Lease has an initial term of 10 years and is anticipated to commence in October 2018. The Lease can be extended for one 5-year term, which must be exercised by giving written notice to the Landlord not earlier than 12 months and not later than 10 months prior to the expiration of the initial term. The base rent under the Lease is initially approximately $817,200 per year, escalating over the 10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years at approximately 3.0% per annum. In addition to the base rent, we will pay additional rent for our proportionate share of operating expenses, taxes, utilities and insurance expenses for the complex in which the premises are located.</w:t>
      </w:r>
    </w:p>
    <w:p>
      <w:pPr>
        <w:spacing w:after="0" w:line="170"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On May 31, 2017, we entered into two lease agreements for office space consisting of approximately 61,000 square feet in an existing building (“Existing Building”) and 91,000 square feet in a new building that is to be constructed (“New Building”) in Colorado Springs, Colorado. The initial lease term for the Existing Building is from May 31, 2017 to May 31, 2032. Upon completion of the New Building, the lease for the New Building will terminate and the lease for the Existing Building will be amended and restated to cover the New Building and the Existing Building. The lease term for such amended and restated lease will be 15 years from the rent commencement date of the New Building.</w:t>
      </w:r>
    </w:p>
    <w:p>
      <w:pPr>
        <w:spacing w:after="0" w:line="173" w:lineRule="exact"/>
        <w:rPr>
          <w:sz w:val="20"/>
          <w:szCs w:val="20"/>
          <w:color w:val="auto"/>
        </w:rPr>
      </w:pPr>
    </w:p>
    <w:p>
      <w:pPr>
        <w:jc w:val="both"/>
        <w:ind w:right="40" w:firstLine="648"/>
        <w:spacing w:after="0" w:line="302" w:lineRule="auto"/>
        <w:rPr>
          <w:sz w:val="20"/>
          <w:szCs w:val="20"/>
          <w:color w:val="auto"/>
        </w:rPr>
      </w:pPr>
      <w:r>
        <w:rPr>
          <w:rFonts w:ascii="Arial" w:cs="Arial" w:eastAsia="Arial" w:hAnsi="Arial"/>
          <w:sz w:val="16"/>
          <w:szCs w:val="16"/>
          <w:color w:val="auto"/>
        </w:rPr>
        <w:t>The annual base rent for the Existing Building will be approximately $994,800, with an annual escalation of the lesser of 2% or the consumer price index, and such base rent will be adjusted at a later time based on building improvements funded by the Landlord. The annual base rent for the New Building will depend on the Landlord’s construction costs for the New Building, but the initial annual base rent for the New Building should not exceed approximately $1.9 million. In addition to the base rent, we will pay for taxes, utilities insurance, and maintenance expenses for the New Building and the Existing Building.</w:t>
      </w:r>
    </w:p>
    <w:p>
      <w:pPr>
        <w:spacing w:after="0" w:line="15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With the exception of the new leases described above, there were no other significant changes to our contractual obligations during the first nine months of fiscal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Credit Agreement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discussed in Part I, Item 1A, “Risk Factors” of the Form 10-K, our quarterly and annual operating results have fluctuated in the past and may vary in the future due to a variety of factors, many of which are external to our control. If the conditions in our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In such a situation, we could fall out of compliance with our financial and other covenants, which, if not waived, could limit our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foregoing discussion of our financial condition and results of operations is based on the condensed consolidated financial statements included in this Quarterly Report. The preparation of these condensed consolidated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73"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or Estimates” as compared to the significant accounting policies described in the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260" w:firstLine="648"/>
        <w:spacing w:after="0" w:line="264" w:lineRule="auto"/>
        <w:rPr>
          <w:sz w:val="20"/>
          <w:szCs w:val="20"/>
          <w:color w:val="auto"/>
        </w:rPr>
      </w:pPr>
      <w:r>
        <w:rPr>
          <w:rFonts w:ascii="Arial" w:cs="Arial" w:eastAsia="Arial" w:hAnsi="Arial"/>
          <w:sz w:val="18"/>
          <w:szCs w:val="18"/>
          <w:color w:val="auto"/>
        </w:rPr>
        <w:t>Since December 25, 2016, there have been no material changes in the quantitative or qualitative aspects of our market risk profile. For additional information regarding the Company’s exposure to certain market risks, see “Item 7A. Quantitative and Qualitative Disclosures About Market Risk” included in the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October 1,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operate under the COSO (Committee of Sponsoring Organizations) 2013 Framework. There was no change in our internal control over financial reporting during the three months ended October 1, 2017 that has materially affected, or is reasonably likely to materially affect, our internal control over financial reporting.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See Note 10 of the Notes to the Condensed Consolidated Financial Statements contained within this Quarterly Report on Form 10-Q for a discussion of our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evaluating us and our common stock, we urge you to carefully consider the risks and other information in this Quarterly Report, as well as the risk factors disclosed in Item 1A to Part I of the Form 10-K, and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There have been no material changes in our risk factors as previously disclosed in the Form 10-K during the period covered by this Quarterly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80" w:type="dxa"/>
            <w:vAlign w:val="bottom"/>
            <w:gridSpan w:val="22"/>
            <w:vMerge w:val="restart"/>
          </w:tcPr>
          <w:p>
            <w:pPr>
              <w:ind w:left="6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92"/>
        </w:trPr>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88"/>
              </w:rPr>
              <w:t>2.1#†</w:t>
            </w:r>
          </w:p>
        </w:tc>
        <w:tc>
          <w:tcPr>
            <w:tcW w:w="20" w:type="dxa"/>
            <w:vAlign w:val="bottom"/>
          </w:tcPr>
          <w:p>
            <w:pPr>
              <w:spacing w:after="0"/>
              <w:rPr>
                <w:sz w:val="17"/>
                <w:szCs w:val="17"/>
                <w:color w:val="auto"/>
              </w:rPr>
            </w:pPr>
          </w:p>
        </w:tc>
        <w:tc>
          <w:tcPr>
            <w:tcW w:w="4200" w:type="dxa"/>
            <w:vAlign w:val="bottom"/>
            <w:gridSpan w:val="23"/>
          </w:tcPr>
          <w:p>
            <w:pPr>
              <w:spacing w:after="0" w:line="202"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Stock Purchase Agreement, dated May 31, 2015, among</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Kratos Defense &amp; Security Solutions, Inc., Herley</w:t>
              </w:r>
            </w:hyperlink>
          </w:p>
        </w:tc>
        <w:tc>
          <w:tcPr>
            <w:tcW w:w="440" w:type="dxa"/>
            <w:vAlign w:val="bottom"/>
            <w:tcBorders>
              <w:top w:val="single" w:sz="8" w:color="0000FF"/>
            </w:tcBorders>
            <w:gridSpan w:val="10"/>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3"/>
          </w:tcPr>
          <w:p>
            <w:pPr>
              <w:spacing w:after="0" w:line="196" w:lineRule="exact"/>
              <w:rPr>
                <w:rFonts w:ascii="Arial" w:cs="Arial" w:eastAsia="Arial" w:hAnsi="Arial"/>
                <w:sz w:val="18"/>
                <w:szCs w:val="18"/>
                <w:color w:val="0000FF"/>
                <w:w w:val="94"/>
              </w:rPr>
            </w:pPr>
            <w:hyperlink r:id="rId30">
              <w:r>
                <w:rPr>
                  <w:rFonts w:ascii="Arial" w:cs="Arial" w:eastAsia="Arial" w:hAnsi="Arial"/>
                  <w:sz w:val="18"/>
                  <w:szCs w:val="18"/>
                  <w:color w:val="0000FF"/>
                  <w:w w:val="94"/>
                </w:rPr>
                <w:t>Industries, Inc., Ultra Electronics Defense Inc. and Ultra</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Electronics Holdings plc.</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00" w:type="dxa"/>
            <w:vAlign w:val="bottom"/>
            <w:tcBorders>
              <w:bottom w:val="single" w:sz="8" w:color="0000FF"/>
            </w:tcBorders>
            <w:gridSpan w:val="16"/>
          </w:tcPr>
          <w:p>
            <w:pPr>
              <w:spacing w:after="0"/>
              <w:rPr>
                <w:rFonts w:ascii="Arial" w:cs="Arial" w:eastAsia="Arial" w:hAnsi="Arial"/>
                <w:sz w:val="18"/>
                <w:szCs w:val="18"/>
                <w:color w:val="0000FF"/>
                <w:w w:val="91"/>
              </w:rPr>
            </w:pPr>
            <w:hyperlink r:id="rId31">
              <w:r>
                <w:rPr>
                  <w:rFonts w:ascii="Arial" w:cs="Arial" w:eastAsia="Arial" w:hAnsi="Arial"/>
                  <w:sz w:val="18"/>
                  <w:szCs w:val="18"/>
                  <w:color w:val="0000FF"/>
                  <w:w w:val="91"/>
                </w:rPr>
                <w:t>Amended and Restated Certificate of Incorporation of</w:t>
              </w:r>
            </w:hyperlink>
          </w:p>
        </w:tc>
        <w:tc>
          <w:tcPr>
            <w:tcW w:w="30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Kratos Defense &amp; Security Solutions, Inc., as amended.</w:t>
              </w:r>
            </w:hyperlink>
          </w:p>
        </w:tc>
        <w:tc>
          <w:tcPr>
            <w:tcW w:w="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6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tcBorders>
              <w:bottom w:val="single" w:sz="8" w:color="0000FF"/>
            </w:tcBorders>
            <w:gridSpan w:val="9"/>
          </w:tcPr>
          <w:p>
            <w:pPr>
              <w:spacing w:after="0"/>
              <w:rPr>
                <w:rFonts w:ascii="Arial" w:cs="Arial" w:eastAsia="Arial" w:hAnsi="Arial"/>
                <w:sz w:val="18"/>
                <w:szCs w:val="18"/>
                <w:color w:val="0000FF"/>
                <w:w w:val="89"/>
              </w:rPr>
            </w:pPr>
            <w:hyperlink r:id="rId32">
              <w:r>
                <w:rPr>
                  <w:rFonts w:ascii="Arial" w:cs="Arial" w:eastAsia="Arial" w:hAnsi="Arial"/>
                  <w:sz w:val="18"/>
                  <w:szCs w:val="18"/>
                  <w:color w:val="0000FF"/>
                  <w:w w:val="89"/>
                </w:rPr>
                <w:t>Second Amended and Restated Bylaws of Kratos</w:t>
              </w:r>
            </w:hyperlink>
          </w:p>
        </w:tc>
        <w:tc>
          <w:tcPr>
            <w:tcW w:w="6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0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Defense &amp; Security Solutions, Inc., as amended.</w:t>
              </w:r>
            </w:hyperlink>
          </w:p>
        </w:tc>
        <w:tc>
          <w:tcPr>
            <w:tcW w:w="7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20" w:type="dxa"/>
            <w:vAlign w:val="bottom"/>
            <w:tcBorders>
              <w:bottom w:val="single" w:sz="8" w:color="0000FF"/>
            </w:tcBorders>
            <w:gridSpan w:val="3"/>
          </w:tcPr>
          <w:p>
            <w:pPr>
              <w:spacing w:after="0"/>
              <w:rPr>
                <w:rFonts w:ascii="Arial" w:cs="Arial" w:eastAsia="Arial" w:hAnsi="Arial"/>
                <w:sz w:val="18"/>
                <w:szCs w:val="18"/>
                <w:color w:val="0000FF"/>
                <w:w w:val="90"/>
              </w:rPr>
            </w:pPr>
            <w:hyperlink r:id="rId33">
              <w:r>
                <w:rPr>
                  <w:rFonts w:ascii="Arial" w:cs="Arial" w:eastAsia="Arial" w:hAnsi="Arial"/>
                  <w:sz w:val="18"/>
                  <w:szCs w:val="18"/>
                  <w:color w:val="0000FF"/>
                  <w:w w:val="90"/>
                </w:rPr>
                <w:t>Specimen Stock Certificate.</w:t>
              </w:r>
            </w:hyperlink>
          </w:p>
        </w:tc>
        <w:tc>
          <w:tcPr>
            <w:tcW w:w="21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Borders>
              <w:bottom w:val="single" w:sz="8" w:color="0000FF"/>
            </w:tcBorders>
            <w:gridSpan w:val="12"/>
          </w:tcPr>
          <w:p>
            <w:pPr>
              <w:spacing w:after="0"/>
              <w:rPr>
                <w:rFonts w:ascii="Arial" w:cs="Arial" w:eastAsia="Arial" w:hAnsi="Arial"/>
                <w:sz w:val="18"/>
                <w:szCs w:val="18"/>
                <w:color w:val="0000FF"/>
                <w:w w:val="89"/>
              </w:rPr>
            </w:pPr>
            <w:hyperlink r:id="rId34">
              <w:r>
                <w:rPr>
                  <w:rFonts w:ascii="Arial" w:cs="Arial" w:eastAsia="Arial" w:hAnsi="Arial"/>
                  <w:sz w:val="18"/>
                  <w:szCs w:val="18"/>
                  <w:color w:val="0000FF"/>
                  <w:w w:val="89"/>
                </w:rPr>
                <w:t>Indenture, dated as of May 14, 2014, among Kratos</w:t>
              </w:r>
            </w:hyperlink>
          </w:p>
        </w:tc>
        <w:tc>
          <w:tcPr>
            <w:tcW w:w="4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4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Defense &amp; Security Solutions, Inc., as Issuer, the</w:t>
              </w:r>
            </w:hyperlink>
          </w:p>
        </w:tc>
        <w:tc>
          <w:tcPr>
            <w:tcW w:w="6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3"/>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Guarantors party thereto, and Wilmington Trust, National</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40" w:type="dxa"/>
            <w:vAlign w:val="bottom"/>
            <w:tcBorders>
              <w:top w:val="single" w:sz="8" w:color="0000FF"/>
            </w:tcBorders>
            <w:gridSpan w:val="21"/>
          </w:tcPr>
          <w:p>
            <w:pPr>
              <w:spacing w:after="0" w:line="196"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Association, as Trustee and Collateral Agent (including</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top w:val="single" w:sz="8" w:color="0000FF"/>
            </w:tcBorders>
            <w:gridSpan w:val="18"/>
          </w:tcPr>
          <w:p>
            <w:pPr>
              <w:spacing w:after="0" w:line="196"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the Form of 7.00% Senior Secured Notes due 2019).</w:t>
              </w:r>
            </w:hyperlink>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6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Registration Rights Agreement, dated as of May 14,</w:t>
              </w:r>
            </w:hyperlink>
          </w:p>
        </w:tc>
        <w:tc>
          <w:tcPr>
            <w:tcW w:w="20" w:type="dxa"/>
            <w:vAlign w:val="bottom"/>
            <w:tcBorders>
              <w:top w:val="single" w:sz="8" w:color="0000FF"/>
            </w:tcBorders>
          </w:tcPr>
          <w:p>
            <w:pPr>
              <w:spacing w:after="0"/>
              <w:rPr>
                <w:sz w:val="21"/>
                <w:szCs w:val="21"/>
                <w:color w:val="auto"/>
              </w:rPr>
            </w:pPr>
          </w:p>
        </w:tc>
        <w:tc>
          <w:tcPr>
            <w:tcW w:w="4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3"/>
          </w:tcPr>
          <w:p>
            <w:pPr>
              <w:spacing w:after="0" w:line="196"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2014, among Kratos Defense &amp; Security Solutions, Inc.,</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top w:val="single" w:sz="8" w:color="0000FF"/>
            </w:tcBorders>
            <w:gridSpan w:val="20"/>
          </w:tcPr>
          <w:p>
            <w:pPr>
              <w:spacing w:after="0" w:line="196"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as Issuer, the Guarantors party thereto, and SunTrust</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Robinson Humphrey, Inc., as Representative of the Initial</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3"/>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Purchasers.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3"/>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Chief Executive Officer pursuant to</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Borders>
              <w:top w:val="single" w:sz="8" w:color="0000FF"/>
            </w:tcBorders>
            <w:gridSpan w:val="12"/>
          </w:tcPr>
          <w:p>
            <w:pPr>
              <w:spacing w:after="0" w:line="196" w:lineRule="exact"/>
              <w:rPr>
                <w:rFonts w:ascii="Arial" w:cs="Arial" w:eastAsia="Arial" w:hAnsi="Arial"/>
                <w:sz w:val="18"/>
                <w:szCs w:val="18"/>
                <w:color w:val="0000FF"/>
                <w:w w:val="97"/>
              </w:rPr>
            </w:pPr>
            <w:hyperlink w:anchor="page42">
              <w:r>
                <w:rPr>
                  <w:rFonts w:ascii="Arial" w:cs="Arial" w:eastAsia="Arial" w:hAnsi="Arial"/>
                  <w:sz w:val="18"/>
                  <w:szCs w:val="18"/>
                  <w:color w:val="0000FF"/>
                  <w:w w:val="97"/>
                </w:rPr>
                <w:t>Section 302 of the Sarbanes Oxley Act of 2002.</w:t>
              </w:r>
            </w:hyperlink>
          </w:p>
        </w:tc>
        <w:tc>
          <w:tcPr>
            <w:tcW w:w="4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3"/>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of Chief Financial Officer pursuant to</w:t>
              </w:r>
            </w:hyperlink>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80" w:type="dxa"/>
            <w:vAlign w:val="bottom"/>
            <w:tcBorders>
              <w:top w:val="single" w:sz="8" w:color="0000FF"/>
            </w:tcBorders>
            <w:gridSpan w:val="11"/>
          </w:tcPr>
          <w:p>
            <w:pPr>
              <w:spacing w:after="0" w:line="196" w:lineRule="exact"/>
              <w:rPr>
                <w:rFonts w:ascii="Arial" w:cs="Arial" w:eastAsia="Arial" w:hAnsi="Arial"/>
                <w:sz w:val="18"/>
                <w:szCs w:val="18"/>
                <w:color w:val="0000FF"/>
                <w:w w:val="96"/>
              </w:rPr>
            </w:pPr>
            <w:hyperlink w:anchor="page43">
              <w:r>
                <w:rPr>
                  <w:rFonts w:ascii="Arial" w:cs="Arial" w:eastAsia="Arial" w:hAnsi="Arial"/>
                  <w:sz w:val="18"/>
                  <w:szCs w:val="18"/>
                  <w:color w:val="0000FF"/>
                  <w:w w:val="96"/>
                </w:rPr>
                <w:t>Section 302 of the Sarbanes Oxley Act of 2002.</w:t>
              </w:r>
            </w:hyperlink>
          </w:p>
        </w:tc>
        <w:tc>
          <w:tcPr>
            <w:tcW w:w="5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 pursuant to 18 U.S.C. Section 1350, as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60" w:type="dxa"/>
            <w:vAlign w:val="bottom"/>
            <w:gridSpan w:val="8"/>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17"/>
          </w:tcPr>
          <w:p>
            <w:pPr>
              <w:spacing w:after="0" w:line="196"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adopted pursuant to Section 906 of the Sarbanes-Oxley</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3"/>
          </w:tcPr>
          <w:p>
            <w:pPr>
              <w:spacing w:after="0" w:line="196" w:lineRule="exact"/>
              <w:rPr>
                <w:rFonts w:ascii="Arial" w:cs="Arial" w:eastAsia="Arial" w:hAnsi="Arial"/>
                <w:sz w:val="18"/>
                <w:szCs w:val="18"/>
                <w:color w:val="0000FF"/>
              </w:rPr>
            </w:pPr>
            <w:hyperlink w:anchor="page44">
              <w:r>
                <w:rPr>
                  <w:rFonts w:ascii="Arial" w:cs="Arial" w:eastAsia="Arial" w:hAnsi="Arial"/>
                  <w:sz w:val="18"/>
                  <w:szCs w:val="18"/>
                  <w:color w:val="0000FF"/>
                </w:rPr>
                <w:t>Act of 2002 for Eric M. DeMarco.</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72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0" w:type="dxa"/>
            <w:vAlign w:val="bottom"/>
            <w:gridSpan w:val="23"/>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pursuant to 18 U.S.C. Section 1350, as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1560" w:type="dxa"/>
            <w:vAlign w:val="bottom"/>
            <w:gridSpan w:val="9"/>
            <w:shd w:val="clear" w:color="auto" w:fill="0000FF"/>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FF"/>
            </w:tcBorders>
            <w:gridSpan w:val="17"/>
          </w:tcPr>
          <w:p>
            <w:pPr>
              <w:spacing w:after="0" w:line="196" w:lineRule="exact"/>
              <w:rPr>
                <w:rFonts w:ascii="Arial" w:cs="Arial" w:eastAsia="Arial" w:hAnsi="Arial"/>
                <w:sz w:val="18"/>
                <w:szCs w:val="18"/>
                <w:color w:val="0000FF"/>
                <w:w w:val="89"/>
              </w:rPr>
            </w:pPr>
            <w:hyperlink w:anchor="page45">
              <w:r>
                <w:rPr>
                  <w:rFonts w:ascii="Arial" w:cs="Arial" w:eastAsia="Arial" w:hAnsi="Arial"/>
                  <w:sz w:val="18"/>
                  <w:szCs w:val="18"/>
                  <w:color w:val="0000FF"/>
                  <w:w w:val="89"/>
                </w:rPr>
                <w:t>adopted pursuant to Section 906 of the Sarbanes-Oxley</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gridSpan w:val="23"/>
          </w:tcPr>
          <w:p>
            <w:pPr>
              <w:spacing w:after="0" w:line="196" w:lineRule="exact"/>
              <w:rPr>
                <w:rFonts w:ascii="Arial" w:cs="Arial" w:eastAsia="Arial" w:hAnsi="Arial"/>
                <w:sz w:val="18"/>
                <w:szCs w:val="18"/>
                <w:color w:val="0000FF"/>
              </w:rPr>
            </w:pPr>
            <w:hyperlink w:anchor="page45">
              <w:r>
                <w:rPr>
                  <w:rFonts w:ascii="Arial" w:cs="Arial" w:eastAsia="Arial" w:hAnsi="Arial"/>
                  <w:sz w:val="18"/>
                  <w:szCs w:val="18"/>
                  <w:color w:val="0000FF"/>
                </w:rPr>
                <w:t>Act of 2002 for Deanna Lund.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1300" w:right="60" w:hanging="853"/>
        <w:spacing w:after="0" w:line="290"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Financial statements from the Quarterly Report on Form 10-Q of Kratos Defense &amp; Security Solutions, Inc. for the quarter ended October 1, 2017 formatted in XBRL: (i) the Condensed Consolidated Balance Sheets, (ii) the Condensed Consolidated Statements of Operations and Comprehensive Loss, (iii) the Condensed Consolidated Statements of Cash Flows, (iv) the Notes to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25044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Incorporated by</w:t>
      </w:r>
    </w:p>
    <w:p>
      <w:pPr>
        <w:spacing w:after="0" w:line="4"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2744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Filing Date/</w:t>
            </w: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49"/>
        </w:trPr>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2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3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Exhibit</w:t>
            </w:r>
          </w:p>
        </w:tc>
        <w:tc>
          <w:tcPr>
            <w:tcW w:w="120" w:type="dxa"/>
            <w:vAlign w:val="bottom"/>
            <w:vMerge w:val="restart"/>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92"/>
        </w:trPr>
        <w:tc>
          <w:tcPr>
            <w:tcW w:w="13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08/06/2015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2.4</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02/27/2017</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05/15/2014</w:t>
            </w: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4"/>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05/15/2014</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(001-34460)</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39</w:t>
      </w:r>
    </w:p>
    <w:p>
      <w:pPr>
        <w:sectPr>
          <w:pgSz w:w="11900" w:h="16838" w:orient="portrait"/>
          <w:cols w:equalWidth="0" w:num="2">
            <w:col w:w="5500" w:space="120"/>
            <w:col w:w="580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8"/>
        <w:spacing w:after="0" w:line="308" w:lineRule="auto"/>
        <w:tabs>
          <w:tab w:leader="none" w:pos="270" w:val="left"/>
        </w:tabs>
        <w:numPr>
          <w:ilvl w:val="0"/>
          <w:numId w:val="9"/>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147" w:lineRule="exact"/>
        <w:rPr>
          <w:sz w:val="20"/>
          <w:szCs w:val="20"/>
          <w:color w:val="auto"/>
        </w:rPr>
      </w:pPr>
    </w:p>
    <w:p>
      <w:pPr>
        <w:ind w:right="3300" w:firstLine="8"/>
        <w:spacing w:after="0" w:line="264" w:lineRule="auto"/>
        <w:tabs>
          <w:tab w:leader="none" w:pos="26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Exhibit has been filed separately with the Secretary of the Securities and Exchange Commission without the redaction pursuant to a Confidential Treatment Request under Rule 24b-2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80"/>
          </w:cols>
          <w:pgMar w:left="240" w:top="125" w:right="7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Eric M. DeMarco</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President</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810"/>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Deanna H. Lund</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Chief Financial Officer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837"/>
        </w:trPr>
        <w:tc>
          <w:tcPr>
            <w:tcW w:w="6020" w:type="dxa"/>
            <w:vAlign w:val="bottom"/>
          </w:tcPr>
          <w:p>
            <w:pPr>
              <w:ind w:left="5600"/>
              <w:spacing w:after="0"/>
              <w:rPr>
                <w:sz w:val="20"/>
                <w:szCs w:val="20"/>
                <w:color w:val="auto"/>
              </w:rPr>
            </w:pPr>
            <w:r>
              <w:rPr>
                <w:rFonts w:ascii="Arial" w:cs="Arial" w:eastAsia="Arial" w:hAnsi="Arial"/>
                <w:sz w:val="18"/>
                <w:szCs w:val="18"/>
                <w:color w:val="auto"/>
              </w:rPr>
              <w:t>By:</w:t>
            </w:r>
          </w:p>
        </w:tc>
        <w:tc>
          <w:tcPr>
            <w:tcW w:w="5360" w:type="dxa"/>
            <w:vAlign w:val="bottom"/>
          </w:tcPr>
          <w:p>
            <w:pPr>
              <w:jc w:val="center"/>
              <w:spacing w:after="0"/>
              <w:rPr>
                <w:sz w:val="20"/>
                <w:szCs w:val="20"/>
                <w:color w:val="auto"/>
              </w:rPr>
            </w:pPr>
            <w:r>
              <w:rPr>
                <w:rFonts w:ascii="Arial" w:cs="Arial" w:eastAsia="Arial" w:hAnsi="Arial"/>
                <w:sz w:val="18"/>
                <w:szCs w:val="18"/>
                <w:color w:val="auto"/>
                <w:w w:val="94"/>
              </w:rPr>
              <w:t>/s/ MARIA CERVANTES DE BURGREEN, CPA</w:t>
            </w:r>
          </w:p>
        </w:tc>
      </w:tr>
      <w:tr>
        <w:trPr>
          <w:trHeight w:val="27"/>
        </w:trPr>
        <w:tc>
          <w:tcPr>
            <w:tcW w:w="60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89"/>
              </w:rPr>
              <w:t>Maria Cervantes de Burgreen</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and Corporate Controller</w:t>
            </w:r>
          </w:p>
        </w:tc>
      </w:tr>
      <w:tr>
        <w:trPr>
          <w:trHeight w:val="270"/>
        </w:trPr>
        <w:tc>
          <w:tcPr>
            <w:tcW w:w="6020" w:type="dxa"/>
            <w:vAlign w:val="bottom"/>
          </w:tcPr>
          <w:p>
            <w:pPr>
              <w:spacing w:after="0"/>
              <w:rPr>
                <w:sz w:val="23"/>
                <w:szCs w:val="23"/>
                <w:color w:val="auto"/>
              </w:rPr>
            </w:pPr>
          </w:p>
        </w:tc>
        <w:tc>
          <w:tcPr>
            <w:tcW w:w="53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Date:   November 2, 2017</w:t>
            </w:r>
          </w:p>
        </w:tc>
        <w:tc>
          <w:tcPr>
            <w:tcW w:w="5360" w:type="dxa"/>
            <w:vAlign w:val="bottom"/>
          </w:tcPr>
          <w:p>
            <w:pPr>
              <w:spacing w:after="0"/>
              <w:rPr>
                <w:sz w:val="23"/>
                <w:szCs w:val="23"/>
                <w:color w:val="auto"/>
              </w:rPr>
            </w:pPr>
          </w:p>
        </w:tc>
      </w:tr>
      <w:tr>
        <w:trPr>
          <w:trHeight w:val="486"/>
        </w:trPr>
        <w:tc>
          <w:tcPr>
            <w:tcW w:w="6020" w:type="dxa"/>
            <w:vAlign w:val="bottom"/>
          </w:tcPr>
          <w:p>
            <w:pPr>
              <w:ind w:left="5580"/>
              <w:spacing w:after="0"/>
              <w:rPr>
                <w:sz w:val="20"/>
                <w:szCs w:val="20"/>
                <w:color w:val="auto"/>
              </w:rPr>
            </w:pPr>
            <w:r>
              <w:rPr>
                <w:rFonts w:ascii="Arial" w:cs="Arial" w:eastAsia="Arial" w:hAnsi="Arial"/>
                <w:sz w:val="18"/>
                <w:szCs w:val="18"/>
                <w:color w:val="auto"/>
              </w:rPr>
              <w:t>41</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Eric M. DeMarco, certify that:</w:t>
      </w:r>
    </w:p>
    <w:p>
      <w:pPr>
        <w:spacing w:after="0" w:line="19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Kratos Defense &amp; Security Solutions, Inc.;</w:t>
      </w:r>
    </w:p>
    <w:p>
      <w:pPr>
        <w:spacing w:after="0" w:line="19" w:lineRule="exact"/>
        <w:rPr>
          <w:rFonts w:ascii="Arial" w:cs="Arial" w:eastAsia="Arial" w:hAnsi="Arial"/>
          <w:sz w:val="16"/>
          <w:szCs w:val="16"/>
          <w:color w:val="auto"/>
        </w:rPr>
      </w:pPr>
    </w:p>
    <w:p>
      <w:pPr>
        <w:ind w:left="660" w:right="20" w:hanging="652"/>
        <w:spacing w:after="0" w:line="263" w:lineRule="auto"/>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hanging="652"/>
        <w:spacing w:after="0" w:line="246"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652"/>
        <w:spacing w:after="0" w:line="328"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4"/>
          <w:szCs w:val="14"/>
          <w:color w:val="auto"/>
        </w:rPr>
      </w:pPr>
    </w:p>
    <w:p>
      <w:pPr>
        <w:ind w:left="1300" w:right="180" w:hanging="644"/>
        <w:spacing w:after="0" w:line="25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1300" w:right="80" w:hanging="644"/>
        <w:spacing w:after="0" w:line="246"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360" w:hanging="644"/>
        <w:spacing w:after="0" w:line="252" w:lineRule="auto"/>
        <w:tabs>
          <w:tab w:leader="none" w:pos="13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60" w:right="30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1300" w:right="260" w:hanging="644"/>
        <w:spacing w:after="0" w:line="255"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460" w:hanging="644"/>
        <w:spacing w:after="0" w:line="257"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2, 2017</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Chief Executive Officer, President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 Deanna H. Lund, certify that:</w:t>
      </w:r>
    </w:p>
    <w:p>
      <w:pPr>
        <w:spacing w:after="0" w:line="207"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6"/>
          <w:szCs w:val="16"/>
          <w:color w:val="auto"/>
        </w:rPr>
        <w:t>I have reviewed this quarterly report on Form 10-Q of Kratos Defense &amp; Security Solutions, Inc.;</w:t>
      </w:r>
    </w:p>
    <w:p>
      <w:pPr>
        <w:spacing w:after="0" w:line="9" w:lineRule="exact"/>
        <w:rPr>
          <w:rFonts w:ascii="Arial" w:cs="Arial" w:eastAsia="Arial" w:hAnsi="Arial"/>
          <w:sz w:val="18"/>
          <w:szCs w:val="18"/>
          <w:color w:val="auto"/>
        </w:rPr>
      </w:pPr>
    </w:p>
    <w:p>
      <w:pPr>
        <w:ind w:left="660" w:right="20" w:hanging="652"/>
        <w:spacing w:after="0" w:line="27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 w:lineRule="exact"/>
        <w:rPr>
          <w:rFonts w:ascii="Arial" w:cs="Arial" w:eastAsia="Arial" w:hAnsi="Arial"/>
          <w:sz w:val="17"/>
          <w:szCs w:val="17"/>
          <w:color w:val="auto"/>
        </w:rPr>
      </w:pPr>
    </w:p>
    <w:p>
      <w:pPr>
        <w:ind w:left="660" w:hanging="652"/>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Arial" w:cs="Arial" w:eastAsia="Arial" w:hAnsi="Arial"/>
          <w:sz w:val="18"/>
          <w:szCs w:val="18"/>
          <w:color w:val="auto"/>
        </w:rPr>
      </w:pPr>
    </w:p>
    <w:p>
      <w:pPr>
        <w:ind w:left="660" w:right="120" w:hanging="652"/>
        <w:spacing w:after="0" w:line="35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1300" w:right="180" w:hanging="644"/>
        <w:spacing w:after="0" w:line="266"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8"/>
          <w:szCs w:val="18"/>
          <w:color w:val="auto"/>
        </w:rPr>
      </w:pPr>
    </w:p>
    <w:p>
      <w:pPr>
        <w:ind w:left="1300" w:right="80" w:hanging="644"/>
        <w:spacing w:after="0" w:line="266"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8"/>
          <w:szCs w:val="18"/>
          <w:color w:val="auto"/>
        </w:rPr>
      </w:pPr>
    </w:p>
    <w:p>
      <w:pPr>
        <w:ind w:left="1300" w:right="80" w:hanging="644"/>
        <w:spacing w:after="0" w:line="259"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Arial" w:cs="Arial" w:eastAsia="Arial" w:hAnsi="Arial"/>
          <w:sz w:val="18"/>
          <w:szCs w:val="18"/>
          <w:color w:val="auto"/>
        </w:rPr>
      </w:pPr>
    </w:p>
    <w:p>
      <w:pPr>
        <w:ind w:left="1300" w:right="360" w:hanging="644"/>
        <w:spacing w:after="0" w:line="279" w:lineRule="auto"/>
        <w:tabs>
          <w:tab w:leader="none" w:pos="1340" w:val="left"/>
        </w:tabs>
        <w:numPr>
          <w:ilvl w:val="1"/>
          <w:numId w:val="12"/>
        </w:numPr>
        <w:rPr>
          <w:rFonts w:ascii="Arial" w:cs="Arial" w:eastAsia="Arial" w:hAnsi="Arial"/>
          <w:sz w:val="18"/>
          <w:szCs w:val="18"/>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660" w:right="300" w:hanging="652"/>
        <w:spacing w:after="0" w:line="28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260" w:hanging="644"/>
        <w:spacing w:after="0" w:line="259"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8"/>
          <w:szCs w:val="18"/>
          <w:color w:val="auto"/>
        </w:rPr>
      </w:pPr>
    </w:p>
    <w:p>
      <w:pPr>
        <w:ind w:left="1300" w:right="460" w:hanging="644"/>
        <w:spacing w:after="0" w:line="281"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Date: November 2, 2017</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KRATOS DEFENSE &amp; SECURITY SOLUTIONS, INC.</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4988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p>
      <w:pPr>
        <w:sectPr>
          <w:pgSz w:w="11900" w:h="16838" w:orient="portrait"/>
          <w:cols w:equalWidth="0" w:num="1">
            <w:col w:w="11420"/>
          </w:cols>
          <w:pgMar w:left="240" w:top="58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ind w:right="100" w:firstLine="648"/>
        <w:spacing w:after="0" w:line="261" w:lineRule="auto"/>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 October 1, 2017 (the “Report”), I, Eric M. DeMarco, Chief Executive Officer of the Company, certify, pursuant to 18 U.S.C. Section 1350, as adopted pursuant to Section 906 of the Sarbanes-Oxley Act of 2002, that:</w:t>
      </w:r>
    </w:p>
    <w:p>
      <w:pPr>
        <w:spacing w:after="0" w:line="156"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2, 2017</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 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Eric M. DeMarco</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Chief Executive Officer, President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420"/>
          </w:cols>
          <w:pgMar w:left="240" w:top="58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In connection with the accompanying Quarterly Report of Kratos Defense &amp; Security Solutions, Inc. (the “Company”) on Form 10-Q for the quarter ended</w:t>
      </w:r>
    </w:p>
    <w:p>
      <w:pPr>
        <w:spacing w:after="0" w:line="19"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October 1, 2017 (the “Report”), I, Deanna H. Lund, Chief Financial Officer of the Company, certify, pursuant to 18 U.S.C. Section 1350, as adopted pursuant to Section 906 of the Sarbanes-Oxley Act of 2002, that:</w:t>
      </w:r>
    </w:p>
    <w:p>
      <w:pPr>
        <w:spacing w:after="0" w:line="159"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9" w:lineRule="exact"/>
        <w:rPr>
          <w:rFonts w:ascii="Arial" w:cs="Arial" w:eastAsia="Arial" w:hAnsi="Arial"/>
          <w:sz w:val="16"/>
          <w:szCs w:val="16"/>
          <w:color w:val="auto"/>
        </w:rPr>
      </w:pPr>
    </w:p>
    <w:p>
      <w:pPr>
        <w:ind w:left="1340" w:hanging="684"/>
        <w:spacing w:after="0"/>
        <w:tabs>
          <w:tab w:leader="none" w:pos="13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2, 2017</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KRATOS DEFENSE &amp; SECURITY SOLUTIONS, INC.</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34925</wp:posOffset>
            </wp:positionV>
            <wp:extent cx="36106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3610610" cy="8890"/>
                    </a:xfrm>
                    <a:prstGeom prst="rect">
                      <a:avLst/>
                    </a:prstGeom>
                    <a:noFill/>
                  </pic:spPr>
                </pic:pic>
              </a:graphicData>
            </a:graphic>
          </wp:anchor>
        </w:drawing>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Deanna H. Lund</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Executive Vice President, Chief Financial Officer</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(Principal Financial Officer and Acting Principal Accounting Officer)</w:t>
      </w:r>
    </w:p>
    <w:sectPr>
      <w:pgSz w:w="11900" w:h="16838" w:orient="portrait"/>
      <w:cols w:equalWidth="0" w:num="1">
        <w:col w:w="11420"/>
      </w:cols>
      <w:pgMar w:left="240" w:top="5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
      <w:numFmt w:val="bullet"/>
      <w:start w:val="1"/>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1)"/>
      <w:numFmt w:val="lowerLetter"/>
      <w:start w:val="2"/>
    </w:lvl>
  </w:abstractNum>
  <w:abstractNum w:abstractNumId="3">
    <w:nsid w:val="5BD062C2"/>
    <w:multiLevelType w:val="hybridMultilevel"/>
    <w:lvl w:ilvl="0">
      <w:lvlJc w:val="left"/>
      <w:lvlText w:val="(%1)"/>
      <w:numFmt w:val="lowerLetter"/>
      <w:start w:val="3"/>
    </w:lvl>
  </w:abstractNum>
  <w:abstractNum w:abstractNumId="4">
    <w:nsid w:val="12200854"/>
    <w:multiLevelType w:val="hybridMultilevel"/>
    <w:lvl w:ilvl="0">
      <w:lvlJc w:val="left"/>
      <w:lvlText w:val="(%1)"/>
      <w:numFmt w:val="lowerLetter"/>
      <w:start w:val="6"/>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decimal"/>
      <w:start w:val="10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30" Type="http://schemas.openxmlformats.org/officeDocument/2006/relationships/hyperlink" Target="http://www.sec.gov/Archives/edgar/data/1069258/000106925815000029/ktos20150628ex-24.htm" TargetMode="External"/><Relationship Id="rId31" Type="http://schemas.openxmlformats.org/officeDocument/2006/relationships/hyperlink" Target="http://www.sec.gov/Archives/edgar/data/1069258/000106925817000009/ktos20161225ex-31.htm" TargetMode="External"/><Relationship Id="rId32" Type="http://schemas.openxmlformats.org/officeDocument/2006/relationships/hyperlink" Target="http://www.sec.gov/Archives/edgar/data/1069258/000106925817000009/ktos20161225ex-32.htm" TargetMode="External"/><Relationship Id="rId33" Type="http://schemas.openxmlformats.org/officeDocument/2006/relationships/hyperlink" Target="http://www.sec.gov/Archives/edgar/data/1069258/000106925817000009/kratoscommonformofcertif.htm" TargetMode="External"/><Relationship Id="rId34" Type="http://schemas.openxmlformats.org/officeDocument/2006/relationships/hyperlink" Target="http://www.sec.gov/Archives/edgar/data/1069258/000106925814000023/seniornotesregistra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2019-12-29T03:37:13Z</dcterms:created>
  <dcterms:modified xsi:type="dcterms:W3CDTF">2019-12-29T03:37:13Z</dcterms:modified>
</cp:coreProperties>
</file>