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9" w:lineRule="exact"/>
        <w:rPr>
          <w:sz w:val="24"/>
          <w:szCs w:val="24"/>
          <w:color w:val="auto"/>
        </w:rPr>
      </w:pPr>
    </w:p>
    <w:p>
      <w:pPr>
        <w:ind w:left="460" w:right="460" w:hanging="452"/>
        <w:spacing w:after="0" w:line="262" w:lineRule="auto"/>
        <w:tabs>
          <w:tab w:leader="none" w:pos="456"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 FOR THE QUARTERLY PERIOD ENDED SEPTEMBER 30, 2005</w:t>
      </w:r>
    </w:p>
    <w:p>
      <w:pPr>
        <w:spacing w:after="0" w:line="177" w:lineRule="exact"/>
        <w:rPr>
          <w:sz w:val="24"/>
          <w:szCs w:val="24"/>
          <w:color w:val="auto"/>
        </w:rPr>
      </w:pPr>
    </w:p>
    <w:p>
      <w:pPr>
        <w:ind w:left="460" w:hanging="452"/>
        <w:spacing w:after="0" w:line="262" w:lineRule="auto"/>
        <w:tabs>
          <w:tab w:leader="none" w:pos="37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AND EXCHANGE ACT OF 1934</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217170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WIRELESS FACILITIES,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579" w:right="259" w:bottom="0" w:gutter="0" w:footer="0" w:header="0"/>
        </w:sectPr>
      </w:pPr>
    </w:p>
    <w:p>
      <w:pPr>
        <w:spacing w:after="0" w:line="201"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13-3818604</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460" w:space="720"/>
            <w:col w:w="3220"/>
          </w:cols>
          <w:pgMar w:left="240" w:top="579" w:right="259" w:bottom="0" w:gutter="0" w:footer="0" w:header="0"/>
          <w:type w:val="continuous"/>
        </w:sectPr>
      </w:pPr>
    </w:p>
    <w:p>
      <w:pPr>
        <w:spacing w:after="0" w:line="1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4810 Eastgate Mall</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(858) 228-2000</w:t>
      </w:r>
    </w:p>
    <w:p>
      <w:pPr>
        <w:spacing w:after="0" w:line="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w:t>
      </w:r>
    </w:p>
    <w:p>
      <w:pPr>
        <w:spacing w:after="0" w:line="2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79"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40" w:firstLine="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o No </w:t>
      </w:r>
      <w:r>
        <w:rPr>
          <w:rFonts w:ascii="MS PGothic" w:cs="MS PGothic" w:eastAsia="MS PGothic" w:hAnsi="MS PGothic"/>
          <w:sz w:val="18"/>
          <w:szCs w:val="18"/>
          <w:color w:val="auto"/>
        </w:rPr>
        <w:t>☒</w:t>
      </w:r>
    </w:p>
    <w:p>
      <w:pPr>
        <w:spacing w:after="0" w:line="25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November 4, 2005 there were 71,764,654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315595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WIRELESS FACILITIES, INC.</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5" w:lineRule="exact"/>
        <w:rPr>
          <w:sz w:val="24"/>
          <w:szCs w:val="24"/>
          <w:color w:val="auto"/>
        </w:rPr>
      </w:pPr>
    </w:p>
    <w:p>
      <w:pPr>
        <w:jc w:val="center"/>
        <w:ind w:right="-19"/>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PART I. FINANCIAL INFORMATION</w:t>
        </w:r>
      </w:hyperlink>
    </w:p>
    <w:p>
      <w:pPr>
        <w:spacing w:after="0" w:line="229" w:lineRule="exact"/>
        <w:rPr>
          <w:sz w:val="24"/>
          <w:szCs w:val="24"/>
          <w:color w:val="auto"/>
        </w:rPr>
      </w:pPr>
    </w:p>
    <w:p>
      <w:pPr>
        <w:ind w:left="20"/>
        <w:spacing w:after="0"/>
        <w:tabs>
          <w:tab w:leader="none" w:pos="1000" w:val="left"/>
        </w:tabs>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8"/>
            <w:szCs w:val="18"/>
            <w:u w:val="single" w:color="auto"/>
            <w:color w:val="0000EE"/>
          </w:rPr>
          <w:t>Item 1.</w:t>
        </w:r>
      </w:hyperlink>
      <w:r>
        <w:rPr>
          <w:rFonts w:ascii="Times New Roman" w:cs="Times New Roman" w:eastAsia="Times New Roman" w:hAnsi="Times New Roman"/>
          <w:sz w:val="18"/>
          <w:szCs w:val="18"/>
          <w:u w:val="single" w:color="auto"/>
          <w:color w:val="0000EE"/>
        </w:rPr>
        <w:tab/>
      </w:r>
      <w:hyperlink w:anchor="page2">
        <w:r>
          <w:rPr>
            <w:rFonts w:ascii="Times New Roman" w:cs="Times New Roman" w:eastAsia="Times New Roman" w:hAnsi="Times New Roman"/>
            <w:sz w:val="17"/>
            <w:szCs w:val="17"/>
            <w:u w:val="single" w:color="auto"/>
            <w:color w:val="0000EE"/>
          </w:rPr>
          <w:t>Financial Statements</w:t>
        </w:r>
      </w:hyperlink>
    </w:p>
    <w:p>
      <w:pPr>
        <w:spacing w:after="0" w:line="225" w:lineRule="exact"/>
        <w:rPr>
          <w:sz w:val="20"/>
          <w:szCs w:val="20"/>
          <w:color w:val="auto"/>
        </w:rPr>
      </w:pPr>
    </w:p>
    <w:p>
      <w:pPr>
        <w:ind w:left="120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Consolidated Balance Sheets at December 31, 2004 and September 30, 2005 (unaudited)</w:t>
        </w:r>
      </w:hyperlink>
    </w:p>
    <w:p>
      <w:pPr>
        <w:spacing w:after="0" w:line="225" w:lineRule="exact"/>
        <w:rPr>
          <w:sz w:val="20"/>
          <w:szCs w:val="20"/>
          <w:color w:val="auto"/>
        </w:rPr>
      </w:pPr>
    </w:p>
    <w:p>
      <w:pPr>
        <w:ind w:left="12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Statements of Operations for the Three and Nine Months Ended September 30, 2004 and 2005 (unaudited)</w:t>
        </w:r>
      </w:hyperlink>
    </w:p>
    <w:p>
      <w:pPr>
        <w:spacing w:after="0" w:line="225" w:lineRule="exact"/>
        <w:rPr>
          <w:sz w:val="20"/>
          <w:szCs w:val="20"/>
          <w:color w:val="auto"/>
        </w:rPr>
      </w:pPr>
    </w:p>
    <w:p>
      <w:pPr>
        <w:ind w:left="12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Statements of Cash Flows for the Nine Months Ended September 30, 2004 and 2005 (unaudited)</w:t>
        </w:r>
      </w:hyperlink>
    </w:p>
    <w:p>
      <w:pPr>
        <w:spacing w:after="0" w:line="225" w:lineRule="exact"/>
        <w:rPr>
          <w:sz w:val="20"/>
          <w:szCs w:val="20"/>
          <w:color w:val="auto"/>
        </w:rPr>
      </w:pPr>
    </w:p>
    <w:p>
      <w:pPr>
        <w:ind w:left="12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Notes to Consolidated Financial Statements (unaudited)</w:t>
        </w:r>
      </w:hyperlink>
    </w:p>
    <w:p>
      <w:pPr>
        <w:spacing w:after="0" w:line="225" w:lineRule="exact"/>
        <w:rPr>
          <w:sz w:val="20"/>
          <w:szCs w:val="20"/>
          <w:color w:val="auto"/>
        </w:rPr>
      </w:pPr>
    </w:p>
    <w:p>
      <w:pPr>
        <w:ind w:left="20"/>
        <w:spacing w:after="0"/>
        <w:tabs>
          <w:tab w:leader="none" w:pos="1000" w:val="left"/>
        </w:tabs>
        <w:rPr>
          <w:rFonts w:ascii="Times New Roman" w:cs="Times New Roman" w:eastAsia="Times New Roman" w:hAnsi="Times New Roman"/>
          <w:sz w:val="17"/>
          <w:szCs w:val="17"/>
          <w:u w:val="single" w:color="auto"/>
          <w:color w:val="0000EE"/>
        </w:rPr>
      </w:pPr>
      <w:hyperlink w:anchor="page14">
        <w:r>
          <w:rPr>
            <w:rFonts w:ascii="Times New Roman" w:cs="Times New Roman" w:eastAsia="Times New Roman" w:hAnsi="Times New Roman"/>
            <w:sz w:val="18"/>
            <w:szCs w:val="18"/>
            <w:u w:val="single" w:color="auto"/>
            <w:color w:val="0000EE"/>
          </w:rPr>
          <w:t>Item 2.</w:t>
        </w:r>
      </w:hyperlink>
      <w:r>
        <w:rPr>
          <w:rFonts w:ascii="Times New Roman" w:cs="Times New Roman" w:eastAsia="Times New Roman" w:hAnsi="Times New Roman"/>
          <w:sz w:val="18"/>
          <w:szCs w:val="18"/>
          <w:u w:val="single" w:color="auto"/>
          <w:color w:val="0000EE"/>
        </w:rPr>
        <w:tab/>
      </w:r>
      <w:hyperlink w:anchor="page14">
        <w:r>
          <w:rPr>
            <w:rFonts w:ascii="Times New Roman" w:cs="Times New Roman" w:eastAsia="Times New Roman" w:hAnsi="Times New Roman"/>
            <w:sz w:val="17"/>
            <w:szCs w:val="17"/>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20"/>
        <w:spacing w:after="0"/>
        <w:tabs>
          <w:tab w:leader="none" w:pos="1000" w:val="left"/>
        </w:tabs>
        <w:rPr>
          <w:rFonts w:ascii="Times New Roman" w:cs="Times New Roman" w:eastAsia="Times New Roman" w:hAnsi="Times New Roman"/>
          <w:sz w:val="17"/>
          <w:szCs w:val="17"/>
          <w:u w:val="single" w:color="auto"/>
          <w:color w:val="0000EE"/>
        </w:rPr>
      </w:pPr>
      <w:hyperlink r:id="rId16">
        <w:r>
          <w:rPr>
            <w:rFonts w:ascii="Times New Roman" w:cs="Times New Roman" w:eastAsia="Times New Roman" w:hAnsi="Times New Roman"/>
            <w:sz w:val="18"/>
            <w:szCs w:val="18"/>
            <w:u w:val="single" w:color="auto"/>
            <w:color w:val="0000EE"/>
          </w:rPr>
          <w:t>Item 3.</w:t>
        </w:r>
      </w:hyperlink>
      <w:r>
        <w:rPr>
          <w:rFonts w:ascii="Times New Roman" w:cs="Times New Roman" w:eastAsia="Times New Roman" w:hAnsi="Times New Roman"/>
          <w:sz w:val="18"/>
          <w:szCs w:val="18"/>
          <w:u w:val="single" w:color="auto"/>
          <w:color w:val="0000EE"/>
        </w:rPr>
        <w:tab/>
      </w:r>
      <w:hyperlink r:id="rId16">
        <w:r>
          <w:rPr>
            <w:rFonts w:ascii="Times New Roman" w:cs="Times New Roman" w:eastAsia="Times New Roman" w:hAnsi="Times New Roman"/>
            <w:sz w:val="17"/>
            <w:szCs w:val="17"/>
            <w:u w:val="single" w:color="auto"/>
            <w:color w:val="0000EE"/>
          </w:rPr>
          <w:t>Quantitative and Qualitative Disclosures About Market Risk</w:t>
        </w:r>
      </w:hyperlink>
    </w:p>
    <w:p>
      <w:pPr>
        <w:sectPr>
          <w:pgSz w:w="11900" w:h="16838" w:orient="portrait"/>
          <w:cols w:equalWidth="0" w:num="1">
            <w:col w:w="11400"/>
          </w:cols>
          <w:pgMar w:left="240" w:top="579" w:right="259" w:bottom="0" w:gutter="0" w:footer="0" w:header="0"/>
          <w:type w:val="continuous"/>
        </w:sectPr>
      </w:pPr>
    </w:p>
    <w:bookmarkStart w:id="1" w:name="page2"/>
    <w:bookmarkEnd w:id="1"/>
    <w:p>
      <w:pPr>
        <w:ind w:left="20"/>
        <w:spacing w:after="0"/>
        <w:tabs>
          <w:tab w:leader="none" w:pos="1000" w:val="left"/>
        </w:tabs>
        <w:rPr>
          <w:rFonts w:ascii="Times New Roman" w:cs="Times New Roman" w:eastAsia="Times New Roman" w:hAnsi="Times New Roman"/>
          <w:sz w:val="17"/>
          <w:szCs w:val="17"/>
          <w:u w:val="single" w:color="auto"/>
          <w:color w:val="0000EE"/>
        </w:rPr>
      </w:pPr>
      <w:hyperlink r:id="rId17">
        <w:r>
          <w:rPr>
            <w:rFonts w:ascii="Times New Roman" w:cs="Times New Roman" w:eastAsia="Times New Roman" w:hAnsi="Times New Roman"/>
            <w:sz w:val="18"/>
            <w:szCs w:val="18"/>
            <w:u w:val="single" w:color="auto"/>
            <w:color w:val="0000EE"/>
          </w:rPr>
          <w:t>Item 4.</w:t>
        </w:r>
      </w:hyperlink>
      <w:r>
        <w:rPr>
          <w:rFonts w:ascii="Times New Roman" w:cs="Times New Roman" w:eastAsia="Times New Roman" w:hAnsi="Times New Roman"/>
          <w:sz w:val="18"/>
          <w:szCs w:val="18"/>
          <w:u w:val="single" w:color="auto"/>
          <w:color w:val="0000EE"/>
        </w:rPr>
        <w:tab/>
      </w:r>
      <w:hyperlink r:id="rId17">
        <w:r>
          <w:rPr>
            <w:rFonts w:ascii="Times New Roman" w:cs="Times New Roman" w:eastAsia="Times New Roman" w:hAnsi="Times New Roman"/>
            <w:sz w:val="17"/>
            <w:szCs w:val="17"/>
            <w:u w:val="single" w:color="auto"/>
            <w:color w:val="0000EE"/>
          </w:rPr>
          <w:t>Controls and Procedures</w:t>
        </w:r>
      </w:hyperlink>
    </w:p>
    <w:p>
      <w:pPr>
        <w:spacing w:after="0" w:line="221" w:lineRule="exact"/>
        <w:rPr>
          <w:sz w:val="20"/>
          <w:szCs w:val="20"/>
          <w:color w:val="auto"/>
        </w:rPr>
      </w:pPr>
    </w:p>
    <w:p>
      <w:pPr>
        <w:jc w:val="center"/>
        <w:spacing w:after="0"/>
        <w:rPr>
          <w:rFonts w:ascii="Times New Roman" w:cs="Times New Roman" w:eastAsia="Times New Roman" w:hAnsi="Times New Roman"/>
          <w:sz w:val="18"/>
          <w:szCs w:val="18"/>
          <w:b w:val="1"/>
          <w:bCs w:val="1"/>
          <w:u w:val="single" w:color="auto"/>
          <w:color w:val="0000EE"/>
        </w:rPr>
      </w:pPr>
      <w:hyperlink r:id="rId18">
        <w:r>
          <w:rPr>
            <w:rFonts w:ascii="Times New Roman" w:cs="Times New Roman" w:eastAsia="Times New Roman" w:hAnsi="Times New Roman"/>
            <w:sz w:val="18"/>
            <w:szCs w:val="18"/>
            <w:b w:val="1"/>
            <w:bCs w:val="1"/>
            <w:u w:val="single" w:color="auto"/>
            <w:color w:val="0000EE"/>
          </w:rPr>
          <w:t>PART II. OTHER INFORMATION</w:t>
        </w:r>
      </w:hyperlink>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0" w:type="dxa"/>
            <w:vAlign w:val="bottom"/>
          </w:tcPr>
          <w:p>
            <w:pPr>
              <w:spacing w:after="0"/>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Item 1.</w:t>
              </w:r>
            </w:hyperlink>
          </w:p>
        </w:tc>
        <w:tc>
          <w:tcPr>
            <w:tcW w:w="1820" w:type="dxa"/>
            <w:vAlign w:val="bottom"/>
            <w:gridSpan w:val="3"/>
          </w:tcPr>
          <w:p>
            <w:pPr>
              <w:ind w:left="480"/>
              <w:spacing w:after="0"/>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Legal Proceedings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Item 6.</w:t>
              </w:r>
            </w:hyperlink>
          </w:p>
        </w:tc>
        <w:tc>
          <w:tcPr>
            <w:tcW w:w="1820" w:type="dxa"/>
            <w:vAlign w:val="bottom"/>
            <w:gridSpan w:val="3"/>
          </w:tcPr>
          <w:p>
            <w:pPr>
              <w:ind w:left="480"/>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Exhibits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WIRELESS FACILITIES,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(in millions, except par value and number of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180" w:type="dxa"/>
            <w:vAlign w:val="bottom"/>
          </w:tcPr>
          <w:p>
            <w:pPr>
              <w:spacing w:after="0"/>
              <w:rPr>
                <w:sz w:val="15"/>
                <w:szCs w:val="15"/>
                <w:color w:val="auto"/>
              </w:rPr>
            </w:pPr>
          </w:p>
        </w:tc>
        <w:tc>
          <w:tcPr>
            <w:tcW w:w="18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 2005</w:t>
            </w:r>
          </w:p>
        </w:tc>
      </w:tr>
      <w:tr>
        <w:trPr>
          <w:trHeight w:val="196"/>
        </w:trPr>
        <w:tc>
          <w:tcPr>
            <w:tcW w:w="7460" w:type="dxa"/>
            <w:vAlign w:val="bottom"/>
            <w:tcBorders>
              <w:top w:val="single" w:sz="8" w:color="CCEEFF"/>
            </w:tcBorders>
            <w:shd w:val="clear" w:color="auto" w:fill="CCEEFF"/>
          </w:tcPr>
          <w:p>
            <w:pPr>
              <w:ind w:left="33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loans and advances,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18"/>
                <w:szCs w:val="18"/>
                <w:color w:val="auto"/>
              </w:rPr>
            </w:pPr>
          </w:p>
        </w:tc>
      </w:tr>
      <w:tr>
        <w:trPr>
          <w:trHeight w:val="210"/>
        </w:trPr>
        <w:tc>
          <w:tcPr>
            <w:tcW w:w="7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r>
      <w:tr>
        <w:trPr>
          <w:trHeight w:val="217"/>
        </w:trPr>
        <w:tc>
          <w:tcPr>
            <w:tcW w:w="74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80" w:type="dxa"/>
            <w:vAlign w:val="bottom"/>
            <w:tcBorders>
              <w:bottom w:val="single" w:sz="8" w:color="CCEEFF"/>
            </w:tcBorders>
          </w:tcPr>
          <w:p>
            <w:pPr>
              <w:spacing w:after="0"/>
              <w:rPr>
                <w:sz w:val="18"/>
                <w:szCs w:val="18"/>
                <w:color w:val="auto"/>
              </w:rPr>
            </w:pPr>
          </w:p>
        </w:tc>
      </w:tr>
      <w:tr>
        <w:trPr>
          <w:trHeight w:val="203"/>
        </w:trPr>
        <w:tc>
          <w:tcPr>
            <w:tcW w:w="7460" w:type="dxa"/>
            <w:vAlign w:val="bottom"/>
            <w:shd w:val="clear" w:color="auto" w:fill="CCEEFF"/>
          </w:tcPr>
          <w:p>
            <w:pPr>
              <w:ind w:left="2220"/>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on contracts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contingencies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 for contingent acquisition consideration</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Accrual for unused office space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lease obligations short-term</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for unused office space, net of current portion</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r>
      <w:tr>
        <w:trPr>
          <w:trHeight w:val="210"/>
        </w:trPr>
        <w:tc>
          <w:tcPr>
            <w:tcW w:w="74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Borders>
              <w:bottom w:val="single" w:sz="8" w:color="CCEEFF"/>
            </w:tcBorders>
          </w:tcPr>
          <w:p>
            <w:pPr>
              <w:spacing w:after="0"/>
              <w:rPr>
                <w:sz w:val="18"/>
                <w:szCs w:val="18"/>
                <w:color w:val="auto"/>
              </w:rPr>
            </w:pPr>
          </w:p>
        </w:tc>
      </w:tr>
      <w:tr>
        <w:trPr>
          <w:trHeight w:val="210"/>
        </w:trPr>
        <w:tc>
          <w:tcPr>
            <w:tcW w:w="7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interest in subsidiary</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 5,000,000 shares authorized</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198"/>
        </w:trPr>
        <w:tc>
          <w:tcPr>
            <w:tcW w:w="746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$.001 par value, 25,483 shares outstanding at</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4"/>
        </w:trPr>
        <w:tc>
          <w:tcPr>
            <w:tcW w:w="7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December 31, 2004 and September 30, 2005, respectively (liquidation preference $12.7)</w:t>
            </w:r>
          </w:p>
        </w:tc>
        <w:tc>
          <w:tcPr>
            <w:tcW w:w="18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195,000,000 shares authorized; 71,103,301 and 71,708,786</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4"/>
        </w:trPr>
        <w:tc>
          <w:tcPr>
            <w:tcW w:w="7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December 31, 2004 and September 30, 2005, respectively</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80" w:type="dxa"/>
            <w:vAlign w:val="bottom"/>
          </w:tcPr>
          <w:p>
            <w:pPr>
              <w:spacing w:after="0"/>
              <w:rPr>
                <w:sz w:val="18"/>
                <w:szCs w:val="18"/>
                <w:color w:val="auto"/>
              </w:rPr>
            </w:pPr>
          </w:p>
        </w:tc>
      </w:tr>
      <w:tr>
        <w:trPr>
          <w:trHeight w:val="216"/>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(95.4 )</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(81.8 )</w:t>
            </w: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18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(4.1 )</w:t>
            </w:r>
          </w:p>
        </w:tc>
      </w:tr>
      <w:tr>
        <w:trPr>
          <w:trHeight w:val="210"/>
        </w:trPr>
        <w:tc>
          <w:tcPr>
            <w:tcW w:w="74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80" w:type="dxa"/>
            <w:vAlign w:val="bottom"/>
            <w:tcBorders>
              <w:top w:val="single" w:sz="8" w:color="CCEEFF"/>
            </w:tcBorders>
            <w:shd w:val="clear" w:color="auto" w:fill="CCEEFF"/>
          </w:tcPr>
          <w:p>
            <w:pPr>
              <w:spacing w:after="0"/>
              <w:rPr>
                <w:sz w:val="18"/>
                <w:szCs w:val="18"/>
                <w:color w:val="auto"/>
              </w:rPr>
            </w:pPr>
          </w:p>
        </w:tc>
      </w:tr>
      <w:tr>
        <w:trPr>
          <w:trHeight w:val="217"/>
        </w:trPr>
        <w:tc>
          <w:tcPr>
            <w:tcW w:w="7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80" w:type="dxa"/>
            <w:vAlign w:val="bottom"/>
          </w:tcPr>
          <w:p>
            <w:pPr>
              <w:spacing w:after="0"/>
              <w:rPr>
                <w:sz w:val="18"/>
                <w:szCs w:val="18"/>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420"/>
          </w:cols>
          <w:pgMar w:left="240" w:top="121" w:right="239" w:bottom="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WIRELESS FACILITIES,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bl>
      <w:tblPr>
        <w:tblLayout w:type="fixed"/>
        <w:tblInd w:w="0" w:type="dxa"/>
        <w:tblCellMar>
          <w:top w:w="0" w:type="dxa"/>
          <w:left w:w="0" w:type="dxa"/>
          <w:bottom w:w="0" w:type="dxa"/>
          <w:right w:w="0" w:type="dxa"/>
        </w:tblCellMar>
      </w:tblPr>
      <w:tr>
        <w:trPr>
          <w:trHeight w:val="133"/>
        </w:trPr>
        <w:tc>
          <w:tcPr>
            <w:tcW w:w="6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gridSpan w:val="5"/>
          </w:tcPr>
          <w:p>
            <w:pPr>
              <w:jc w:val="right"/>
              <w:ind w:right="540"/>
              <w:spacing w:after="0" w:line="133"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1"/>
                <w:szCs w:val="11"/>
                <w:color w:val="auto"/>
              </w:rPr>
            </w:pPr>
          </w:p>
        </w:tc>
        <w:tc>
          <w:tcPr>
            <w:tcW w:w="2060" w:type="dxa"/>
            <w:vAlign w:val="bottom"/>
            <w:gridSpan w:val="5"/>
          </w:tcPr>
          <w:p>
            <w:pPr>
              <w:jc w:val="right"/>
              <w:ind w:right="530"/>
              <w:spacing w:after="0" w:line="133"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7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2005</w:t>
            </w: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4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acquisition consideration and restatement fees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10"/>
        </w:trPr>
        <w:tc>
          <w:tcPr>
            <w:tcW w:w="67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top w:val="single" w:sz="8" w:color="CCEEFF"/>
            </w:tcBorders>
            <w:shd w:val="clear" w:color="auto" w:fill="CCEEFF"/>
          </w:tcPr>
          <w:p>
            <w:pPr>
              <w:spacing w:after="0"/>
              <w:rPr>
                <w:sz w:val="18"/>
                <w:szCs w:val="18"/>
                <w:color w:val="auto"/>
              </w:rPr>
            </w:pPr>
          </w:p>
        </w:tc>
      </w:tr>
      <w:tr>
        <w:trPr>
          <w:trHeight w:val="196"/>
        </w:trPr>
        <w:tc>
          <w:tcPr>
            <w:tcW w:w="6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of investment in unconsolidated affiliate and other expenses,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0"/>
        </w:trPr>
        <w:tc>
          <w:tcPr>
            <w:tcW w:w="67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6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r>
      <w:tr>
        <w:trPr>
          <w:trHeight w:val="217"/>
        </w:trPr>
        <w:tc>
          <w:tcPr>
            <w:tcW w:w="67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(0.07 )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r>
      <w:tr>
        <w:trPr>
          <w:trHeight w:val="217"/>
        </w:trPr>
        <w:tc>
          <w:tcPr>
            <w:tcW w:w="67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(0.07 )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r>
      <w:tr>
        <w:trPr>
          <w:trHeight w:val="217"/>
        </w:trPr>
        <w:tc>
          <w:tcPr>
            <w:tcW w:w="6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shd w:val="clear" w:color="auto" w:fill="CCEEFF"/>
          </w:tcPr>
          <w:p>
            <w:pPr>
              <w:spacing w:after="0"/>
              <w:rPr>
                <w:sz w:val="18"/>
                <w:szCs w:val="18"/>
                <w:color w:val="auto"/>
              </w:rPr>
            </w:pPr>
          </w:p>
        </w:tc>
      </w:tr>
      <w:tr>
        <w:trPr>
          <w:trHeight w:val="234"/>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WIRELESS FACILITIES, INC.</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ind w:left="5240"/>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60" w:type="dxa"/>
            <w:vAlign w:val="bottom"/>
          </w:tcPr>
          <w:p>
            <w:pPr>
              <w:spacing w:after="0"/>
              <w:rPr>
                <w:sz w:val="15"/>
                <w:szCs w:val="15"/>
                <w:color w:val="auto"/>
              </w:rPr>
            </w:pPr>
          </w:p>
        </w:tc>
        <w:tc>
          <w:tcPr>
            <w:tcW w:w="26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8160" w:type="dxa"/>
            <w:vAlign w:val="bottom"/>
          </w:tcPr>
          <w:p>
            <w:pPr>
              <w:spacing w:after="0"/>
              <w:rPr>
                <w:sz w:val="12"/>
                <w:szCs w:val="12"/>
                <w:color w:val="auto"/>
              </w:rPr>
            </w:pPr>
          </w:p>
        </w:tc>
        <w:tc>
          <w:tcPr>
            <w:tcW w:w="98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68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8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(4.8 )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r>
      <w:tr>
        <w:trPr>
          <w:trHeight w:val="198"/>
        </w:trPr>
        <w:tc>
          <w:tcPr>
            <w:tcW w:w="81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from continuing operations to net cash provided by operating</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8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activities:</w:t>
            </w: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r>
      <w:tr>
        <w:trPr>
          <w:trHeight w:val="216"/>
        </w:trPr>
        <w:tc>
          <w:tcPr>
            <w:tcW w:w="8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asset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r>
      <w:tr>
        <w:trPr>
          <w:trHeight w:val="21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on disposition of fixed assets</w:t>
            </w:r>
          </w:p>
        </w:tc>
        <w:tc>
          <w:tcPr>
            <w:tcW w:w="980" w:type="dxa"/>
            <w:vAlign w:val="bottom"/>
          </w:tcPr>
          <w:p>
            <w:pPr>
              <w:spacing w:after="0"/>
              <w:rPr>
                <w:sz w:val="18"/>
                <w:szCs w:val="18"/>
                <w:color w:val="auto"/>
              </w:rPr>
            </w:pPr>
          </w:p>
        </w:tc>
        <w:tc>
          <w:tcPr>
            <w:tcW w:w="1680" w:type="dxa"/>
            <w:vAlign w:val="bottom"/>
            <w:gridSpan w:val="3"/>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r>
      <w:tr>
        <w:trPr>
          <w:trHeight w:val="216"/>
        </w:trPr>
        <w:tc>
          <w:tcPr>
            <w:tcW w:w="8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Credit for doubtful accounts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(0.6 )</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loss in unconsolidated affiliates, including impairment charges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(28.9 )</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(13.1 )</w:t>
            </w:r>
          </w:p>
        </w:tc>
      </w:tr>
      <w:tr>
        <w:trPr>
          <w:trHeight w:val="216"/>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8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Prepaid expenses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(0.9 )</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8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r>
      <w:tr>
        <w:trPr>
          <w:trHeight w:val="216"/>
        </w:trPr>
        <w:tc>
          <w:tcPr>
            <w:tcW w:w="8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contingencies</w:t>
            </w:r>
          </w:p>
        </w:tc>
        <w:tc>
          <w:tcPr>
            <w:tcW w:w="9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Billings in excess of costs on completed contracts</w:t>
            </w:r>
          </w:p>
        </w:tc>
        <w:tc>
          <w:tcPr>
            <w:tcW w:w="9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0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8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Accrual for unused office space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(0.8 )</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(0.8 )</w:t>
            </w:r>
          </w:p>
        </w:tc>
      </w:tr>
      <w:tr>
        <w:trPr>
          <w:trHeight w:val="226"/>
        </w:trPr>
        <w:tc>
          <w:tcPr>
            <w:tcW w:w="81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Accrual for contingent consideration related to acquisitions</w:t>
            </w:r>
          </w:p>
        </w:tc>
        <w:tc>
          <w:tcPr>
            <w:tcW w:w="9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r>
    </w:tbl>
    <w:p>
      <w:pPr>
        <w:sectPr>
          <w:pgSz w:w="11900" w:h="16900" w:orient="portrait"/>
          <w:cols w:equalWidth="0" w:num="1">
            <w:col w:w="11420"/>
          </w:cols>
          <w:pgMar w:left="240" w:top="576"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liabilities</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continuing operations</w:t>
            </w: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CCEEFF"/>
            </w:tcBorders>
          </w:tcPr>
          <w:p>
            <w:pPr>
              <w:spacing w:after="0"/>
              <w:rPr>
                <w:sz w:val="18"/>
                <w:szCs w:val="18"/>
                <w:color w:val="auto"/>
              </w:rPr>
            </w:pPr>
          </w:p>
        </w:tc>
      </w:tr>
      <w:tr>
        <w:trPr>
          <w:trHeight w:val="210"/>
        </w:trPr>
        <w:tc>
          <w:tcPr>
            <w:tcW w:w="8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5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net assets and liabilities of discontinued operations</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0"/>
        </w:trPr>
        <w:tc>
          <w:tcPr>
            <w:tcW w:w="81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used in discontinued operations</w:t>
            </w: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8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r>
      <w:tr>
        <w:trPr>
          <w:trHeight w:val="210"/>
        </w:trPr>
        <w:tc>
          <w:tcPr>
            <w:tcW w:w="8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5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(6.3 )</w:t>
            </w:r>
          </w:p>
        </w:tc>
        <w:tc>
          <w:tcPr>
            <w:tcW w:w="5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16"/>
        </w:trPr>
        <w:tc>
          <w:tcPr>
            <w:tcW w:w="8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r>
      <w:tr>
        <w:trPr>
          <w:trHeight w:val="21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unconsolidated subsidiary</w:t>
            </w:r>
          </w:p>
        </w:tc>
        <w:tc>
          <w:tcPr>
            <w:tcW w:w="5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58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1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contingent acquisition consideration</w:t>
            </w:r>
          </w:p>
        </w:tc>
        <w:tc>
          <w:tcPr>
            <w:tcW w:w="5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(8.3 )</w:t>
            </w:r>
          </w:p>
        </w:tc>
        <w:tc>
          <w:tcPr>
            <w:tcW w:w="5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16"/>
        </w:trPr>
        <w:tc>
          <w:tcPr>
            <w:tcW w:w="8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paid for Company acquisitions, net of cash received</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(53.9 )</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10"/>
        </w:trPr>
        <w:tc>
          <w:tcPr>
            <w:tcW w:w="81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8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r>
      <w:tr>
        <w:trPr>
          <w:trHeight w:val="21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r>
      <w:tr>
        <w:trPr>
          <w:trHeight w:val="216"/>
        </w:trPr>
        <w:tc>
          <w:tcPr>
            <w:tcW w:w="8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(0.4 )</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0"/>
        </w:trPr>
        <w:tc>
          <w:tcPr>
            <w:tcW w:w="81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8"/>
                <w:szCs w:val="18"/>
                <w:color w:val="auto"/>
              </w:rPr>
            </w:pPr>
          </w:p>
        </w:tc>
      </w:tr>
      <w:tr>
        <w:trPr>
          <w:trHeight w:val="210"/>
        </w:trPr>
        <w:tc>
          <w:tcPr>
            <w:tcW w:w="8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and cash equivalents</w:t>
            </w:r>
          </w:p>
        </w:tc>
        <w:tc>
          <w:tcPr>
            <w:tcW w:w="5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(0.4 )</w:t>
            </w:r>
          </w:p>
        </w:tc>
        <w:tc>
          <w:tcPr>
            <w:tcW w:w="58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(32.7 )</w:t>
            </w:r>
          </w:p>
        </w:tc>
        <w:tc>
          <w:tcPr>
            <w:tcW w:w="5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(38.3 )</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shd w:val="clear" w:color="auto" w:fill="CCEEFF"/>
          </w:tcPr>
          <w:p>
            <w:pPr>
              <w:spacing w:after="0"/>
              <w:rPr>
                <w:sz w:val="18"/>
                <w:szCs w:val="18"/>
                <w:color w:val="auto"/>
              </w:rPr>
            </w:pPr>
          </w:p>
        </w:tc>
      </w:tr>
      <w:tr>
        <w:trPr>
          <w:trHeight w:val="21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81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12"/>
                <w:szCs w:val="12"/>
                <w:color w:val="auto"/>
              </w:rPr>
            </w:pPr>
          </w:p>
        </w:tc>
      </w:tr>
      <w:tr>
        <w:trPr>
          <w:trHeight w:val="210"/>
        </w:trPr>
        <w:tc>
          <w:tcPr>
            <w:tcW w:w="8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during the period for interest</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r>
      <w:tr>
        <w:trPr>
          <w:trHeight w:val="216"/>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refunded (paid) during the period for income taxes</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8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transactions: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assets acquired in acquisitions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r>
      <w:tr>
        <w:trPr>
          <w:trHeight w:val="216"/>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CEEFF"/>
          </w:tcPr>
          <w:p>
            <w:pPr>
              <w:spacing w:after="0"/>
              <w:rPr>
                <w:sz w:val="18"/>
                <w:szCs w:val="18"/>
                <w:color w:val="auto"/>
              </w:rPr>
            </w:pPr>
          </w:p>
        </w:tc>
      </w:tr>
      <w:tr>
        <w:trPr>
          <w:trHeight w:val="217"/>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financing obligation of $0.6 million was incurred when the Company purchased software licenses during the quarter ended June 30, 2005.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WIRELESS FACILITIES,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1"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Description of Business</w:t>
      </w:r>
    </w:p>
    <w:p>
      <w:pPr>
        <w:spacing w:after="0" w:line="214"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Wireless Facilities, Inc. (“WFI”) was initially incorporated in the state of New York on December 19, 1994, commenced operations in March 1995 and was reincorporated in Delaware in 1998. WFI conducts business in three segments: Wireless Network Services, Government Network Services and Enterprise Network Services. WFI is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WFI Government Services, Inc., and enterprise customers through its Enterprise Network Services division (“ENS”).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Fiscal Calendar and Basis of Presentation</w:t>
      </w:r>
    </w:p>
    <w:p>
      <w:pPr>
        <w:spacing w:after="0" w:line="227" w:lineRule="exact"/>
        <w:rPr>
          <w:sz w:val="20"/>
          <w:szCs w:val="20"/>
          <w:color w:val="auto"/>
        </w:rPr>
      </w:pPr>
    </w:p>
    <w:p>
      <w:pPr>
        <w:jc w:val="both"/>
        <w:ind w:right="60" w:firstLine="405"/>
        <w:spacing w:after="0" w:line="289" w:lineRule="auto"/>
        <w:rPr>
          <w:sz w:val="20"/>
          <w:szCs w:val="20"/>
          <w:color w:val="auto"/>
        </w:rPr>
      </w:pPr>
      <w:r>
        <w:rPr>
          <w:rFonts w:ascii="Times New Roman" w:cs="Times New Roman" w:eastAsia="Times New Roman" w:hAnsi="Times New Roman"/>
          <w:sz w:val="17"/>
          <w:szCs w:val="17"/>
          <w:color w:val="auto"/>
        </w:rPr>
        <w:t>The Company operates and reports using a 52-53 week fiscal year ending the last Friday in December. As a result, a fifty-third week is added every five or six years. Our 52 week fiscal year consists of four equal quarters of 13 weeks each, and our 53 week fiscal year consists of three 13 week quarters and one 14 week quarter. The financial results for our 53 week fiscal years and our 14 week fiscal quarters will not be exactly comparable to our 52 week fiscal years</w:t>
      </w:r>
    </w:p>
    <w:p>
      <w:pPr>
        <w:sectPr>
          <w:pgSz w:w="11900" w:h="16838" w:orient="portrait"/>
          <w:cols w:equalWidth="0" w:num="1">
            <w:col w:w="11420"/>
          </w:cols>
          <w:pgMar w:left="240" w:top="140" w:right="239" w:bottom="0" w:gutter="0" w:footer="0" w:header="0"/>
        </w:sectPr>
      </w:pPr>
    </w:p>
    <w:bookmarkStart w:id="4" w:name="page5"/>
    <w:bookmarkEnd w:id="4"/>
    <w:p>
      <w:pPr>
        <w:ind w:right="400"/>
        <w:spacing w:after="0" w:line="282" w:lineRule="auto"/>
        <w:rPr>
          <w:sz w:val="20"/>
          <w:szCs w:val="20"/>
          <w:color w:val="auto"/>
        </w:rPr>
      </w:pPr>
      <w:r>
        <w:rPr>
          <w:rFonts w:ascii="Times New Roman" w:cs="Times New Roman" w:eastAsia="Times New Roman" w:hAnsi="Times New Roman"/>
          <w:sz w:val="18"/>
          <w:szCs w:val="18"/>
          <w:color w:val="auto"/>
        </w:rPr>
        <w:t>and our 13 week fiscal quarters. However, the 2004 and 2005 quarters presented in this report on Form 10-Q have the same number of weeks. For presentation purposes, all fiscal periods presented or discussed in this report have been presented as ending on the last day of the nearest calendar month.</w:t>
      </w:r>
    </w:p>
    <w:p>
      <w:pPr>
        <w:spacing w:after="0" w:line="16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information as of September 30, 2005, and for the three and nine month periods ended September 30, 2004 and 2005 is unaudited. In the opinion of management, these consolidated financial statements include all adjustments, consisting of normal recurring adjustments, necessary for a fair presentation of the results of operations for the interim periods presented. Interim operating results are not necessarily indicative of operating results expected in subsequent periods or for the year as a whole. These unaudited consolidated financial statements should be read in conjunction with the consolidated financial statements and the related notes included in WFI’s annual consolidated financial statements for the year ended December 31, 2004, filed on Form 10-K on March 31, 2005, as amended by Form 10-K/A, with the United States Securities and Exchange Commission.</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the accounts of WFI and its wholly-owned and majority-owned subsidiaries. WFI and its subsidiaries are collectively referred to herein as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Use of Estimates</w:t>
      </w:r>
    </w:p>
    <w:p>
      <w:pPr>
        <w:spacing w:after="0" w:line="227"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In the future, the Company may realize actual results that differ from the current reported estimates.</w:t>
      </w:r>
    </w:p>
    <w:p>
      <w:pPr>
        <w:spacing w:after="0" w:line="180" w:lineRule="exact"/>
        <w:rPr>
          <w:sz w:val="20"/>
          <w:szCs w:val="20"/>
          <w:color w:val="auto"/>
        </w:rPr>
      </w:pPr>
    </w:p>
    <w:p>
      <w:pPr>
        <w:ind w:right="420" w:firstLine="360"/>
        <w:spacing w:after="0" w:line="266" w:lineRule="auto"/>
        <w:rPr>
          <w:sz w:val="20"/>
          <w:szCs w:val="20"/>
          <w:color w:val="auto"/>
        </w:rPr>
      </w:pPr>
      <w:r>
        <w:rPr>
          <w:rFonts w:ascii="Times New Roman" w:cs="Times New Roman" w:eastAsia="Times New Roman" w:hAnsi="Times New Roman"/>
          <w:sz w:val="18"/>
          <w:szCs w:val="18"/>
          <w:color w:val="auto"/>
        </w:rPr>
        <w:t>The Company’s significant estimates include those related to revenue recognition, allowance for doubtful accounts, valuation of long-lived assets including identifiable intangibles and goodwill, accounting for income taxes including the related valuation allowance, accruals for partial self-insurance contingencies, litigation and contingent acquisition consideration.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Reclassifications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the extent deemed necessary in order to conform to the current period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Cash and Cash Equivalents and Short-Term Investments</w:t>
      </w:r>
    </w:p>
    <w:p>
      <w:pPr>
        <w:spacing w:after="0" w:line="227" w:lineRule="exact"/>
        <w:rPr>
          <w:sz w:val="20"/>
          <w:szCs w:val="20"/>
          <w:color w:val="auto"/>
        </w:rPr>
      </w:pPr>
    </w:p>
    <w:p>
      <w:pPr>
        <w:ind w:right="80" w:firstLine="454"/>
        <w:spacing w:after="0" w:line="282" w:lineRule="auto"/>
        <w:rPr>
          <w:sz w:val="20"/>
          <w:szCs w:val="20"/>
          <w:color w:val="auto"/>
        </w:rPr>
      </w:pPr>
      <w:r>
        <w:rPr>
          <w:rFonts w:ascii="Times New Roman" w:cs="Times New Roman" w:eastAsia="Times New Roman" w:hAnsi="Times New Roman"/>
          <w:sz w:val="18"/>
          <w:szCs w:val="18"/>
          <w:color w:val="auto"/>
        </w:rPr>
        <w:t>The Company’s cash equivalents consist of its highly liquid investments with original maturities of three months or less as of the date purchased by the Company. At December 31, 2004, the Company’s short-term investments consisted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corporate notes and bonds and U.S. government and agency securities. At September 30, 2005, the Company’s restricted cash consisted of a one-year fixed account at zero interest as a result of a new regulation in Argentina which requires the maintenance of cash balances as a percentage of foreign loans advanced by the Company to its foreign subsidiary.</w:t>
      </w:r>
    </w:p>
    <w:p>
      <w:pPr>
        <w:spacing w:after="0" w:line="176" w:lineRule="exact"/>
        <w:rPr>
          <w:sz w:val="20"/>
          <w:szCs w:val="20"/>
          <w:color w:val="auto"/>
        </w:rPr>
      </w:pPr>
    </w:p>
    <w:p>
      <w:pPr>
        <w:ind w:right="60" w:firstLine="389"/>
        <w:spacing w:after="0" w:line="254" w:lineRule="auto"/>
        <w:rPr>
          <w:sz w:val="20"/>
          <w:szCs w:val="20"/>
          <w:color w:val="auto"/>
        </w:rPr>
      </w:pPr>
      <w:r>
        <w:rPr>
          <w:rFonts w:ascii="Times New Roman" w:cs="Times New Roman" w:eastAsia="Times New Roman" w:hAnsi="Times New Roman"/>
          <w:sz w:val="18"/>
          <w:szCs w:val="18"/>
          <w:color w:val="auto"/>
        </w:rPr>
        <w:t>The Company has evaluated its investment policies consistent with the provisions of Statement of Financial Accounting Standards (SFAS) No. 115, “Accounting for Certain Investments in Debt and Equity Securities.” Based on such evaluation, the Company’s management has determined that all of its investment securities are properly classified as available-for-sale. Based on the Company’s intent, investment policies and related ability to liquidate debt securities maturing after one year during the one-year operating cycle, the Company classifies such short-term investment securities within current assets. Available-for-sale securities are carried at fair value, with unrealized gains and losses reported as a separate component of Stockholders’ Equity under the caption “Accumulated Other Comprehensive Income or Loss.” The amortized cost basis of debt securities is periodically adjusted for amortization of premiums and accretion of discounts to maturity. Such amortization is included as a component of interest income (expense). The amortized cost basis of securities sold is based on the specific identification method and all such realized gains and losses are recorded to other income (expense), net. Interest and dividends on securities classified as available-for-sale are included in interest income. The fair value of short-term investments at September 30, 2005 was as follows (in millions):</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September 30, 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Pr>
          <w:p>
            <w:pPr>
              <w:spacing w:after="0"/>
              <w:rPr>
                <w:sz w:val="10"/>
                <w:szCs w:val="10"/>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176"/>
        </w:trPr>
        <w:tc>
          <w:tcPr>
            <w:tcW w:w="65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5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8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 and short-term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net unrealized or realized gains or losses for quarter ended September 30, 2005.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Revenue Recognition</w:t>
      </w:r>
    </w:p>
    <w:p>
      <w:pPr>
        <w:spacing w:after="0" w:line="227" w:lineRule="exact"/>
        <w:rPr>
          <w:sz w:val="20"/>
          <w:szCs w:val="20"/>
          <w:color w:val="auto"/>
        </w:rPr>
      </w:pPr>
    </w:p>
    <w:p>
      <w:pPr>
        <w:ind w:firstLine="454"/>
        <w:spacing w:after="0" w:line="255" w:lineRule="auto"/>
        <w:rPr>
          <w:sz w:val="20"/>
          <w:szCs w:val="20"/>
          <w:color w:val="auto"/>
        </w:rPr>
      </w:pPr>
      <w:r>
        <w:rPr>
          <w:rFonts w:ascii="Times New Roman" w:cs="Times New Roman" w:eastAsia="Times New Roman" w:hAnsi="Times New Roman"/>
          <w:sz w:val="18"/>
          <w:szCs w:val="18"/>
          <w:color w:val="auto"/>
        </w:rPr>
        <w:t>The Company provides services for four primary types of contracts: fixed-price long-term turnkey; time and materials; cost plus; and contract management and out of pocket reimbursables. The Company realizes a significant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The full</w:t>
      </w:r>
    </w:p>
    <w:p>
      <w:pPr>
        <w:sectPr>
          <w:pgSz w:w="11900" w:h="16838" w:orient="portrait"/>
          <w:cols w:equalWidth="0" w:num="1">
            <w:col w:w="11420"/>
          </w:cols>
          <w:pgMar w:left="240" w:top="121" w:right="239" w:bottom="0" w:gutter="0" w:footer="0" w:header="0"/>
        </w:sectPr>
      </w:pPr>
    </w:p>
    <w:bookmarkStart w:id="5" w:name="page6"/>
    <w:bookmarkEnd w:id="5"/>
    <w:p>
      <w:pPr>
        <w:ind w:right="280"/>
        <w:spacing w:after="0" w:line="261" w:lineRule="auto"/>
        <w:rPr>
          <w:sz w:val="20"/>
          <w:szCs w:val="20"/>
          <w:color w:val="auto"/>
        </w:rPr>
      </w:pPr>
      <w:r>
        <w:rPr>
          <w:rFonts w:ascii="Times New Roman" w:cs="Times New Roman" w:eastAsia="Times New Roman" w:hAnsi="Times New Roman"/>
          <w:sz w:val="18"/>
          <w:szCs w:val="18"/>
          <w:color w:val="auto"/>
        </w:rPr>
        <w:t>amount of an estimated loss associated with a contract is accrued and charged to operations in the period it is determined that it is probable a loss will be realized from the performance of the contract. Significant management judgments and estimates, including the estimated costs to complete projects, which determine the project’s percent complete, must be made and used in connection with the revenue recognized in any accounting period. In the future, the Company may realize actual results that differ from current estimates.</w:t>
      </w:r>
    </w:p>
    <w:p>
      <w:pPr>
        <w:spacing w:after="0" w:line="180" w:lineRule="exact"/>
        <w:rPr>
          <w:sz w:val="20"/>
          <w:szCs w:val="20"/>
          <w:color w:val="auto"/>
        </w:rPr>
      </w:pPr>
    </w:p>
    <w:p>
      <w:pPr>
        <w:ind w:right="120" w:firstLine="454"/>
        <w:spacing w:after="0" w:line="256" w:lineRule="auto"/>
        <w:rPr>
          <w:sz w:val="20"/>
          <w:szCs w:val="20"/>
          <w:color w:val="auto"/>
        </w:rPr>
      </w:pPr>
      <w:r>
        <w:rPr>
          <w:rFonts w:ascii="Times New Roman" w:cs="Times New Roman" w:eastAsia="Times New Roman" w:hAnsi="Times New Roman"/>
          <w:sz w:val="18"/>
          <w:szCs w:val="18"/>
          <w:color w:val="auto"/>
        </w:rPr>
        <w:t>Accordingly, the revenue we recognize in a given financial reporting period depends on (1) the costs we have incurred for individual projects, (2) our then current estimate of the total remaining costs to complete the individual projects and (3) current estimated contract value associated with the projects. If, in any period, we significantly increase or decrease our estimate of the total costs to complete a project, and/or reduce or increase the associated contract value, revenue for that period would be impacted.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454"/>
        <w:spacing w:after="0" w:line="252" w:lineRule="auto"/>
        <w:rPr>
          <w:sz w:val="20"/>
          <w:szCs w:val="20"/>
          <w:color w:val="auto"/>
        </w:rPr>
      </w:pPr>
      <w:r>
        <w:rPr>
          <w:rFonts w:ascii="Times New Roman" w:cs="Times New Roman" w:eastAsia="Times New Roman" w:hAnsi="Times New Roman"/>
          <w:sz w:val="18"/>
          <w:szCs w:val="18"/>
          <w:color w:val="auto"/>
        </w:rPr>
        <w:t>Many of the Company’s contracts are master service agreements under which the Company is contracted to provide services to deploy a pre-determined and specific number of wireless telecommunication sites in specific geographic markets. These contractual arrangements with the Company’s customers typically include milestone billings. The milestone billing clauses relate specifically to the timing of customer billings and payment schedules, and are independent of the Company’s right to payment and the timing of when revenue is recognized. Under the terms of substantially all of the Company’s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project margin for the work performed. Furthermore, certain additional provisions indemnify the Company for additional or excess costs incurred, whereby any scope reductions (i.e., reduction in original number of sites) or other modifications are subject to reimbursement of costs incurred to date with a reasonable profit margin based on the contract value and completed work at that time. The inherent aforementioned risks associated with the presence of potential “partial milestone billings” or “reductions in scope” or “scope modifications” are reflected in the Company’s ongoing periodic assessment of the “total contract value” and the associated revenue recognized and, hence, any allowance for unbilled trade accounts receivable. Total net unbilled accounts receivable at December 31, 2004 and September 30, 2005 were $56.0 and $85.4 million, respectively. Total retainages included in accounts receivable were $1.4 million and $1.8 million at December 31, 2004 and September 30, 2005, respectively. Allowances for doubtful accounts as of December 31, 2004 and September 30, 2005 were $1.7 million and $0.9 million, respectively.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 assessing the risk of collectibility.</w:t>
      </w:r>
    </w:p>
    <w:p>
      <w:pPr>
        <w:spacing w:after="0" w:line="19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Revenue from time and materials contracts is recognized when it is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18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Company’s government network services business with the U.S. government and prime contractors is generally performed under cost reimbursable plus fixed fee, fixed price or time and material contracts. Cost reimbursable contracts for the government provide for reimbursement of costs plus the payment of a fee. Under fixed-price contracts, the Company agrees to perform certain work for a fixed price. Under time and materials contracts, the Company is reimbursed for labor hours at negotiated hourly billing rates and is reimbursed for travel and other direct expenses at actual costs plus applied general and administrative expenses.</w:t>
      </w:r>
    </w:p>
    <w:p>
      <w:pPr>
        <w:spacing w:after="0" w:line="184" w:lineRule="exact"/>
        <w:rPr>
          <w:sz w:val="20"/>
          <w:szCs w:val="20"/>
          <w:color w:val="auto"/>
        </w:rPr>
      </w:pPr>
    </w:p>
    <w:p>
      <w:pPr>
        <w:ind w:right="60" w:firstLine="454"/>
        <w:spacing w:after="0" w:line="266" w:lineRule="auto"/>
        <w:rPr>
          <w:sz w:val="20"/>
          <w:szCs w:val="20"/>
          <w:color w:val="auto"/>
        </w:rPr>
      </w:pPr>
      <w:r>
        <w:rPr>
          <w:rFonts w:ascii="Times New Roman" w:cs="Times New Roman" w:eastAsia="Times New Roman" w:hAnsi="Times New Roman"/>
          <w:sz w:val="18"/>
          <w:szCs w:val="18"/>
          <w:color w:val="auto"/>
        </w:rPr>
        <w:t>Under certain of its contracts, the Company provides supplier procurement and material purchases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176" w:lineRule="exact"/>
        <w:rPr>
          <w:sz w:val="20"/>
          <w:szCs w:val="20"/>
          <w:color w:val="auto"/>
        </w:rPr>
      </w:pPr>
    </w:p>
    <w:p>
      <w:pPr>
        <w:ind w:left="1120" w:hanging="775"/>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acts as a principal in the transaction:</w:t>
      </w:r>
    </w:p>
    <w:p>
      <w:pPr>
        <w:spacing w:after="0" w:line="27" w:lineRule="exact"/>
        <w:rPr>
          <w:rFonts w:ascii="Times New Roman" w:cs="Times New Roman" w:eastAsia="Times New Roman" w:hAnsi="Times New Roman"/>
          <w:sz w:val="18"/>
          <w:szCs w:val="18"/>
          <w:color w:val="auto"/>
        </w:rPr>
      </w:pPr>
    </w:p>
    <w:p>
      <w:pPr>
        <w:ind w:left="1120" w:hanging="775"/>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takes title to the products;</w:t>
      </w:r>
    </w:p>
    <w:p>
      <w:pPr>
        <w:spacing w:after="0" w:line="9" w:lineRule="exact"/>
        <w:rPr>
          <w:rFonts w:ascii="Times New Roman" w:cs="Times New Roman" w:eastAsia="Times New Roman" w:hAnsi="Times New Roman"/>
          <w:sz w:val="18"/>
          <w:szCs w:val="18"/>
          <w:color w:val="auto"/>
        </w:rPr>
      </w:pPr>
    </w:p>
    <w:p>
      <w:pPr>
        <w:ind w:left="1120" w:hanging="775"/>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assumes risks and rewards of ownership, such as risk of loss for collection, delivery or returns;</w:t>
      </w:r>
    </w:p>
    <w:p>
      <w:pPr>
        <w:spacing w:after="0" w:line="9" w:lineRule="exact"/>
        <w:rPr>
          <w:rFonts w:ascii="Times New Roman" w:cs="Times New Roman" w:eastAsia="Times New Roman" w:hAnsi="Times New Roman"/>
          <w:sz w:val="18"/>
          <w:szCs w:val="18"/>
          <w:color w:val="auto"/>
        </w:rPr>
      </w:pPr>
    </w:p>
    <w:p>
      <w:pPr>
        <w:ind w:left="1120" w:hanging="775"/>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serves as an agent or broker, with compensation on a commission or fee basis; and</w:t>
      </w:r>
    </w:p>
    <w:p>
      <w:pPr>
        <w:spacing w:after="0" w:line="9" w:lineRule="exact"/>
        <w:rPr>
          <w:rFonts w:ascii="Times New Roman" w:cs="Times New Roman" w:eastAsia="Times New Roman" w:hAnsi="Times New Roman"/>
          <w:sz w:val="18"/>
          <w:szCs w:val="18"/>
          <w:color w:val="auto"/>
        </w:rPr>
      </w:pPr>
    </w:p>
    <w:p>
      <w:pPr>
        <w:ind w:left="1120" w:hanging="775"/>
        <w:spacing w:after="0"/>
        <w:tabs>
          <w:tab w:leader="none" w:pos="11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assumes the credit risk for the amount billed to the customer subsequent to the delivery.</w:t>
      </w:r>
    </w:p>
    <w:p>
      <w:pPr>
        <w:spacing w:after="0" w:line="20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18"/>
          <w:szCs w:val="18"/>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to account for its stock option plans. Under this method, compensation expense is measured on the date of grant by comparing the current market price of the underlying stock to the exercise price. If the exercise price is less than the market price, compensation expense is recorded on a straight-line basis over the applicable vesting period.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 as amended by SFAS No. 148, “Accounting for Stock-Based Compensation— Transition and Disclosure.”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454"/>
        <w:spacing w:after="0" w:line="261" w:lineRule="auto"/>
        <w:rPr>
          <w:sz w:val="20"/>
          <w:szCs w:val="20"/>
          <w:color w:val="auto"/>
        </w:rPr>
      </w:pPr>
      <w:r>
        <w:rPr>
          <w:rFonts w:ascii="Times New Roman" w:cs="Times New Roman" w:eastAsia="Times New Roman" w:hAnsi="Times New Roman"/>
          <w:sz w:val="18"/>
          <w:szCs w:val="18"/>
          <w:color w:val="auto"/>
        </w:rPr>
        <w:t>On May 18, 2005, the Compensation Committee of the Company’s Board of Directors approved the acceleration of vesting of all unvested options to purchase shares of the Company’s common stock that are held by current employees, including executive officers, and which have an exercise price per share equal to or greater than $10.00. Options to purchase 2,044,487 shares of common stock are subject to this acceleration. The exercise prices and number of shares subject to the accelerated options were unchanged.</w:t>
      </w:r>
    </w:p>
    <w:p>
      <w:pPr>
        <w:sectPr>
          <w:pgSz w:w="11900" w:h="16838" w:orient="portrait"/>
          <w:cols w:equalWidth="0" w:num="1">
            <w:col w:w="11420"/>
          </w:cols>
          <w:pgMar w:left="240" w:top="121" w:right="239" w:bottom="0" w:gutter="0" w:footer="0" w:header="0"/>
        </w:sectPr>
      </w:pPr>
    </w:p>
    <w:bookmarkStart w:id="6" w:name="page7"/>
    <w:bookmarkEnd w:id="6"/>
    <w:p>
      <w:pPr>
        <w:spacing w:after="0" w:line="78" w:lineRule="exact"/>
        <w:rPr>
          <w:sz w:val="20"/>
          <w:szCs w:val="20"/>
          <w:color w:val="auto"/>
        </w:rPr>
      </w:pPr>
    </w:p>
    <w:p>
      <w:pPr>
        <w:ind w:right="140" w:firstLine="454"/>
        <w:spacing w:after="0" w:line="261" w:lineRule="auto"/>
        <w:rPr>
          <w:sz w:val="20"/>
          <w:szCs w:val="20"/>
          <w:color w:val="auto"/>
        </w:rPr>
      </w:pPr>
      <w:r>
        <w:rPr>
          <w:rFonts w:ascii="Times New Roman" w:cs="Times New Roman" w:eastAsia="Times New Roman" w:hAnsi="Times New Roman"/>
          <w:sz w:val="18"/>
          <w:szCs w:val="18"/>
          <w:color w:val="auto"/>
        </w:rPr>
        <w:t>On September 19, 2005, the Compensation Committee of the Company’s Board of Directors approved the acceleration of vesting of all unvested options to purchase shares of the Company’s common stock that are held by current employees, including executive officers, and excluding Directors and which have an exercise price per share equal to or greater than $8.00. Options to purchase 1,026,197 shares of common stock are subject to this acceleration. The exercise prices and number of shares subject to the accelerated options were unchanged.</w:t>
      </w:r>
    </w:p>
    <w:p>
      <w:pPr>
        <w:spacing w:after="0" w:line="180" w:lineRule="exact"/>
        <w:rPr>
          <w:sz w:val="20"/>
          <w:szCs w:val="20"/>
          <w:color w:val="auto"/>
        </w:rPr>
      </w:pPr>
    </w:p>
    <w:p>
      <w:pPr>
        <w:ind w:right="80" w:firstLine="454"/>
        <w:spacing w:after="0" w:line="255" w:lineRule="auto"/>
        <w:rPr>
          <w:sz w:val="20"/>
          <w:szCs w:val="20"/>
          <w:color w:val="auto"/>
        </w:rPr>
      </w:pPr>
      <w:r>
        <w:rPr>
          <w:rFonts w:ascii="Times New Roman" w:cs="Times New Roman" w:eastAsia="Times New Roman" w:hAnsi="Times New Roman"/>
          <w:sz w:val="18"/>
          <w:szCs w:val="18"/>
          <w:color w:val="auto"/>
        </w:rPr>
        <w:t>The acceleration of these options was undertaken to eliminate the future compensation expense that the Company would otherwise recognize in its consolidated statement of operations with respect to these options once the Financial Accounting Standards (“FASB”) No. 123 (revised 2004) “Share-Based Payment”, issued by the Financial Accounting Standards Board, becomes effective. As originally issued by the FASB, SFAS No. 123 was to be implemented as of the beginning of the first interim or annual period beginning after June 15, 2005. In April, 2005, the SEC announced it will permit companies to implement SFAS No. 123R at the beginning of the next fiscal year. The future expense that is eliminated as a result of the acceleration of the vesting of these options is approximately $17.1 million (of which approximately $7.8 million is attributable to options held by executive officers and $0.4 million is attributable to options held by directors).</w:t>
      </w:r>
    </w:p>
    <w:p>
      <w:pPr>
        <w:spacing w:after="0" w:line="189" w:lineRule="exact"/>
        <w:rPr>
          <w:sz w:val="20"/>
          <w:szCs w:val="20"/>
          <w:color w:val="auto"/>
        </w:rPr>
      </w:pPr>
    </w:p>
    <w:p>
      <w:pPr>
        <w:jc w:val="both"/>
        <w:ind w:right="420" w:firstLine="360"/>
        <w:spacing w:after="0" w:line="266" w:lineRule="auto"/>
        <w:rPr>
          <w:sz w:val="20"/>
          <w:szCs w:val="20"/>
          <w:color w:val="auto"/>
        </w:rPr>
      </w:pPr>
      <w:r>
        <w:rPr>
          <w:rFonts w:ascii="Times New Roman" w:cs="Times New Roman" w:eastAsia="Times New Roman" w:hAnsi="Times New Roman"/>
          <w:sz w:val="18"/>
          <w:szCs w:val="18"/>
          <w:color w:val="auto"/>
        </w:rPr>
        <w:t>Under SFAS No. 123, the weighted average option price of stock options granted during the nine months ended September 30, 2004 and 2005 were $6.26 and $6.27, respectively, on the date of grant. Fair value under SFAS No. 123 is determined using the Black-Scholes option-pricing model with the following assumptions:</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5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940" w:type="dxa"/>
            <w:vAlign w:val="bottom"/>
          </w:tcPr>
          <w:p>
            <w:pPr>
              <w:spacing w:after="0"/>
              <w:rPr>
                <w:sz w:val="15"/>
                <w:szCs w:val="15"/>
                <w:color w:val="auto"/>
              </w:rPr>
            </w:pPr>
          </w:p>
        </w:tc>
        <w:tc>
          <w:tcPr>
            <w:tcW w:w="166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bottom w:val="single" w:sz="8" w:color="auto"/>
            </w:tcBorders>
            <w:gridSpan w:val="3"/>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Borders>
              <w:bottom w:val="single" w:sz="8" w:color="CCEEFF"/>
            </w:tcBorders>
          </w:tcPr>
          <w:p>
            <w:pPr>
              <w:spacing w:after="0"/>
              <w:rPr>
                <w:sz w:val="12"/>
                <w:szCs w:val="12"/>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term (Hold Period):</w:t>
            </w: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6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4 years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years</w:t>
            </w: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 years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6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 months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 months</w:t>
            </w:r>
          </w:p>
        </w:tc>
        <w:tc>
          <w:tcPr>
            <w:tcW w:w="16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 months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 months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3.44 %</w:t>
            </w: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3.19 %</w:t>
            </w:r>
          </w:p>
        </w:tc>
        <w:tc>
          <w:tcPr>
            <w:tcW w:w="3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3.94 %</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99.7 %</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6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60" w:firstLine="360"/>
        <w:spacing w:after="0" w:line="282" w:lineRule="auto"/>
        <w:rPr>
          <w:sz w:val="20"/>
          <w:szCs w:val="20"/>
          <w:color w:val="auto"/>
        </w:rPr>
      </w:pPr>
      <w:r>
        <w:rPr>
          <w:rFonts w:ascii="Times New Roman" w:cs="Times New Roman" w:eastAsia="Times New Roman" w:hAnsi="Times New Roman"/>
          <w:sz w:val="18"/>
          <w:szCs w:val="18"/>
          <w:color w:val="auto"/>
        </w:rPr>
        <w:t>The volatility factor is calculated based on the trailing historical volatility rates over the estimated hold period or, at the minimum, the standard 4-year vesting period.</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Had compensation expense been recognized for stock-based compensation plans under the fair value method in accordance with SFAS No. 123,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would have recorded the following net income (loss) and net income (loss) per share amounts (in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50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040" w:type="dxa"/>
            <w:vAlign w:val="bottom"/>
          </w:tcPr>
          <w:p>
            <w:pPr>
              <w:spacing w:after="0"/>
              <w:rPr>
                <w:sz w:val="12"/>
                <w:szCs w:val="12"/>
                <w:color w:val="auto"/>
              </w:rPr>
            </w:pPr>
          </w:p>
        </w:tc>
        <w:tc>
          <w:tcPr>
            <w:tcW w:w="880" w:type="dxa"/>
            <w:vAlign w:val="bottom"/>
            <w:tcBorders>
              <w:bottom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2004</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2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5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 as reported</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(7.4 )</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Add back : Actual stock - based compensation expense included</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net earnings</w:t>
            </w:r>
          </w:p>
        </w:tc>
        <w:tc>
          <w:tcPr>
            <w:tcW w:w="8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5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stock-based employee compensation expense determined</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under fair value based method for all awards</w:t>
            </w:r>
          </w:p>
        </w:tc>
        <w:tc>
          <w:tcPr>
            <w:tcW w:w="8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5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(13.8 )</w:t>
            </w: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20" w:type="dxa"/>
            <w:vAlign w:val="bottom"/>
          </w:tcPr>
          <w:p>
            <w:pPr>
              <w:spacing w:after="0"/>
              <w:rPr>
                <w:sz w:val="20"/>
                <w:szCs w:val="20"/>
                <w:color w:val="auto"/>
              </w:rPr>
            </w:pPr>
          </w:p>
        </w:tc>
      </w:tr>
      <w:tr>
        <w:trPr>
          <w:trHeight w:val="21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88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 as reported</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(0.22 )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(0.11 )</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 pro forma</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(0.31 )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 as reported</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(0.22 )</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(0.11 )</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 pro forma</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(0.31 )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 as reported and pro forma</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 as reported</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 pro forma</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504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0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 Accrual for Unused Office Space</w:t>
      </w:r>
    </w:p>
    <w:p>
      <w:pPr>
        <w:spacing w:after="0" w:line="227"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Company’s operating results and the economic environment in the telecommunications industry, during 2002, the Company recorded a charge for unused office space. The accrual for loss on unused office space as of December 31, 2004 and September 30, 2005 was $2.6 million and $1.8 million, respectively. The Company estimates that the remaining accrual will be utilized through 2010, the term of the Company’s lease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Tax Contingencies</w:t>
      </w:r>
    </w:p>
    <w:p>
      <w:pPr>
        <w:spacing w:after="0" w:line="227" w:lineRule="exact"/>
        <w:rPr>
          <w:sz w:val="20"/>
          <w:szCs w:val="20"/>
          <w:color w:val="auto"/>
        </w:rPr>
      </w:pPr>
    </w:p>
    <w:p>
      <w:pPr>
        <w:ind w:right="140" w:firstLine="454"/>
        <w:spacing w:after="0" w:line="258" w:lineRule="auto"/>
        <w:rPr>
          <w:sz w:val="20"/>
          <w:szCs w:val="20"/>
          <w:color w:val="auto"/>
        </w:rPr>
      </w:pPr>
      <w:r>
        <w:rPr>
          <w:rFonts w:ascii="Times New Roman" w:cs="Times New Roman" w:eastAsia="Times New Roman" w:hAnsi="Times New Roman"/>
          <w:sz w:val="18"/>
          <w:szCs w:val="18"/>
          <w:color w:val="auto"/>
        </w:rPr>
        <w:t>The Company assesses tax uncertainties and exposure items after taking into consideration the probability of the tax contingencies being incurred. Accordingly, based upon the Company’s assessment of the probability of these tax contingencies, it determined that accruals of $13.1 million and $13.5 million were required for foreign tax contingencies as of December 31, 2004 and September 30, 2005, respectively; $1.0 million and $0.9 million was required for sales and use tax contingencies as of December 31, 2004 and September 30, 2005, respectively; and $0.9 million and $0.8 million were required for VAT tax contingencies as of December 31, 2004 and September 30, 2005,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 Income Taxes</w:t>
      </w:r>
    </w:p>
    <w:p>
      <w:pPr>
        <w:spacing w:after="0" w:line="227" w:lineRule="exact"/>
        <w:rPr>
          <w:sz w:val="20"/>
          <w:szCs w:val="20"/>
          <w:color w:val="auto"/>
        </w:rPr>
      </w:pPr>
    </w:p>
    <w:p>
      <w:pPr>
        <w:ind w:right="400" w:firstLine="540"/>
        <w:spacing w:after="0" w:line="281" w:lineRule="auto"/>
        <w:rPr>
          <w:sz w:val="20"/>
          <w:szCs w:val="20"/>
          <w:color w:val="auto"/>
        </w:rPr>
      </w:pPr>
      <w:r>
        <w:rPr>
          <w:rFonts w:ascii="Times New Roman" w:cs="Times New Roman" w:eastAsia="Times New Roman" w:hAnsi="Times New Roman"/>
          <w:sz w:val="17"/>
          <w:szCs w:val="17"/>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ectPr>
          <w:pgSz w:w="11900" w:h="16917" w:orient="portrait"/>
          <w:cols w:equalWidth="0" w:num="1">
            <w:col w:w="11440"/>
          </w:cols>
          <w:pgMar w:left="240" w:top="121" w:right="219" w:bottom="0" w:gutter="0" w:footer="0" w:header="0"/>
        </w:sectPr>
      </w:pPr>
    </w:p>
    <w:bookmarkStart w:id="7" w:name="page8"/>
    <w:bookmarkEnd w:id="7"/>
    <w:p>
      <w:pPr>
        <w:ind w:right="120" w:firstLine="540"/>
        <w:spacing w:after="0" w:line="266" w:lineRule="auto"/>
        <w:rPr>
          <w:sz w:val="20"/>
          <w:szCs w:val="20"/>
          <w:color w:val="auto"/>
        </w:rPr>
      </w:pPr>
      <w:r>
        <w:rPr>
          <w:rFonts w:ascii="Times New Roman" w:cs="Times New Roman" w:eastAsia="Times New Roman" w:hAnsi="Times New Roman"/>
          <w:sz w:val="18"/>
          <w:szCs w:val="18"/>
          <w:color w:val="auto"/>
        </w:rPr>
        <w:t>The Company maintains a valuation allowance on the portion of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on a periodic basis, whether it is more likely than not that some portion or all of the deferred tax assets will not be realized. During fiscal 2004, the Company recorded a decrease to the allowance for deferred tax assets of $2.3 million. Through September 30, 2005, the Company realized three consecutive quarters of consolidated profitability. This favorable trend, combined with forecasted consolidated operating profits, resulted in a decrease to the allowance for deferred tax assets of $0.9 million in the quarter ending September 30, 2005</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 Foreign Currency Translation</w:t>
      </w:r>
    </w:p>
    <w:p>
      <w:pPr>
        <w:spacing w:after="0" w:line="227" w:lineRule="exact"/>
        <w:rPr>
          <w:sz w:val="20"/>
          <w:szCs w:val="20"/>
          <w:color w:val="auto"/>
        </w:rPr>
      </w:pPr>
    </w:p>
    <w:p>
      <w:pPr>
        <w:jc w:val="both"/>
        <w:ind w:right="40" w:firstLine="540"/>
        <w:spacing w:after="0" w:line="266" w:lineRule="auto"/>
        <w:rPr>
          <w:sz w:val="20"/>
          <w:szCs w:val="20"/>
          <w:color w:val="auto"/>
        </w:rPr>
      </w:pPr>
      <w:r>
        <w:rPr>
          <w:rFonts w:ascii="Times New Roman" w:cs="Times New Roman" w:eastAsia="Times New Roman" w:hAnsi="Times New Roman"/>
          <w:sz w:val="18"/>
          <w:szCs w:val="18"/>
          <w:color w:val="auto"/>
        </w:rPr>
        <w:t>In accordance with SFAS No. 52 “Foreign Currency Translation,” the financial statements of the Company’s foreign subsidiaries where the functional currency has been determined to be the local currency are translated into United States dollars using period-end rates of exchange for assets and liabilities and rates of exchange that approximate the rates in effect at the transaction date for revenues, expenses, gains and losses.</w:t>
      </w:r>
    </w:p>
    <w:p>
      <w:pPr>
        <w:spacing w:after="0" w:line="38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29" w:lineRule="exact"/>
        <w:rPr>
          <w:sz w:val="20"/>
          <w:szCs w:val="20"/>
          <w:color w:val="auto"/>
        </w:rPr>
      </w:pPr>
    </w:p>
    <w:p>
      <w:pPr>
        <w:ind w:right="40" w:firstLine="454"/>
        <w:spacing w:after="0" w:line="256" w:lineRule="auto"/>
        <w:rPr>
          <w:sz w:val="20"/>
          <w:szCs w:val="20"/>
          <w:color w:val="auto"/>
        </w:rPr>
      </w:pPr>
      <w:r>
        <w:rPr>
          <w:rFonts w:ascii="Times New Roman" w:cs="Times New Roman" w:eastAsia="Times New Roman" w:hAnsi="Times New Roman"/>
          <w:sz w:val="18"/>
          <w:szCs w:val="18"/>
          <w:color w:val="auto"/>
        </w:rPr>
        <w:t xml:space="preserve">In December 2004, the FASB issued Statement of Financial Accounting Standards No. 123 (revised 2004) “Share-Based Payment” (SFAS No. 123R). As amended by Securities and Exchange Commission Release No. 33-8568, “Amendment to Rule 4-01(a) of Regulation S-X Regarding the Compliance Date for Statement of Financial Accounting Standards No 123 (Revised 2004),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FAS 123R is effective for interim or annual periods beginning after June 15, 2005 (January 1, 2006 for the Company). The Company has not completed its analysis of the estimated impact of adopting the provisions of SFAS No. 123R. If the Company continues to use the Black Scholes method, the Company does not believe the impact will be materially different than the pro forma disclosure in Note 1 (g).</w:t>
      </w:r>
    </w:p>
    <w:p>
      <w:pPr>
        <w:spacing w:after="0" w:line="188" w:lineRule="exact"/>
        <w:rPr>
          <w:sz w:val="20"/>
          <w:szCs w:val="20"/>
          <w:color w:val="auto"/>
        </w:rPr>
      </w:pPr>
    </w:p>
    <w:p>
      <w:pPr>
        <w:jc w:val="both"/>
        <w:ind w:right="60" w:firstLine="454"/>
        <w:spacing w:after="0" w:line="261" w:lineRule="auto"/>
        <w:rPr>
          <w:sz w:val="20"/>
          <w:szCs w:val="20"/>
          <w:color w:val="auto"/>
        </w:rPr>
      </w:pPr>
      <w:r>
        <w:rPr>
          <w:rFonts w:ascii="Times New Roman" w:cs="Times New Roman" w:eastAsia="Times New Roman" w:hAnsi="Times New Roman"/>
          <w:sz w:val="18"/>
          <w:szCs w:val="18"/>
          <w:color w:val="auto"/>
        </w:rPr>
        <w:t>FAS 123R will require all share-based payment transactions, including those with employees, to be measured at fair value. Moreover, the fair value of share-based payment awards (including employee stock option grants) will be recognized as expense in the statements of operations over the requisite service period of each award. FAS 123R also changes the manner in which deferred taxes are recognized on share-based payment awards, as well as the accounting for award modifications.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2004 the FASB issued Statement of Financial Accounting Standards No. 153 “Exchanges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Nonmonetary Assets — An Amendment of APB Opinion No. 29.” The amendments made by SFAS No. 153 are based on the principle that exchanges of nonmonetary assets should be measured based on the fair value of the assets exchanged. SFAS No. 153 eliminates the narrow exception for nonmonetary exchanges of similar productive assets and replaces it with a broader exception for exchanges of nonmonetary assets that do not have “commercial substance.” SFAS No. 153 is effective for nonmonetary asset exchanges occurring in fiscal periods beginning after June 15, 2005. The Company does not believe the adoption of SFAS No. 153 will have a material impact on its operating results and its financial position.</w:t>
      </w:r>
    </w:p>
    <w:p>
      <w:pPr>
        <w:spacing w:after="0" w:line="184" w:lineRule="exact"/>
        <w:rPr>
          <w:sz w:val="20"/>
          <w:szCs w:val="20"/>
          <w:color w:val="auto"/>
        </w:rPr>
      </w:pPr>
    </w:p>
    <w:p>
      <w:pPr>
        <w:ind w:right="40" w:firstLine="454"/>
        <w:spacing w:after="0" w:line="256" w:lineRule="auto"/>
        <w:rPr>
          <w:sz w:val="20"/>
          <w:szCs w:val="20"/>
          <w:color w:val="auto"/>
        </w:rPr>
      </w:pPr>
      <w:r>
        <w:rPr>
          <w:rFonts w:ascii="Times New Roman" w:cs="Times New Roman" w:eastAsia="Times New Roman" w:hAnsi="Times New Roman"/>
          <w:sz w:val="18"/>
          <w:szCs w:val="18"/>
          <w:color w:val="auto"/>
        </w:rPr>
        <w:t>In May 2005, the FASB issued Statement of Financial Standard No. 154, “Accounting Changes and Error Corrections — A Replacement of APB Opinion No. 20 and FASB Statement No. 3” SFAS No. 154 requires that a voluntary change in accounting principle be applied retrospectively with all prior period financial statements presented on the new accounting principle, unless it is impracticable to do so. SFAS No. 154 also provides that (1) a change in method of depreciating or amortizing a long-lived nonfinancial asset be accounted for as a change in estimate (prospectively) that was affected by a change in accounting principle, and (2) correction of errors in previously issued financial statements shall be termed a “restatement.” SFAS No. 154 is effective for accounting changes and corrections of errors made in fiscal years beginning after December 15, 2005.</w:t>
      </w:r>
    </w:p>
    <w:p>
      <w:pPr>
        <w:spacing w:after="0" w:line="18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229" w:lineRule="exact"/>
        <w:rPr>
          <w:sz w:val="20"/>
          <w:szCs w:val="20"/>
          <w:color w:val="auto"/>
        </w:rPr>
      </w:pPr>
    </w:p>
    <w:p>
      <w:pPr>
        <w:ind w:firstLine="363"/>
        <w:spacing w:after="0" w:line="261" w:lineRule="auto"/>
        <w:rPr>
          <w:sz w:val="20"/>
          <w:szCs w:val="20"/>
          <w:color w:val="auto"/>
        </w:rPr>
      </w:pPr>
      <w:r>
        <w:rPr>
          <w:rFonts w:ascii="Times New Roman" w:cs="Times New Roman" w:eastAsia="Times New Roman" w:hAnsi="Times New Roman"/>
          <w:sz w:val="18"/>
          <w:szCs w:val="18"/>
          <w:color w:val="auto"/>
        </w:rPr>
        <w:t>The Company calculates net income per share in accordance with the provisions of SFAS No. 128, “Earnings Per Share.” Under SFAS No. 128, basic net income per common share is calculated by dividing net income by the weighted-average number of common shares outstanding during the reporting period. Diluted net income per common share reflects the effects of potentially dilutive securities. Weighted average shares used to compute basic and diluted net income per share are presented below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2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900" w:type="dxa"/>
            <w:vAlign w:val="bottom"/>
          </w:tcPr>
          <w:p>
            <w:pPr>
              <w:spacing w:after="0"/>
              <w:rPr>
                <w:sz w:val="15"/>
                <w:szCs w:val="15"/>
                <w:color w:val="auto"/>
              </w:rPr>
            </w:pPr>
          </w:p>
        </w:tc>
        <w:tc>
          <w:tcPr>
            <w:tcW w:w="22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9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6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common shares outstanding</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tcPr>
          <w:p>
            <w:pPr>
              <w:spacing w:after="0"/>
              <w:rPr>
                <w:sz w:val="18"/>
                <w:szCs w:val="18"/>
                <w:color w:val="auto"/>
              </w:rPr>
            </w:pPr>
          </w:p>
        </w:tc>
      </w:tr>
      <w:tr>
        <w:trPr>
          <w:trHeight w:val="216"/>
        </w:trPr>
        <w:tc>
          <w:tcPr>
            <w:tcW w:w="6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r>
      <w:tr>
        <w:trPr>
          <w:trHeight w:val="21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Borders>
              <w:bottom w:val="single" w:sz="8" w:color="CCEEFF"/>
            </w:tcBorders>
          </w:tcPr>
          <w:p>
            <w:pPr>
              <w:spacing w:after="0"/>
              <w:rPr>
                <w:sz w:val="18"/>
                <w:szCs w:val="18"/>
                <w:color w:val="auto"/>
              </w:rPr>
            </w:pPr>
          </w:p>
        </w:tc>
      </w:tr>
      <w:tr>
        <w:trPr>
          <w:trHeight w:val="216"/>
        </w:trPr>
        <w:tc>
          <w:tcPr>
            <w:tcW w:w="6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from continuing operations per share</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from continuing operations per share</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(0.22 )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following instruments were not included in the calculation of diluted net income per share because the effect of these instruments was anti-dilutive (in millions):</w:t>
      </w:r>
    </w:p>
    <w:p>
      <w:pPr>
        <w:spacing w:after="0" w:line="155" w:lineRule="exact"/>
        <w:rPr>
          <w:sz w:val="20"/>
          <w:szCs w:val="20"/>
          <w:color w:val="auto"/>
        </w:rPr>
      </w:pPr>
    </w:p>
    <w:p>
      <w:pPr>
        <w:ind w:left="7360"/>
        <w:spacing w:after="0"/>
        <w:tabs>
          <w:tab w:leader="none" w:pos="964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Nine months ended</w:t>
      </w:r>
    </w:p>
    <w:p>
      <w:pPr>
        <w:sectPr>
          <w:pgSz w:w="11900" w:h="16838" w:orient="portrait"/>
          <w:cols w:equalWidth="0" w:num="1">
            <w:col w:w="11420"/>
          </w:cols>
          <w:pgMar w:left="240" w:top="337"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5"/>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9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2005</w:t>
            </w: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Contingently issuable shares pursuant to Employee Stock Purchase Plan</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r>
      <w:tr>
        <w:trPr>
          <w:trHeight w:val="21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anti-dilutive instruments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8"/>
                <w:szCs w:val="18"/>
                <w:color w:val="auto"/>
              </w:rPr>
            </w:pPr>
          </w:p>
        </w:tc>
      </w:tr>
      <w:tr>
        <w:trPr>
          <w:trHeight w:val="216"/>
        </w:trPr>
        <w:tc>
          <w:tcPr>
            <w:tcW w:w="6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market value of stock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outstanding stock option price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Affiliates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Tactical Survey Group, Inc.</w:t>
      </w:r>
    </w:p>
    <w:p>
      <w:pPr>
        <w:spacing w:after="0" w:line="227" w:lineRule="exact"/>
        <w:rPr>
          <w:sz w:val="20"/>
          <w:szCs w:val="20"/>
          <w:color w:val="auto"/>
        </w:rPr>
      </w:pPr>
    </w:p>
    <w:p>
      <w:pPr>
        <w:ind w:right="500" w:firstLine="401"/>
        <w:spacing w:after="0" w:line="282" w:lineRule="auto"/>
        <w:rPr>
          <w:sz w:val="20"/>
          <w:szCs w:val="20"/>
          <w:color w:val="auto"/>
        </w:rPr>
      </w:pPr>
      <w:r>
        <w:rPr>
          <w:rFonts w:ascii="Times New Roman" w:cs="Times New Roman" w:eastAsia="Times New Roman" w:hAnsi="Times New Roman"/>
          <w:sz w:val="18"/>
          <w:szCs w:val="18"/>
          <w:color w:val="auto"/>
        </w:rPr>
        <w:t>On February 23, 2004, the Company paid $1.0 million in cash to acquire an 11.4% interest in Tactical Survey Group, Inc. “TSG”, a privately-held company that provides expertise in developing, deploying and integrating tactical survey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systems for use in government and commercial applications. Pursuant to the provisions of APB Opinion No. 18, “The Equity Method of Accounting for Investments in Common Stock” (APB 18), this investment is accounted for under the equity method of accounting due to the presence of significant influence deemed to exist based on the significant number of contracts that the Company has entered into with TSG and the presence of a Company employee on TSG’s board of directors. The balance of the Company’s investment in TSG at December 31, 2004 and September 30, 2005, totaled $1.2 million and has been classified on the consolidated balance sheet under the caption “Investments in unconsolidated affiliates.”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CommVerge Solutions, Inc.</w:t>
      </w:r>
    </w:p>
    <w:p>
      <w:pPr>
        <w:spacing w:after="0" w:line="227" w:lineRule="exact"/>
        <w:rPr>
          <w:sz w:val="20"/>
          <w:szCs w:val="20"/>
          <w:color w:val="auto"/>
        </w:rPr>
      </w:pPr>
    </w:p>
    <w:p>
      <w:pPr>
        <w:ind w:right="100" w:firstLine="454"/>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CommVerge Solutions, Inc., a privately-held wireless network planning and deployment company. The balance of the Company’s investment in CommVerge Solutions, Inc. at December 31, 2004 and September 30, 2005 totals $0.9 million and has been classified on the consolidated balance sheet under the caption “Investment in unconsolidated affiliates.” One of the Company’s Directors is also a Director of CommVerge Solutions, Inc.</w:t>
      </w:r>
    </w:p>
    <w:p>
      <w:pPr>
        <w:spacing w:after="0" w:line="176"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TLA Associates</w:t>
      </w:r>
    </w:p>
    <w:p>
      <w:pPr>
        <w:spacing w:after="0" w:line="227" w:lineRule="exact"/>
        <w:rPr>
          <w:sz w:val="20"/>
          <w:szCs w:val="20"/>
          <w:color w:val="auto"/>
        </w:rPr>
      </w:pPr>
    </w:p>
    <w:p>
      <w:pPr>
        <w:jc w:val="both"/>
        <w:ind w:right="20" w:firstLine="454"/>
        <w:spacing w:after="0" w:line="261" w:lineRule="auto"/>
        <w:rPr>
          <w:sz w:val="20"/>
          <w:szCs w:val="20"/>
          <w:color w:val="auto"/>
        </w:rPr>
      </w:pPr>
      <w:r>
        <w:rPr>
          <w:rFonts w:ascii="Times New Roman" w:cs="Times New Roman" w:eastAsia="Times New Roman" w:hAnsi="Times New Roman"/>
          <w:sz w:val="18"/>
          <w:szCs w:val="18"/>
          <w:color w:val="auto"/>
        </w:rPr>
        <w:t>On January 27, 2005, WFI Government Services, Inc. (“WGSI”), entered into a stock purchase agreement (the “Stock Purchase Agreement”) to acquire all of the issued and outstanding shares of capital stock of TLA Associates (TLA). The purchase price for the acquisition was $34 million in cash, plus direct acquisition costs of approximately $0.6 million. TLA provides services including network engineering, network infrastructure support, information assurance, application development, and managed services, including network maintenance and monitoring, to government agencies.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acquisition was accounted for under the provisions of purchase method accounting in accordance with Statement of Financial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No. 141 “Business Combinations” (SFAS No. 141). The excess purchase price paid over the fair value of tangible net assets acquired was allocated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goodwill in the amount of $28.7 million and to identifiable finite lived intangible assets in the amount of $2.7 million. The identified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 of backlog of $1.3 million, customer relationships of $0.8 million and non-competition agreements of $0.6 million. The estimated post-closing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adjustment of $3.3 million, which was allocated to goodwill, was paid in the second quarter of 2005, and increased the purchase price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$37.9 million, which includes direct acquisition cost of $0.6 million. The allocation of the purchase price is subject to adjustments within a one year period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During September 2005, the Company recorded $0.7 million additional goodwill related to contract losses and normal industry profit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efforts to complete certain contracts. The results of operations of TLA since the acquisition date are included in the Company’s unaudited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for the nine months ended September 30, 2005, and are a component of the Company’s government network services operating segment.</w:t>
      </w:r>
    </w:p>
    <w:p>
      <w:pPr>
        <w:spacing w:after="0" w:line="207" w:lineRule="exact"/>
        <w:rPr>
          <w:sz w:val="20"/>
          <w:szCs w:val="20"/>
          <w:color w:val="auto"/>
        </w:rPr>
      </w:pPr>
    </w:p>
    <w:p>
      <w:pPr>
        <w:jc w:val="both"/>
        <w:ind w:right="140" w:firstLine="454"/>
        <w:spacing w:after="0" w:line="266" w:lineRule="auto"/>
        <w:rPr>
          <w:sz w:val="20"/>
          <w:szCs w:val="20"/>
          <w:color w:val="auto"/>
        </w:rPr>
      </w:pPr>
      <w:r>
        <w:rPr>
          <w:rFonts w:ascii="Times New Roman" w:cs="Times New Roman" w:eastAsia="Times New Roman" w:hAnsi="Times New Roman"/>
          <w:sz w:val="18"/>
          <w:szCs w:val="18"/>
          <w:color w:val="auto"/>
        </w:rPr>
        <w:t>The following summary presents pro forma consolidated results of operations for the three and nine months ended September 30, 2004 and 2005 as if the acquisition described above had occurred January 1, 2004, and includes adjustments that were directly attributable to the transaction or were expected to have a continuing impact on the Company.</w:t>
      </w:r>
    </w:p>
    <w:p>
      <w:pPr>
        <w:spacing w:after="0" w:line="176" w:lineRule="exact"/>
        <w:rPr>
          <w:sz w:val="20"/>
          <w:szCs w:val="20"/>
          <w:color w:val="auto"/>
        </w:rPr>
      </w:pPr>
    </w:p>
    <w:p>
      <w:pPr>
        <w:jc w:val="both"/>
        <w:ind w:right="20" w:firstLine="454"/>
        <w:spacing w:after="0" w:line="261" w:lineRule="auto"/>
        <w:rPr>
          <w:sz w:val="20"/>
          <w:szCs w:val="20"/>
          <w:color w:val="auto"/>
        </w:rPr>
      </w:pPr>
      <w:r>
        <w:rPr>
          <w:rFonts w:ascii="Times New Roman" w:cs="Times New Roman" w:eastAsia="Times New Roman" w:hAnsi="Times New Roman"/>
          <w:sz w:val="18"/>
          <w:szCs w:val="18"/>
          <w:color w:val="auto"/>
        </w:rPr>
        <w:t>The pro forma results are unaudited and for illustrative purposes only for the applicable periods, and do not purport to be indicative of the actual results which would have occurred had the transactions been completed as of the beginning of the periods, nor are they indicative of results of operations which may occur in the future. The following is also a reconciliation of GAAP to pro forma financial results for the three and nine months ended September 30, 2004 and 2005 (all unaudited amounts except per share amounts are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2004</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 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0"/>
                <w:szCs w:val="10"/>
                <w:color w:val="auto"/>
              </w:rPr>
            </w:pPr>
          </w:p>
        </w:tc>
        <w:tc>
          <w:tcPr>
            <w:tcW w:w="12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1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0"/>
                <w:szCs w:val="10"/>
                <w:color w:val="auto"/>
              </w:rPr>
            </w:pPr>
          </w:p>
        </w:tc>
        <w:tc>
          <w:tcPr>
            <w:tcW w:w="12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(13.9 )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(13.8 )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(0.22 )</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(0.20 )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(0.11 )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(0.07 )</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(0.22 )</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(0.20 ) $</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(0.11 )</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0" w:gutter="0" w:footer="0" w:header="0"/>
        </w:sectPr>
      </w:pPr>
    </w:p>
    <w:bookmarkStart w:id="9" w:name="page10"/>
    <w:bookmarkEnd w:id="9"/>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7"/>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Three months ended September 30, 2005</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Nine months ended September 30, 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0"/>
                <w:szCs w:val="10"/>
                <w:color w:val="auto"/>
              </w:rPr>
            </w:pPr>
          </w:p>
        </w:tc>
        <w:tc>
          <w:tcPr>
            <w:tcW w:w="11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 Technology Solutions, Inc.</w:t>
      </w:r>
    </w:p>
    <w:p>
      <w:pPr>
        <w:spacing w:after="0" w:line="227" w:lineRule="exact"/>
        <w:rPr>
          <w:sz w:val="20"/>
          <w:szCs w:val="20"/>
          <w:color w:val="auto"/>
        </w:rPr>
      </w:pPr>
    </w:p>
    <w:p>
      <w:pPr>
        <w:ind w:right="80" w:firstLine="454"/>
        <w:spacing w:after="0" w:line="266" w:lineRule="auto"/>
        <w:rPr>
          <w:sz w:val="20"/>
          <w:szCs w:val="20"/>
          <w:color w:val="auto"/>
        </w:rPr>
      </w:pPr>
      <w:r>
        <w:rPr>
          <w:rFonts w:ascii="Times New Roman" w:cs="Times New Roman" w:eastAsia="Times New Roman" w:hAnsi="Times New Roman"/>
          <w:sz w:val="18"/>
          <w:szCs w:val="18"/>
          <w:color w:val="auto"/>
        </w:rPr>
        <w:t>On January 5, 2004, the Company completed its acquisition of all of the outstanding securities of High Technology Solutions, Inc. (HTS), for $48.5 million in cash. HTS provides systems engineering, systems integration, and the outsourcing of technical services such as operational test and evaluation and program management to government agencies.</w:t>
      </w:r>
    </w:p>
    <w:p>
      <w:pPr>
        <w:spacing w:after="0" w:line="176" w:lineRule="exact"/>
        <w:rPr>
          <w:sz w:val="20"/>
          <w:szCs w:val="20"/>
          <w:color w:val="auto"/>
        </w:rPr>
      </w:pPr>
    </w:p>
    <w:p>
      <w:pPr>
        <w:ind w:right="20" w:firstLine="454"/>
        <w:spacing w:after="0" w:line="253" w:lineRule="auto"/>
        <w:rPr>
          <w:sz w:val="20"/>
          <w:szCs w:val="20"/>
          <w:color w:val="auto"/>
        </w:rPr>
      </w:pPr>
      <w:r>
        <w:rPr>
          <w:rFonts w:ascii="Times New Roman" w:cs="Times New Roman" w:eastAsia="Times New Roman" w:hAnsi="Times New Roman"/>
          <w:sz w:val="18"/>
          <w:szCs w:val="18"/>
          <w:color w:val="auto"/>
        </w:rPr>
        <w:t>The acquisition was accounted for under the provisions of the purchase method of accounting in accordance with SFAS No. 141. The excess purchase price paid over the fair value of tangible net assets acquired of $44.0 million was allocated to goodwill in the amount of $39.7 million, and to identifiable finite-life intangible assets in the amount of $3.9 million. The identified intangible assets consist of $3.2 million allocated to contracts and backlog, $0.2 million for intellectual property and $0.5 million for a non-compete agreement. In connection with the Company’s acquisition of HTS and the determination of the fair value of assets acquired pursuant to the provisions of SFAS No. 141, the Company valued acquired contracts in process at contract price, minus the estimated costs to complete and an allowance for the normal industry profit on its effort to complete such contracts. This adjustment totaling $1.5 million has been reflected in the accompanying consolidated balance sheet as an increase to goodwill and a corresponding increase to billings in excess of costs (deferred profit). The Company recognized approximately $0.3 million and $0.5 million as a reduction of costs against the deferred profit during each of the nine months ended September 30, 2004 and September 30, 2005, respectively. The remaining amount of $0.6 million at September 30, 2005 is estimated to reduce costs through 2008. The results of operations of HTS since the acquisition date are included in the Company’s unaudited consolidated financial statements for the three and nine months ended September 30, 2005 and are a component of the government network services operating segment.</w:t>
      </w:r>
    </w:p>
    <w:p>
      <w:pPr>
        <w:spacing w:after="0" w:line="193" w:lineRule="exact"/>
        <w:rPr>
          <w:sz w:val="20"/>
          <w:szCs w:val="20"/>
          <w:color w:val="auto"/>
        </w:rPr>
      </w:pPr>
    </w:p>
    <w:p>
      <w:pPr>
        <w:ind w:right="40" w:firstLine="38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amounts of goodwill and other indefinite and finite-life intangible assets for the nine months ended September 30, 2005,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Wireless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1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9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Network</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Network</w:t>
            </w:r>
          </w:p>
        </w:tc>
        <w:tc>
          <w:tcPr>
            <w:tcW w:w="1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Network</w:t>
            </w:r>
          </w:p>
        </w:tc>
        <w:tc>
          <w:tcPr>
            <w:tcW w:w="280" w:type="dxa"/>
            <w:vAlign w:val="bottom"/>
          </w:tcPr>
          <w:p>
            <w:pPr>
              <w:spacing w:after="0"/>
              <w:rPr>
                <w:sz w:val="12"/>
                <w:szCs w:val="12"/>
                <w:color w:val="auto"/>
              </w:rPr>
            </w:pPr>
          </w:p>
        </w:tc>
        <w:tc>
          <w:tcPr>
            <w:tcW w:w="12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Goodwill, net</w:t>
            </w: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acquired</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(0.8 )</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2005</w:t>
            </w:r>
          </w:p>
        </w:tc>
        <w:tc>
          <w:tcPr>
            <w:tcW w:w="9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intangibles acquired</w:t>
            </w:r>
          </w:p>
        </w:tc>
        <w:tc>
          <w:tcPr>
            <w:tcW w:w="9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(0.3 )</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2005</w:t>
            </w:r>
          </w:p>
        </w:tc>
        <w:tc>
          <w:tcPr>
            <w:tcW w:w="9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 and other intangibles, net</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00" w:type="dxa"/>
            <w:vAlign w:val="bottom"/>
          </w:tcPr>
          <w:p>
            <w:pPr>
              <w:spacing w:after="0"/>
              <w:rPr>
                <w:sz w:val="24"/>
                <w:szCs w:val="24"/>
                <w:color w:val="auto"/>
              </w:rPr>
            </w:pPr>
          </w:p>
        </w:tc>
        <w:tc>
          <w:tcPr>
            <w:tcW w:w="9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Acquisition Consideration</w:t>
      </w:r>
    </w:p>
    <w:p>
      <w:pPr>
        <w:spacing w:after="0" w:line="229" w:lineRule="exact"/>
        <w:rPr>
          <w:sz w:val="20"/>
          <w:szCs w:val="20"/>
          <w:color w:val="auto"/>
        </w:rPr>
      </w:pPr>
    </w:p>
    <w:p>
      <w:pPr>
        <w:ind w:right="40" w:firstLine="454"/>
        <w:spacing w:after="0" w:line="261" w:lineRule="auto"/>
        <w:rPr>
          <w:sz w:val="20"/>
          <w:szCs w:val="20"/>
          <w:color w:val="auto"/>
        </w:rPr>
      </w:pPr>
      <w:r>
        <w:rPr>
          <w:rFonts w:ascii="Times New Roman" w:cs="Times New Roman" w:eastAsia="Times New Roman" w:hAnsi="Times New Roman"/>
          <w:sz w:val="18"/>
          <w:szCs w:val="18"/>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hence, the additional consideration becomes payable. A summary of the contingent acquisition consideration for the nine months ended September 30, 2005 is summarized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Suntech</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Delmarva</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Enco</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DSI</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TLA</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2004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Accrual for contingent consideration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r>
      <w:tr>
        <w:trPr>
          <w:trHeight w:val="21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 for working capital adjustment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(3.3 )</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(15.4 )</w:t>
            </w:r>
          </w:p>
        </w:tc>
      </w:tr>
      <w:tr>
        <w:trPr>
          <w:trHeight w:val="210"/>
        </w:trPr>
        <w:tc>
          <w:tcPr>
            <w:tcW w:w="50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51"/>
        </w:trPr>
        <w:tc>
          <w:tcPr>
            <w:tcW w:w="50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bl>
    <w:p>
      <w:pPr>
        <w:sectPr>
          <w:pgSz w:w="11900" w:h="16900" w:orient="portrait"/>
          <w:cols w:equalWidth="0" w:num="1">
            <w:col w:w="11440"/>
          </w:cols>
          <w:pgMar w:left="240" w:top="337" w:right="219" w:bottom="0" w:gutter="0" w:footer="0" w:header="0"/>
        </w:sectPr>
      </w:pPr>
    </w:p>
    <w:bookmarkStart w:id="10" w:name="page11"/>
    <w:bookmarkEnd w:id="10"/>
    <w:p>
      <w:pPr>
        <w:spacing w:after="0" w:line="78" w:lineRule="exact"/>
        <w:rPr>
          <w:sz w:val="20"/>
          <w:szCs w:val="20"/>
          <w:color w:val="auto"/>
        </w:rPr>
      </w:pPr>
    </w:p>
    <w:p>
      <w:pPr>
        <w:ind w:left="20"/>
        <w:spacing w:after="0"/>
        <w:tabs>
          <w:tab w:leader="none" w:pos="5640" w:val="left"/>
          <w:tab w:leader="none" w:pos="6740" w:val="left"/>
          <w:tab w:leader="none" w:pos="7740" w:val="left"/>
          <w:tab w:leader="none" w:pos="8820" w:val="left"/>
          <w:tab w:leader="none" w:pos="9920" w:val="left"/>
          <w:tab w:leader="none" w:pos="10940" w:val="left"/>
        </w:tabs>
        <w:rPr>
          <w:sz w:val="20"/>
          <w:szCs w:val="20"/>
          <w:color w:val="auto"/>
        </w:rPr>
      </w:pPr>
      <w:r>
        <w:rPr>
          <w:rFonts w:ascii="Times New Roman" w:cs="Times New Roman" w:eastAsia="Times New Roman" w:hAnsi="Times New Roman"/>
          <w:sz w:val="18"/>
          <w:szCs w:val="18"/>
          <w:color w:val="auto"/>
        </w:rPr>
        <w:t>Balance as of September 30, 2005</w:t>
      </w:r>
      <w:r>
        <w:rPr>
          <w:sz w:val="20"/>
          <w:szCs w:val="20"/>
          <w:color w:val="auto"/>
        </w:rPr>
        <w:tab/>
      </w: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Network Services</w:t>
      </w:r>
    </w:p>
    <w:p>
      <w:pPr>
        <w:spacing w:after="0" w:line="227" w:lineRule="exact"/>
        <w:rPr>
          <w:sz w:val="20"/>
          <w:szCs w:val="20"/>
          <w:color w:val="auto"/>
        </w:rPr>
      </w:pPr>
    </w:p>
    <w:p>
      <w:pPr>
        <w:ind w:right="80" w:firstLine="454"/>
        <w:spacing w:after="0" w:line="255" w:lineRule="auto"/>
        <w:rPr>
          <w:sz w:val="20"/>
          <w:szCs w:val="20"/>
          <w:color w:val="auto"/>
        </w:rPr>
      </w:pPr>
      <w:r>
        <w:rPr>
          <w:rFonts w:ascii="Times New Roman" w:cs="Times New Roman" w:eastAsia="Times New Roman" w:hAnsi="Times New Roman"/>
          <w:sz w:val="18"/>
          <w:szCs w:val="18"/>
          <w:color w:val="auto"/>
        </w:rPr>
        <w:t>In September 2004, the Company amended the purchase agreements related to two of the companies acquired in the Enterprise Network Services business to more accurately reflect the intent of the transaction, resulting in a rescission of the continuous employment clauses from the earn-out arrangements. These amendments constituted a triggering event which resulted in a one-time charge of $12.4 million in the third quarter of 2004, which represents estimated payments to be made to certain ENS selling shareholders based on the original continuous employment clauses. At December 31, 2004, the contingent consideration accrual included the estimated liability of $12.4 million based on actual 2004 performance and estimated 2005 and 2006 performance for the ENS selling shareholders with continuous employment clauses. In April 2005, at the request of the selling shareholders, the Company further amended the purchase agreement related to one of the companies acquired in the Enterprise Network Services business to change the allocation of the earn-out payment between an ENS selling shareholder with a continuous employment clause and the other selling shareholders.</w:t>
      </w:r>
    </w:p>
    <w:p>
      <w:pPr>
        <w:spacing w:after="0" w:line="185" w:lineRule="exact"/>
        <w:rPr>
          <w:sz w:val="20"/>
          <w:szCs w:val="20"/>
          <w:color w:val="auto"/>
        </w:rPr>
      </w:pPr>
    </w:p>
    <w:p>
      <w:pPr>
        <w:ind w:right="60" w:firstLine="454"/>
        <w:spacing w:after="0" w:line="254" w:lineRule="auto"/>
        <w:rPr>
          <w:sz w:val="20"/>
          <w:szCs w:val="20"/>
          <w:color w:val="auto"/>
        </w:rPr>
      </w:pPr>
      <w:r>
        <w:rPr>
          <w:rFonts w:ascii="Times New Roman" w:cs="Times New Roman" w:eastAsia="Times New Roman" w:hAnsi="Times New Roman"/>
          <w:sz w:val="18"/>
          <w:szCs w:val="18"/>
          <w:color w:val="auto"/>
        </w:rPr>
        <w:t>Additional contingent consideration of $1.6 million was recorded to goodwill as of December 31, 2004 related to certain shareholders of ENS who had met the performance targets for 2004 and did not have continuous employment clauses in connection with the purchase agreements. During the nine months ended September 30, 2005, approximately $11.2 million was paid to certain shareholders of the companies acquired in ENS, of which $6.2 million was accrued at December 31, 2004. Additional contingent consideration of $5.0 million was recorded to goodwill related to certain shareholders of ENS who had met the performance targets for the nine months ended September 30, 2005 and did not have continuous employment clauses in connection with the purchase agreements. The accrual was reduced by $2.5 million in the quarter ending September 30, 2005 based on the evaluation of the entities’ inability to meet the performance targets set for 2005. The contingent acquisition accrual related to the ENS acquisitions as of September 30, 2005 is $5.3 million. Any future additional earn-out consideration related to the former shareholders with continuous employment clauses greater than or less than the estimated $5.3 million will be recorded as a component of income when the earn-out consideration is earned. Any future additional earn-out consideration related to the former shareholders who do not have continuous employment clauses will be recorded as additional goodwill when the earn-out consideration is earned.</w:t>
      </w:r>
    </w:p>
    <w:p>
      <w:pPr>
        <w:spacing w:after="0" w:line="186" w:lineRule="exact"/>
        <w:rPr>
          <w:sz w:val="20"/>
          <w:szCs w:val="20"/>
          <w:color w:val="auto"/>
        </w:rPr>
      </w:pPr>
    </w:p>
    <w:p>
      <w:pPr>
        <w:ind w:right="220" w:firstLine="454"/>
        <w:spacing w:after="0" w:line="261" w:lineRule="auto"/>
        <w:rPr>
          <w:sz w:val="20"/>
          <w:szCs w:val="20"/>
          <w:color w:val="auto"/>
        </w:rPr>
      </w:pPr>
      <w:r>
        <w:rPr>
          <w:rFonts w:ascii="Times New Roman" w:cs="Times New Roman" w:eastAsia="Times New Roman" w:hAnsi="Times New Roman"/>
          <w:sz w:val="18"/>
          <w:szCs w:val="18"/>
          <w:color w:val="auto"/>
        </w:rPr>
        <w:t>Assuming the ENS entities acquired in 2003 reach the minimum base performance targets in 2005 through 2006, the aggregate future contingent payments related to the measurement periods from 2005 through 2006, including the amounts accrued and earned as of September 30, 2005, would approximate a cumulative total of $5.4 million. The contingent consideration is calculated based on a certain multiple of defined annual earnings targets as stated in the respective purchase agreements.</w:t>
      </w:r>
    </w:p>
    <w:p>
      <w:pPr>
        <w:spacing w:after="0" w:line="180" w:lineRule="exact"/>
        <w:rPr>
          <w:sz w:val="20"/>
          <w:szCs w:val="20"/>
          <w:color w:val="auto"/>
        </w:rPr>
      </w:pPr>
    </w:p>
    <w:p>
      <w:pPr>
        <w:ind w:right="900" w:firstLine="454"/>
        <w:spacing w:after="0" w:line="282" w:lineRule="auto"/>
        <w:rPr>
          <w:sz w:val="20"/>
          <w:szCs w:val="20"/>
          <w:color w:val="auto"/>
        </w:rPr>
      </w:pPr>
      <w:r>
        <w:rPr>
          <w:rFonts w:ascii="Times New Roman" w:cs="Times New Roman" w:eastAsia="Times New Roman" w:hAnsi="Times New Roman"/>
          <w:sz w:val="18"/>
          <w:szCs w:val="18"/>
          <w:color w:val="auto"/>
        </w:rPr>
        <w:t>Management’s estimate of payments of future contingent consideration to be paid in 2006 related to fiscal 2005 range from $11.1 million to $13.7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Defense Systems, Incorporated</w:t>
      </w:r>
    </w:p>
    <w:p>
      <w:pPr>
        <w:spacing w:after="0" w:line="227" w:lineRule="exact"/>
        <w:rPr>
          <w:sz w:val="20"/>
          <w:szCs w:val="20"/>
          <w:color w:val="auto"/>
        </w:rPr>
      </w:pPr>
    </w:p>
    <w:p>
      <w:pPr>
        <w:ind w:right="40" w:firstLine="454"/>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acquisition of Defense Systems, Incorporated (DSI) in August 2004, additional consideration of up to $3.2 million can be earned by the former major stockholders of DSI over an 18 month period, based upon performance milestones related to certain specified contracts. In the quarter ended September 30, 2005, approximately $0.5 million was paid. Approximately $1.1 million has been accrued upon attainment of these milestones net of post-closing purchase price adjustments, as of September 30, 2005, and is expected to be paid in the fourth quarter of 2005. Any future additional consideration will be recorded as additional goodwill when the consideration is earned.</w:t>
      </w:r>
    </w:p>
    <w:p>
      <w:pPr>
        <w:spacing w:after="0" w:line="18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Commitments</w:t>
      </w:r>
    </w:p>
    <w:p>
      <w:pPr>
        <w:spacing w:after="0" w:line="229" w:lineRule="exact"/>
        <w:rPr>
          <w:sz w:val="20"/>
          <w:szCs w:val="20"/>
          <w:color w:val="auto"/>
        </w:rPr>
      </w:pPr>
    </w:p>
    <w:p>
      <w:pPr>
        <w:ind w:right="140" w:firstLine="454"/>
        <w:spacing w:after="0" w:line="282" w:lineRule="auto"/>
        <w:rPr>
          <w:sz w:val="20"/>
          <w:szCs w:val="20"/>
          <w:color w:val="auto"/>
        </w:rPr>
      </w:pPr>
      <w:r>
        <w:rPr>
          <w:rFonts w:ascii="Times New Roman" w:cs="Times New Roman" w:eastAsia="Times New Roman" w:hAnsi="Times New Roman"/>
          <w:sz w:val="18"/>
          <w:szCs w:val="18"/>
          <w:color w:val="auto"/>
        </w:rPr>
        <w:t>The Company entered into several capital and operating leases during 2005. Future minimum lease payments under all capital and operating leases as of September 30, 2005 are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right"/>
              <w:ind w:right="458"/>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right"/>
              <w:ind w:right="458"/>
              <w:spacing w:after="0" w:line="118" w:lineRule="exact"/>
              <w:rPr>
                <w:sz w:val="20"/>
                <w:szCs w:val="20"/>
                <w:color w:val="auto"/>
              </w:rPr>
            </w:pPr>
            <w:r>
              <w:rPr>
                <w:rFonts w:ascii="Times New Roman" w:cs="Times New Roman" w:eastAsia="Times New Roman" w:hAnsi="Times New Roman"/>
                <w:sz w:val="13"/>
                <w:szCs w:val="13"/>
                <w:b w:val="1"/>
                <w:bCs w:val="1"/>
                <w:color w:val="auto"/>
              </w:rPr>
              <w:t>3-5</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leases</w:t>
            </w: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Agreement and Other Financing</w:t>
      </w:r>
    </w:p>
    <w:p>
      <w:pPr>
        <w:spacing w:after="0" w:line="229" w:lineRule="exact"/>
        <w:rPr>
          <w:sz w:val="20"/>
          <w:szCs w:val="20"/>
          <w:color w:val="auto"/>
        </w:rPr>
      </w:pPr>
    </w:p>
    <w:p>
      <w:pPr>
        <w:jc w:val="both"/>
        <w:ind w:right="280" w:firstLine="454"/>
        <w:spacing w:after="0" w:line="266" w:lineRule="auto"/>
        <w:rPr>
          <w:sz w:val="20"/>
          <w:szCs w:val="20"/>
          <w:color w:val="auto"/>
        </w:rPr>
      </w:pPr>
      <w:r>
        <w:rPr>
          <w:rFonts w:ascii="Times New Roman" w:cs="Times New Roman" w:eastAsia="Times New Roman" w:hAnsi="Times New Roman"/>
          <w:sz w:val="18"/>
          <w:szCs w:val="18"/>
          <w:color w:val="auto"/>
        </w:rPr>
        <w:t>On March 16, 2005, the Company entered into a credit agreement with KeyBank National Association (“KeyBank”) to provide a $15 million senior credit facility. The facility has a 3-year term and can be expanded to a $60 million facility to fund future acquisitions. There are no amounts drawn on the facility as of September 30, 2005. On October 11, 2005, the Company drew $2.0 million on the line of credit.</w:t>
      </w:r>
    </w:p>
    <w:p>
      <w:pPr>
        <w:spacing w:after="0" w:line="176" w:lineRule="exact"/>
        <w:rPr>
          <w:sz w:val="20"/>
          <w:szCs w:val="20"/>
          <w:color w:val="auto"/>
        </w:rPr>
      </w:pPr>
    </w:p>
    <w:p>
      <w:pPr>
        <w:ind w:right="40" w:firstLine="454"/>
        <w:spacing w:after="0" w:line="261" w:lineRule="auto"/>
        <w:rPr>
          <w:sz w:val="20"/>
          <w:szCs w:val="20"/>
          <w:color w:val="auto"/>
        </w:rPr>
      </w:pPr>
      <w:r>
        <w:rPr>
          <w:rFonts w:ascii="Times New Roman" w:cs="Times New Roman" w:eastAsia="Times New Roman" w:hAnsi="Times New Roman"/>
          <w:sz w:val="18"/>
          <w:szCs w:val="18"/>
          <w:color w:val="auto"/>
        </w:rPr>
        <w:t>The terms of the credit agreement require the Company to provide certain customary covenants for a credit agreement, including certain financial covenants. These financial convenants are computed as defined by the terms of the agreement. These financial covenants include a maximum senior leverage ratio of 1.5 to 1.0, a maximum total leverage ratio of 3.0 to 1.0, a minimum liquidity ratio of 1.35 to 1.0, and a minimum fixed charge coverage ratio of 1.25 to 1.0. As of September 30, 2005, the Company was in compliance with all covenants under this agreement.</w:t>
      </w:r>
    </w:p>
    <w:p>
      <w:pPr>
        <w:spacing w:after="0" w:line="180" w:lineRule="exact"/>
        <w:rPr>
          <w:sz w:val="20"/>
          <w:szCs w:val="20"/>
          <w:color w:val="auto"/>
        </w:rPr>
      </w:pPr>
    </w:p>
    <w:p>
      <w:pPr>
        <w:ind w:right="120" w:firstLine="454"/>
        <w:spacing w:after="0" w:line="266" w:lineRule="auto"/>
        <w:rPr>
          <w:sz w:val="20"/>
          <w:szCs w:val="20"/>
          <w:color w:val="auto"/>
        </w:rPr>
      </w:pPr>
      <w:r>
        <w:rPr>
          <w:rFonts w:ascii="Times New Roman" w:cs="Times New Roman" w:eastAsia="Times New Roman" w:hAnsi="Times New Roman"/>
          <w:sz w:val="18"/>
          <w:szCs w:val="18"/>
          <w:color w:val="auto"/>
        </w:rPr>
        <w:t>In February 2005, the Company entered into an agreement with National City Vendor Finance, LLC to finance $0.59 million in software, maintenance and support fees of one of its IT systems. The interest rate for the financing is at 4.2% per annum. Principal and interest payments of $0.05 million are payable quarterly through January 2008. As of September 30, 2005, $0.48 million was outstanding on this financing.</w:t>
      </w:r>
    </w:p>
    <w:p>
      <w:pPr>
        <w:spacing w:after="0" w:line="388"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160" w:firstLine="454"/>
        <w:spacing w:after="0" w:line="313" w:lineRule="auto"/>
        <w:rPr>
          <w:sz w:val="20"/>
          <w:szCs w:val="20"/>
          <w:color w:val="auto"/>
        </w:rPr>
      </w:pPr>
      <w:r>
        <w:rPr>
          <w:rFonts w:ascii="Times New Roman" w:cs="Times New Roman" w:eastAsia="Times New Roman" w:hAnsi="Times New Roman"/>
          <w:sz w:val="17"/>
          <w:szCs w:val="17"/>
          <w:color w:val="auto"/>
        </w:rPr>
        <w:t>The Company has organized its business along service lines to include three reportable segments: Wireless Network Services, Enterprise Network Services and Government Network Services. Revenues and operating income generated by the Company’s reporting segments for the three and nine months</w:t>
      </w:r>
    </w:p>
    <w:p>
      <w:pPr>
        <w:sectPr>
          <w:pgSz w:w="11900" w:h="16916" w:orient="portrait"/>
          <w:cols w:equalWidth="0" w:num="1">
            <w:col w:w="11420"/>
          </w:cols>
          <w:pgMar w:left="240" w:top="121" w:right="2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ended September 30, 2004 and 2005 are as follows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00" w:type="dxa"/>
            <w:vAlign w:val="bottom"/>
            <w:gridSpan w:val="6"/>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r>
      <w:tr>
        <w:trPr>
          <w:trHeight w:val="173"/>
        </w:trPr>
        <w:tc>
          <w:tcPr>
            <w:tcW w:w="5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5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Wireless Network Services</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Pr>
          <w:p>
            <w:pPr>
              <w:spacing w:after="0"/>
              <w:rPr>
                <w:sz w:val="18"/>
                <w:szCs w:val="18"/>
                <w:color w:val="auto"/>
              </w:rPr>
            </w:pPr>
          </w:p>
        </w:tc>
        <w:tc>
          <w:tcPr>
            <w:tcW w:w="7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44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212.2</w:t>
            </w:r>
          </w:p>
        </w:tc>
        <w:tc>
          <w:tcPr>
            <w:tcW w:w="140" w:type="dxa"/>
            <w:vAlign w:val="bottom"/>
          </w:tcPr>
          <w:p>
            <w:pPr>
              <w:spacing w:after="0"/>
              <w:rPr>
                <w:sz w:val="18"/>
                <w:szCs w:val="18"/>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Network Services</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6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5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295.6</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320.9</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Wireless Network Services</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7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Network Services</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(11.6 )</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(9.4 )</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419"/>
        </w:trPr>
        <w:tc>
          <w:tcPr>
            <w:tcW w:w="5440" w:type="dxa"/>
            <w:vAlign w:val="bottom"/>
          </w:tcPr>
          <w:p>
            <w:pPr>
              <w:spacing w:after="0"/>
              <w:rPr>
                <w:sz w:val="24"/>
                <w:szCs w:val="24"/>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4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5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 derived by geographic region are as follows (in millions):</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5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00" w:type="dxa"/>
            <w:vAlign w:val="bottom"/>
            <w:gridSpan w:val="6"/>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r>
      <w:tr>
        <w:trPr>
          <w:trHeight w:val="173"/>
        </w:trPr>
        <w:tc>
          <w:tcPr>
            <w:tcW w:w="5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5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44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Central and South America</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6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5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108.9</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-1633220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-1633220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 had sales to two separate customers which comprised $14.4 million (15.0%) and $12.1 million (12.6%) and $50.3 million (17.0%) and $35.4 million (12.0%) for the three and nine months ended September 30, 2004. For the three and nine months ended September 30, 2005, the Company had sales to two separate customers which comprised $28.3 million (26.0%) and $9.9 million (9.1%) and $73.4 million (22.9%) and $27.3 million (8.5%), respectively. Revenues for these customers are recorded in the Wireless Network Services segment.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70" w:lineRule="exact"/>
        <w:rPr>
          <w:sz w:val="20"/>
          <w:szCs w:val="20"/>
          <w:color w:val="auto"/>
        </w:rPr>
      </w:pPr>
    </w:p>
    <w:p>
      <w:pPr>
        <w:ind w:right="100" w:firstLine="499"/>
        <w:spacing w:after="0" w:line="255" w:lineRule="auto"/>
        <w:rPr>
          <w:sz w:val="20"/>
          <w:szCs w:val="20"/>
          <w:color w:val="auto"/>
        </w:rPr>
      </w:pPr>
      <w:r>
        <w:rPr>
          <w:rFonts w:ascii="Times New Roman" w:cs="Times New Roman" w:eastAsia="Times New Roman" w:hAnsi="Times New Roman"/>
          <w:sz w:val="18"/>
          <w:szCs w:val="18"/>
          <w:color w:val="auto"/>
        </w:rPr>
        <w:t>On May 30, 2002, the Company issued an aggregate of 90,000 shares of Series B Convertible Preferred Stock, at an aggregate purchase price of $45.0 million, in a private placement to entities affiliated with one of the directors of the Company (40,000 shares), to a brother of the Chairman and then Chief Executive Officer of the Company (10,000 shares) and to an unrelated third-party investor (40,000 shares). The Company received $44.9 million net of proceeds. Each share of Series B Convertible Preferred Stock is initially convertible into 100 shares of Common Stock for a conversion price of $5.00 per share, which was the fair market of the common stock at the closing, at the option of the holder at any time, subject to certain provisions in the Series B Preferred Stock Purchase Agreement. The Series B Preferred Stock Purchase Agreement had a lock-up provision, which expired prior to March 5, 2004, on which date 40,000 shares of Series B Convertible Preferred Stock were converted into 4,000,000 shares of the Company’s Common Stock.</w:t>
      </w:r>
    </w:p>
    <w:p>
      <w:pPr>
        <w:spacing w:after="0" w:line="189" w:lineRule="exact"/>
        <w:rPr>
          <w:sz w:val="20"/>
          <w:szCs w:val="20"/>
          <w:color w:val="auto"/>
        </w:rPr>
      </w:pPr>
    </w:p>
    <w:p>
      <w:pPr>
        <w:ind w:right="280" w:firstLine="454"/>
        <w:spacing w:after="0" w:line="266" w:lineRule="auto"/>
        <w:rPr>
          <w:sz w:val="20"/>
          <w:szCs w:val="20"/>
          <w:color w:val="auto"/>
        </w:rPr>
      </w:pPr>
      <w:r>
        <w:rPr>
          <w:rFonts w:ascii="Times New Roman" w:cs="Times New Roman" w:eastAsia="Times New Roman" w:hAnsi="Times New Roman"/>
          <w:sz w:val="18"/>
          <w:szCs w:val="18"/>
          <w:color w:val="auto"/>
        </w:rPr>
        <w:t>Through September 30, 2005, the Company has received notices from the holders to convert an aggregate number of 64,517 shares of Series B Convertible Preferred Stock into an aggregate 6,451,700 shares of the Company’s Common Stock. On September 30, 2005, the total liquidated preference equaled $12.7 million.</w:t>
      </w:r>
    </w:p>
    <w:p>
      <w:pPr>
        <w:spacing w:after="0" w:line="176" w:lineRule="exact"/>
        <w:rPr>
          <w:sz w:val="20"/>
          <w:szCs w:val="20"/>
          <w:color w:val="auto"/>
        </w:rPr>
      </w:pPr>
    </w:p>
    <w:p>
      <w:pPr>
        <w:jc w:val="both"/>
        <w:ind w:right="280" w:firstLine="454"/>
        <w:spacing w:after="0" w:line="266" w:lineRule="auto"/>
        <w:rPr>
          <w:sz w:val="20"/>
          <w:szCs w:val="20"/>
          <w:color w:val="auto"/>
        </w:rPr>
      </w:pPr>
      <w:r>
        <w:rPr>
          <w:rFonts w:ascii="Times New Roman" w:cs="Times New Roman" w:eastAsia="Times New Roman" w:hAnsi="Times New Roman"/>
          <w:sz w:val="18"/>
          <w:szCs w:val="18"/>
          <w:color w:val="auto"/>
        </w:rPr>
        <w:t>In 2003, in connection with the Company’s acquisition of two companies in its Enterprise Network Services business, the Company assumed certain facility lease obligations relating to facilities that were owned by the previous shareholders. The lease expense, which approximates $0.1 million and $0.2 million for the nine months ended September 30, 2004 and 2005, respectively, is reflected in the statement of operations.</w:t>
      </w:r>
    </w:p>
    <w:p>
      <w:pPr>
        <w:spacing w:after="0" w:line="176" w:lineRule="exact"/>
        <w:rPr>
          <w:sz w:val="20"/>
          <w:szCs w:val="20"/>
          <w:color w:val="auto"/>
        </w:rPr>
      </w:pPr>
    </w:p>
    <w:p>
      <w:pPr>
        <w:ind w:right="40" w:firstLine="454"/>
        <w:spacing w:after="0" w:line="254" w:lineRule="auto"/>
        <w:rPr>
          <w:sz w:val="20"/>
          <w:szCs w:val="20"/>
          <w:color w:val="auto"/>
        </w:rPr>
      </w:pPr>
      <w:r>
        <w:rPr>
          <w:rFonts w:ascii="Times New Roman" w:cs="Times New Roman" w:eastAsia="Times New Roman" w:hAnsi="Times New Roman"/>
          <w:sz w:val="18"/>
          <w:szCs w:val="18"/>
          <w:color w:val="auto"/>
        </w:rPr>
        <w:t>In early 2004, the Company entered into a partnership arrangement with an entity whereby the Company committed to fund a $1.0 million line of credit for working capital purposes of the newly created partnership, known as Mobilitie Partners, LLC (“Mobilitie”). The terms of the line of credit agreement provide for repayment based upon the occurrence of certain future events, such as a monetizing event. In addition, in the event the Company exited the partnership based upon its evaluation of the viability of the business, WFI is committed to fund approximately $0.4 million of future operating costs of its partner. For this consideration the Company received 15% equity interest in Mobilitie. The Company reviewed the terms of the partnership agreement and determined that it met the characteristics of a variable interest entity and the requirements for consolidation under FASB Interpretation No. 46-R and, accordingly, Mobilitie was fully consolidated by WFI. As of December 31, 2004, approximately $1.0 million had been advanced on the line of credit. All amounts advanced were expensed in the Company’s statement of operations for 2004. On December 31, 2004, the Company exercised its right to withdraw from Mobilitie. As a result, the Company had no ownership interest in Mobilitie as of December 31, 2004 and consequently has not consolidated the operating results of Mobilitie since December 31, 2004.</w:t>
      </w:r>
    </w:p>
    <w:p>
      <w:pPr>
        <w:spacing w:after="0" w:line="186" w:lineRule="exact"/>
        <w:rPr>
          <w:sz w:val="20"/>
          <w:szCs w:val="20"/>
          <w:color w:val="auto"/>
        </w:rPr>
      </w:pPr>
    </w:p>
    <w:p>
      <w:pPr>
        <w:ind w:right="160" w:firstLine="454"/>
        <w:spacing w:after="0" w:line="266" w:lineRule="auto"/>
        <w:rPr>
          <w:sz w:val="20"/>
          <w:szCs w:val="20"/>
          <w:color w:val="auto"/>
        </w:rPr>
      </w:pPr>
      <w:r>
        <w:rPr>
          <w:rFonts w:ascii="Times New Roman" w:cs="Times New Roman" w:eastAsia="Times New Roman" w:hAnsi="Times New Roman"/>
          <w:sz w:val="18"/>
          <w:szCs w:val="18"/>
          <w:color w:val="auto"/>
        </w:rPr>
        <w:t>On June 24, 2004, the Company entered into an agreement with an entity for consulting services, whereby the Company will compensate this separate entity $500 for certain cellular sites, and 0.3% of the Company’s contract price for other types of cellular sites assigned to the Company by a certain major wireless carrier, if such assignment is a direct result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efforts of the Company’s partner, subject to the conditions of the agreement. As of September 30, 2005, $0 had been earned under this agreement.</w:t>
      </w:r>
    </w:p>
    <w:p>
      <w:pPr>
        <w:sectPr>
          <w:pgSz w:w="11900" w:h="16838" w:orient="portrait"/>
          <w:cols w:equalWidth="0" w:num="1">
            <w:col w:w="11440"/>
          </w:cols>
          <w:pgMar w:left="240" w:top="121" w:right="219" w:bottom="0" w:gutter="0" w:footer="0" w:header="0"/>
          <w:type w:val="continuous"/>
        </w:sectPr>
      </w:pPr>
    </w:p>
    <w:bookmarkStart w:id="12" w:name="page13"/>
    <w:bookmarkEnd w:id="12"/>
    <w:p>
      <w:pPr>
        <w:ind w:right="60" w:firstLine="454"/>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acquisition of TLA in January 2005, the Company assumed certain facility lease obligations for a facility owned by the previous shareholders. The lease expense, which approximates $0.2 million and $0.5 million for the three and nine months ended September 30, 2005, respectively, is reflected in the statement of operations.</w:t>
      </w:r>
    </w:p>
    <w:p>
      <w:pPr>
        <w:spacing w:after="0" w:line="176" w:lineRule="exact"/>
        <w:rPr>
          <w:sz w:val="20"/>
          <w:szCs w:val="20"/>
          <w:color w:val="auto"/>
        </w:rPr>
      </w:pPr>
    </w:p>
    <w:p>
      <w:pPr>
        <w:ind w:right="20" w:firstLine="454"/>
        <w:spacing w:after="0" w:line="266" w:lineRule="auto"/>
        <w:rPr>
          <w:sz w:val="20"/>
          <w:szCs w:val="20"/>
          <w:color w:val="auto"/>
        </w:rPr>
      </w:pPr>
      <w:r>
        <w:rPr>
          <w:rFonts w:ascii="Times New Roman" w:cs="Times New Roman" w:eastAsia="Times New Roman" w:hAnsi="Times New Roman"/>
          <w:sz w:val="18"/>
          <w:szCs w:val="18"/>
          <w:color w:val="auto"/>
        </w:rPr>
        <w:t>Based upon a review by disinterested members of management and the board of directors of terms of comparable transactions available from or involving third parties, the Company believes that all transactions with related parties described above were made on terms no less favorable to the Company than could have been obtained from unaffiliated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Matters</w:t>
      </w:r>
    </w:p>
    <w:p>
      <w:pPr>
        <w:spacing w:after="0" w:line="229" w:lineRule="exact"/>
        <w:rPr>
          <w:sz w:val="20"/>
          <w:szCs w:val="20"/>
          <w:color w:val="auto"/>
        </w:rPr>
      </w:pPr>
    </w:p>
    <w:p>
      <w:pPr>
        <w:ind w:right="40" w:firstLine="499"/>
        <w:spacing w:after="0" w:line="254" w:lineRule="auto"/>
        <w:rPr>
          <w:sz w:val="20"/>
          <w:szCs w:val="20"/>
          <w:color w:val="auto"/>
        </w:rPr>
      </w:pPr>
      <w:r>
        <w:rPr>
          <w:rFonts w:ascii="Times New Roman" w:cs="Times New Roman" w:eastAsia="Times New Roman" w:hAnsi="Times New Roman"/>
          <w:sz w:val="18"/>
          <w:szCs w:val="18"/>
          <w:color w:val="auto"/>
        </w:rPr>
        <w:t>Beginning in July 2001, the Company and certain of its former officers and directors (the “Individuals”) were named as defendants in a series of class action shareholder complaints filed in the U.S. District Court for the Southern District of New York, now consolidated into a single amended complaint captioned In re Buy.com, Inc. Initial Public Offering Securities Litigation, 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189" w:lineRule="exact"/>
        <w:rPr>
          <w:sz w:val="20"/>
          <w:szCs w:val="20"/>
          <w:color w:val="auto"/>
        </w:rPr>
      </w:pPr>
    </w:p>
    <w:p>
      <w:pPr>
        <w:ind w:right="240" w:firstLine="454"/>
        <w:spacing w:after="0" w:line="258" w:lineRule="auto"/>
        <w:rPr>
          <w:sz w:val="20"/>
          <w:szCs w:val="20"/>
          <w:color w:val="auto"/>
        </w:rPr>
      </w:pPr>
      <w:r>
        <w:rPr>
          <w:rFonts w:ascii="Times New Roman" w:cs="Times New Roman" w:eastAsia="Times New Roman" w:hAnsi="Times New Roman"/>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184" w:lineRule="exact"/>
        <w:rPr>
          <w:sz w:val="20"/>
          <w:szCs w:val="20"/>
          <w:color w:val="auto"/>
        </w:rPr>
      </w:pPr>
    </w:p>
    <w:p>
      <w:pPr>
        <w:ind w:right="40" w:firstLine="454"/>
        <w:spacing w:after="0" w:line="255" w:lineRule="auto"/>
        <w:rPr>
          <w:sz w:val="20"/>
          <w:szCs w:val="20"/>
          <w:color w:val="auto"/>
        </w:rPr>
      </w:pPr>
      <w:r>
        <w:rPr>
          <w:rFonts w:ascii="Times New Roman" w:cs="Times New Roman" w:eastAsia="Times New Roman" w:hAnsi="Times New Roman"/>
          <w:sz w:val="18"/>
          <w:szCs w:val="18"/>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In addition, the settlement is still subject to statutory notice requirements as well as final judicial approval. The Company does not expect the settlement to have a material impact on its operations or cash flow.</w:t>
      </w:r>
    </w:p>
    <w:p>
      <w:pPr>
        <w:spacing w:after="0" w:line="189" w:lineRule="exact"/>
        <w:rPr>
          <w:sz w:val="20"/>
          <w:szCs w:val="20"/>
          <w:color w:val="auto"/>
        </w:rPr>
      </w:pPr>
    </w:p>
    <w:p>
      <w:pPr>
        <w:ind w:firstLine="454"/>
        <w:spacing w:after="0" w:line="252" w:lineRule="auto"/>
        <w:rPr>
          <w:sz w:val="20"/>
          <w:szCs w:val="20"/>
          <w:color w:val="auto"/>
        </w:rPr>
      </w:pPr>
      <w:r>
        <w:rPr>
          <w:rFonts w:ascii="Times New Roman" w:cs="Times New Roman" w:eastAsia="Times New Roman" w:hAnsi="Times New Roman"/>
          <w:sz w:val="18"/>
          <w:szCs w:val="18"/>
          <w:color w:val="auto"/>
        </w:rPr>
        <w:t xml:space="preserve">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Times New Roman" w:cs="Times New Roman" w:eastAsia="Times New Roman" w:hAnsi="Times New Roman"/>
          <w:sz w:val="18"/>
          <w:szCs w:val="18"/>
          <w:i w:val="1"/>
          <w:iCs w:val="1"/>
          <w:color w:val="auto"/>
        </w:rPr>
        <w:t>In re Wireless Facilities,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Litigation</w:t>
      </w:r>
      <w:r>
        <w:rPr>
          <w:rFonts w:ascii="Times New Roman" w:cs="Times New Roman" w:eastAsia="Times New Roman" w:hAnsi="Times New Roman"/>
          <w:sz w:val="18"/>
          <w:szCs w:val="18"/>
          <w:color w:val="auto"/>
        </w:rPr>
        <w:t>, Master File No. 04CV1589-JAH. The plaintiffs filed their consolidated complaint in January 2005 and did not name the Company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the Defendants are currently awaiting the ruling on this motion. The Company believes that the allegations lack merit and intends to vigorously defend all</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76" w:lineRule="exact"/>
        <w:rPr>
          <w:sz w:val="20"/>
          <w:szCs w:val="20"/>
          <w:color w:val="auto"/>
        </w:rPr>
      </w:pPr>
    </w:p>
    <w:p>
      <w:pPr>
        <w:ind w:firstLine="454"/>
        <w:spacing w:after="0" w:line="252" w:lineRule="auto"/>
        <w:rPr>
          <w:sz w:val="20"/>
          <w:szCs w:val="20"/>
          <w:color w:val="auto"/>
        </w:rPr>
      </w:pPr>
      <w:r>
        <w:rPr>
          <w:rFonts w:ascii="Times New Roman" w:cs="Times New Roman" w:eastAsia="Times New Roman" w:hAnsi="Times New Roman"/>
          <w:sz w:val="18"/>
          <w:szCs w:val="18"/>
          <w:color w:val="auto"/>
        </w:rPr>
        <w:t xml:space="preserve">Two derivative lawsuits have been filed in the United States District Court for the Southern District of California against certain of the Company’s current and former officers and directors: </w:t>
      </w:r>
      <w:r>
        <w:rPr>
          <w:rFonts w:ascii="Times New Roman" w:cs="Times New Roman" w:eastAsia="Times New Roman" w:hAnsi="Times New Roman"/>
          <w:sz w:val="18"/>
          <w:szCs w:val="18"/>
          <w:i w:val="1"/>
          <w:iCs w:val="1"/>
          <w:color w:val="auto"/>
        </w:rPr>
        <w:t>Pedicini v. Wireless Facilities, Inc.,</w:t>
      </w:r>
      <w:r>
        <w:rPr>
          <w:rFonts w:ascii="Times New Roman" w:cs="Times New Roman" w:eastAsia="Times New Roman" w:hAnsi="Times New Roman"/>
          <w:sz w:val="18"/>
          <w:szCs w:val="18"/>
          <w:color w:val="auto"/>
        </w:rPr>
        <w:t xml:space="preserve"> Case No. 04CV1663; and </w:t>
      </w:r>
      <w:r>
        <w:rPr>
          <w:rFonts w:ascii="Times New Roman" w:cs="Times New Roman" w:eastAsia="Times New Roman" w:hAnsi="Times New Roman"/>
          <w:sz w:val="18"/>
          <w:szCs w:val="18"/>
          <w:i w:val="1"/>
          <w:iCs w:val="1"/>
          <w:color w:val="auto"/>
        </w:rPr>
        <w:t>Roth v. Wireless Facilities, Inc.,</w:t>
      </w:r>
      <w:r>
        <w:rPr>
          <w:rFonts w:ascii="Times New Roman" w:cs="Times New Roman" w:eastAsia="Times New Roman" w:hAnsi="Times New Roman"/>
          <w:sz w:val="18"/>
          <w:szCs w:val="18"/>
          <w:color w:val="auto"/>
        </w:rPr>
        <w:t xml:space="preserve"> Case No. 04CV1810. These actions have been consolidated into a single action in </w:t>
      </w:r>
      <w:r>
        <w:rPr>
          <w:rFonts w:ascii="Times New Roman" w:cs="Times New Roman" w:eastAsia="Times New Roman" w:hAnsi="Times New Roman"/>
          <w:sz w:val="18"/>
          <w:szCs w:val="18"/>
          <w:i w:val="1"/>
          <w:iCs w:val="1"/>
          <w:color w:val="auto"/>
        </w:rPr>
        <w:t>In re Wireless Facilities, Inc. Derivative Litigation</w:t>
      </w:r>
      <w:r>
        <w:rPr>
          <w:rFonts w:ascii="Times New Roman" w:cs="Times New Roman" w:eastAsia="Times New Roman" w:hAnsi="Times New Roman"/>
          <w:sz w:val="18"/>
          <w:szCs w:val="18"/>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The parties have agreed to postpone any hearing on these motions until after limited discovery is completed regarding the motion to dismiss the action against certain individual defendants based on lack of personal jurisdiction. The discovery is now expected to be completed by the end of November 2005.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99" w:lineRule="exact"/>
        <w:rPr>
          <w:sz w:val="20"/>
          <w:szCs w:val="20"/>
          <w:color w:val="auto"/>
        </w:rPr>
      </w:pPr>
    </w:p>
    <w:p>
      <w:pPr>
        <w:ind w:right="20" w:firstLine="454"/>
        <w:spacing w:after="0" w:line="313" w:lineRule="auto"/>
        <w:rPr>
          <w:sz w:val="20"/>
          <w:szCs w:val="20"/>
          <w:color w:val="auto"/>
        </w:rPr>
      </w:pPr>
      <w:r>
        <w:rPr>
          <w:rFonts w:ascii="Times New Roman" w:cs="Times New Roman" w:eastAsia="Times New Roman" w:hAnsi="Times New Roman"/>
          <w:sz w:val="17"/>
          <w:szCs w:val="17"/>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w:t>
      </w:r>
    </w:p>
    <w:p>
      <w:pPr>
        <w:sectPr>
          <w:pgSz w:w="11900" w:h="16838" w:orient="portrait"/>
          <w:cols w:equalWidth="0" w:num="1">
            <w:col w:w="11360"/>
          </w:cols>
          <w:pgMar w:left="240" w:top="337" w:right="299" w:bottom="0" w:gutter="0" w:footer="0" w:header="0"/>
        </w:sectPr>
      </w:pPr>
    </w:p>
    <w:bookmarkStart w:id="13" w:name="page14"/>
    <w:bookmarkEnd w:id="13"/>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t xml:space="preserve">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and </w:t>
      </w:r>
      <w:r>
        <w:rPr>
          <w:rFonts w:ascii="Times New Roman" w:cs="Times New Roman" w:eastAsia="Times New Roman" w:hAnsi="Times New Roman"/>
          <w:sz w:val="17"/>
          <w:szCs w:val="17"/>
          <w:i w:val="1"/>
          <w:iCs w:val="1"/>
          <w:color w:val="auto"/>
        </w:rPr>
        <w:t>In re Wireless Facilities, Inc.</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Derivative Litigation, </w:t>
      </w:r>
      <w:r>
        <w:rPr>
          <w:rFonts w:ascii="Times New Roman" w:cs="Times New Roman" w:eastAsia="Times New Roman" w:hAnsi="Times New Roman"/>
          <w:sz w:val="18"/>
          <w:szCs w:val="18"/>
          <w:color w:val="auto"/>
        </w:rPr>
        <w:t>California Superior Court, San Diego County, Lead Case No. GIC 834253. The plaintiffs filed a Consolidated Shareholder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 on October 14, 2004. This action has been stayed pending a decision in federal court on a motion to dismiss the federal derivative lawsuits and there will be a hearing in April 2006 to evaluate the status of this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90" w:lineRule="exact"/>
        <w:rPr>
          <w:sz w:val="20"/>
          <w:szCs w:val="20"/>
          <w:color w:val="auto"/>
        </w:rPr>
      </w:pPr>
    </w:p>
    <w:p>
      <w:pPr>
        <w:ind w:right="20" w:firstLine="454"/>
        <w:spacing w:after="0" w:line="255" w:lineRule="auto"/>
        <w:rPr>
          <w:sz w:val="20"/>
          <w:szCs w:val="20"/>
          <w:color w:val="auto"/>
        </w:rPr>
      </w:pPr>
      <w:r>
        <w:rPr>
          <w:rFonts w:ascii="Times New Roman" w:cs="Times New Roman" w:eastAsia="Times New Roman" w:hAnsi="Times New Roman"/>
          <w:sz w:val="18"/>
          <w:szCs w:val="18"/>
          <w:color w:val="auto"/>
        </w:rPr>
        <w:t>On January 19, 2005, the Company and a selling shareholder in a Company subsidiary in the ENS division initiated an arbitration proceeding regarding the termination of employment of that individual from ENS. The amount in controversy was approximately $300,000.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the selling shareholder is claiming he is entitled to approximately $5.0 million. The arbitration is currently expected to occur during the second quarter of 2006. The Company is disputing the selling shareholder’s right to further compensation, his entitlement to an earn-out payment and, if a payment is due, the early payment of any such amounts. The Company has accrued the contingent consideration as earned as of September 30, 2005 and does not believe any additional adjustment will be necessary.</w:t>
      </w:r>
    </w:p>
    <w:p>
      <w:pPr>
        <w:spacing w:after="0" w:line="189" w:lineRule="exact"/>
        <w:rPr>
          <w:sz w:val="20"/>
          <w:szCs w:val="20"/>
          <w:color w:val="auto"/>
        </w:rPr>
      </w:pPr>
    </w:p>
    <w:p>
      <w:pPr>
        <w:ind w:firstLine="454"/>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52" w:lineRule="exact"/>
        <w:rPr>
          <w:sz w:val="20"/>
          <w:szCs w:val="20"/>
          <w:color w:val="auto"/>
        </w:rPr>
      </w:pPr>
    </w:p>
    <w:p>
      <w:pPr>
        <w:ind w:right="160" w:firstLine="363"/>
        <w:spacing w:after="0" w:line="258"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w:t>
      </w:r>
    </w:p>
    <w:p>
      <w:pPr>
        <w:spacing w:after="0" w:line="1" w:lineRule="exact"/>
        <w:rPr>
          <w:sz w:val="20"/>
          <w:szCs w:val="20"/>
          <w:color w:val="auto"/>
        </w:rPr>
      </w:pPr>
    </w:p>
    <w:p>
      <w:pPr>
        <w:ind w:right="500" w:firstLine="363"/>
        <w:spacing w:after="0" w:line="284" w:lineRule="auto"/>
        <w:rPr>
          <w:sz w:val="20"/>
          <w:szCs w:val="20"/>
          <w:color w:val="auto"/>
        </w:rPr>
      </w:pPr>
      <w:r>
        <w:rPr>
          <w:rFonts w:ascii="Times New Roman" w:cs="Times New Roman" w:eastAsia="Times New Roman" w:hAnsi="Times New Roman"/>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i w:val="1"/>
          <w:iCs w:val="1"/>
          <w:color w:val="auto"/>
        </w:rPr>
        <w:t>assumes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ind w:right="80" w:firstLine="363"/>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and consolidated financial statements and related notes included in our Annual Report filed on Form 10-K, as amended by our Annual Report on form 10-K/A, for the year ended December 31, 2004 and other reports and filings made with the Securities and Exchange Commission.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5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are an independent provider of outsourced communications and security systems engineering and integration services for the wireless communications industry through our Wireless Network Services division (“WNS”), the U.S. government through our Government Network Services division (“GNS”), and enterprise customers through our Enterprise Network Services division (“ENS”). The principal services we provide include, but are not limited to, the design, deployment, integration, and the overall management of communications, information technology, and security networks. Our work for the wireless communications industry primarily involves radio frequency engineering, site development, project management and the installation of radio equipment networks. We also provide network management services, which involve day-to-day optimization and maintenance of wireless networks. Our work for the federal government primarily involves systems engineering, systems integration, and the outsourcing of technical services such as operational test and evaluation and program management. We also provide services in the areas of mission assurance, product and process validation and verification, and software and applications development. Our work for enterprise customers primarily involves the design, deployment, and integration of security and other in-building systems including access control and intrusion detection and is focused on opportunities to integrate wireless technology into enterprise networks, especially physical and electronic security systems, and voice and data networks.</w:t>
      </w:r>
    </w:p>
    <w:p>
      <w:pPr>
        <w:spacing w:after="0" w:line="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Wireless network services contracts are primarily fixed price contracts whereby revenue is recognized using the percentage-of-completion method of accounting under the provisions of Statement of Position (SOP) 81-1, “Accounting for Performance of Construction Type and Certain Production Type Contracts.” For contracts offered on a time and expense basis, we recognize revenues as services are performed. We typically charge a fixed monthly fee for ongoing radio frequency optimization and network operations and maintenance services. With respect to these services, we recognize revenue as services are performed. Our government network services business with the U.S. government and prime contractors is generally performed under cost reimbursable, fixed price or time and materials contracts. Cost reimbursable contracts for the government provide for reimbursement of costs plus the payment of a fee. Some cost-reimbursable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w:t>
      </w:r>
    </w:p>
    <w:p>
      <w:pPr>
        <w:spacing w:after="0" w:line="14"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Cost of revenues includes direct compensation, living, travel and benefit expenses for project-related personnel, payments to third-party sub-contractors, project-related incentive compensation based upon the successful achievement of certain project performance goals, allocation of corporate overhead costs of expendable computer software and equipment, and other direct project-related expenses. Direct compensation and benefits are computed based on standard costs and actual hours billed. We review and adjust these standard costs periodically to ensure they are comparable to actual costs.</w:t>
      </w:r>
    </w:p>
    <w:p>
      <w:pPr>
        <w:spacing w:after="0" w:line="4" w:lineRule="exact"/>
        <w:rPr>
          <w:sz w:val="20"/>
          <w:szCs w:val="20"/>
          <w:color w:val="auto"/>
        </w:rPr>
      </w:pPr>
    </w:p>
    <w:p>
      <w:pPr>
        <w:ind w:right="460" w:firstLine="43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ectPr>
          <w:pgSz w:w="11900" w:h="16838" w:orient="portrait"/>
          <w:cols w:equalWidth="0" w:num="1">
            <w:col w:w="11400"/>
          </w:cols>
          <w:pgMar w:left="240" w:top="121" w:right="259" w:bottom="0" w:gutter="0" w:footer="0" w:header="0"/>
        </w:sectPr>
      </w:pPr>
    </w:p>
    <w:bookmarkStart w:id="14" w:name="page15"/>
    <w:bookmarkEnd w:id="14"/>
    <w:p>
      <w:pPr>
        <w:ind w:right="380" w:firstLine="454"/>
        <w:spacing w:after="0" w:line="282" w:lineRule="auto"/>
        <w:rPr>
          <w:sz w:val="20"/>
          <w:szCs w:val="20"/>
          <w:color w:val="auto"/>
        </w:rPr>
      </w:pPr>
      <w:r>
        <w:rPr>
          <w:rFonts w:ascii="Times New Roman" w:cs="Times New Roman" w:eastAsia="Times New Roman" w:hAnsi="Times New Roman"/>
          <w:sz w:val="18"/>
          <w:szCs w:val="18"/>
          <w:color w:val="auto"/>
        </w:rPr>
        <w:t>Our three operating segments are our Wireless Network Services segment (encompassing business consulting, design and deployment services and network management services), our Government Network Services segment and our Enterprise Network Services segment.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Management currently considers the following events, trends and uncertainties to be important to understanding 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operating performance:</w:t>
      </w:r>
    </w:p>
    <w:p>
      <w:pPr>
        <w:spacing w:after="0" w:line="252" w:lineRule="exact"/>
        <w:rPr>
          <w:sz w:val="20"/>
          <w:szCs w:val="20"/>
          <w:color w:val="auto"/>
        </w:rPr>
      </w:pPr>
    </w:p>
    <w:p>
      <w:pPr>
        <w:ind w:left="660" w:right="160" w:hanging="247"/>
        <w:spacing w:after="0" w:line="244" w:lineRule="auto"/>
        <w:tabs>
          <w:tab w:leader="none" w:pos="65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believe there remain significant opportunities for us to grow our Wireless Network Services business in the United States. These opportunities include 3G technology upgrades by the major U.S. carriers, network integration activities related to the AT&amp;T/Cingular merger, spectrum clearing and frequency realignment activities related to the reallocation of licenses in the 800 megahertz frequencies, continued progress on new site deployment contracts already in backlog, and continued diversification into the market for engineering services related to new technologies such as Internet Protocol (IP) and WiMAX.</w:t>
      </w:r>
    </w:p>
    <w:p>
      <w:pPr>
        <w:spacing w:after="0" w:line="224" w:lineRule="exact"/>
        <w:rPr>
          <w:rFonts w:ascii="Times New Roman" w:cs="Times New Roman" w:eastAsia="Times New Roman" w:hAnsi="Times New Roman"/>
          <w:sz w:val="22"/>
          <w:szCs w:val="22"/>
          <w:color w:val="auto"/>
        </w:rPr>
      </w:pPr>
    </w:p>
    <w:p>
      <w:pPr>
        <w:ind w:left="660" w:right="200" w:hanging="247"/>
        <w:spacing w:after="0" w:line="260" w:lineRule="auto"/>
        <w:tabs>
          <w:tab w:leader="none" w:pos="65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are significantly scaling back on our new site development plans in Latin America in the upcoming fiscal quarter. Revenues and profit in the short term will also be negatively impacted by delays and increased cost estimates in our domestic deployment business for both carrier and enterprise customers, in part as a result of the effects of labor and material shortages in the southeastern U.S. stemming from the recent hurricanes. We are seeing significant short-term impacts to our business from higher costs of both raw materials and subcontracted construction related labor.</w:t>
      </w:r>
    </w:p>
    <w:p>
      <w:pPr>
        <w:spacing w:after="0" w:line="210" w:lineRule="exact"/>
        <w:rPr>
          <w:rFonts w:ascii="Times New Roman" w:cs="Times New Roman" w:eastAsia="Times New Roman" w:hAnsi="Times New Roman"/>
          <w:sz w:val="21"/>
          <w:szCs w:val="21"/>
          <w:color w:val="auto"/>
        </w:rPr>
      </w:pPr>
    </w:p>
    <w:p>
      <w:pPr>
        <w:ind w:left="660" w:right="400" w:hanging="247"/>
        <w:spacing w:after="0" w:line="256" w:lineRule="auto"/>
        <w:tabs>
          <w:tab w:leader="none" w:pos="65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believe technology upgrades in our Government Network Services segment as a result of increased homeland security and military transformation efforts combined with continued momentum in our logistics and RFID business should continue to fuel demand for our services.</w:t>
      </w:r>
    </w:p>
    <w:p>
      <w:pPr>
        <w:spacing w:after="0" w:line="209" w:lineRule="exact"/>
        <w:rPr>
          <w:rFonts w:ascii="Times New Roman" w:cs="Times New Roman" w:eastAsia="Times New Roman" w:hAnsi="Times New Roman"/>
          <w:sz w:val="21"/>
          <w:szCs w:val="21"/>
          <w:color w:val="auto"/>
        </w:rPr>
      </w:pPr>
    </w:p>
    <w:p>
      <w:pPr>
        <w:ind w:left="660" w:right="100" w:hanging="250"/>
        <w:spacing w:after="0" w:line="235" w:lineRule="auto"/>
        <w:tabs>
          <w:tab w:leader="none" w:pos="65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also believe our enterprise network services segment will continue to be a driver for growth. We believe the rapidly growing municipal wireless market should provide us with new revenue opportunities.</w:t>
      </w:r>
    </w:p>
    <w:p>
      <w:pPr>
        <w:spacing w:after="0" w:line="224" w:lineRule="exact"/>
        <w:rPr>
          <w:rFonts w:ascii="Times New Roman" w:cs="Times New Roman" w:eastAsia="Times New Roman" w:hAnsi="Times New Roman"/>
          <w:sz w:val="22"/>
          <w:szCs w:val="22"/>
          <w:color w:val="auto"/>
        </w:rPr>
      </w:pPr>
    </w:p>
    <w:p>
      <w:pPr>
        <w:jc w:val="both"/>
        <w:ind w:left="660" w:right="80" w:hanging="247"/>
        <w:spacing w:after="0" w:line="239" w:lineRule="auto"/>
        <w:tabs>
          <w:tab w:leader="none" w:pos="65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expect our annual effective tax rate to increase from our effective tax rate for the quarter ended September 30, 2005 of 25.0%. The effective tax rate for the quarter ended September 30, 2005 was positively impacted by the reduction of our valuation accounts related to our net operating losses, which the Company does not expect to occur in the fourth quarter of 2005.</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Critical Accounting Principles and Estimates</w:t>
      </w:r>
    </w:p>
    <w:p>
      <w:pPr>
        <w:spacing w:after="0" w:line="229" w:lineRule="exact"/>
        <w:rPr>
          <w:sz w:val="20"/>
          <w:szCs w:val="20"/>
          <w:color w:val="auto"/>
        </w:rPr>
      </w:pPr>
    </w:p>
    <w:p>
      <w:pPr>
        <w:ind w:right="20" w:firstLine="401"/>
        <w:spacing w:after="0" w:line="253" w:lineRule="auto"/>
        <w:rPr>
          <w:sz w:val="20"/>
          <w:szCs w:val="20"/>
          <w:color w:val="auto"/>
        </w:rPr>
      </w:pPr>
      <w:r>
        <w:rPr>
          <w:rFonts w:ascii="Times New Roman" w:cs="Times New Roman" w:eastAsia="Times New Roman" w:hAnsi="Times New Roman"/>
          <w:sz w:val="18"/>
          <w:szCs w:val="18"/>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and litigation and contingent acquisition consideration. We explain these accounting policies in the notes to the unaudited consolidated financial statements and at relevant sections in this discussion and analysis. These should be read in conjunction with the related notes included in our annual consolidated financial statements for the year ended December 31, 2004, filed on Form 10-K on March 31, 2005, as amended by Form 10-K/A.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derive a significant percentage of our revenue from long-term contracts and account for these contracts under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Position 81-1, “Accounting for Performance of Construction-Type and Certain Production-Type Contracts.” Revenue on time and materials contracts is recognized as services are rendered at contracted labor rates plus material and other direct costs incurred. The portion of our revenue derived from fixed price contracts accounted for approximately 66% of our revenues for the quarter ended September 30, 2005. Revenue on fixed price contracts generally is recognized using the percentage-of-completion method based on the ratio of total 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firstLine="454"/>
        <w:spacing w:after="0" w:line="256" w:lineRule="auto"/>
        <w:rPr>
          <w:sz w:val="20"/>
          <w:szCs w:val="20"/>
          <w:color w:val="auto"/>
        </w:rPr>
      </w:pPr>
      <w:r>
        <w:rPr>
          <w:rFonts w:ascii="Times New Roman" w:cs="Times New Roman" w:eastAsia="Times New Roman" w:hAnsi="Times New Roman"/>
          <w:sz w:val="18"/>
          <w:szCs w:val="18"/>
          <w:color w:val="auto"/>
        </w:rPr>
        <w:t>A cancellation or modification of a fixed price contract which is accounted for using the percentage-of-completion method, may adversely affect our gross margins for the period in which the contract is modified or cancelled. Under the terms of substantially all of the Company’s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project margin for the work performed. Under certain circumstances, a cancellation or negative modification could result in us having to reverse revenue that we recognized in a prior period, thus</w:t>
      </w:r>
    </w:p>
    <w:p>
      <w:pPr>
        <w:sectPr>
          <w:pgSz w:w="11900" w:h="16838" w:orient="portrait"/>
          <w:cols w:equalWidth="0" w:num="1">
            <w:col w:w="11420"/>
          </w:cols>
          <w:pgMar w:left="240" w:top="378" w:right="239" w:bottom="0" w:gutter="0" w:footer="0" w:header="0"/>
        </w:sectPr>
      </w:pPr>
    </w:p>
    <w:bookmarkStart w:id="15" w:name="page16"/>
    <w:bookmarkEnd w:id="15"/>
    <w:p>
      <w:pPr>
        <w:ind w:right="320"/>
        <w:spacing w:after="0" w:line="281" w:lineRule="auto"/>
        <w:rPr>
          <w:sz w:val="20"/>
          <w:szCs w:val="20"/>
          <w:color w:val="auto"/>
        </w:rPr>
      </w:pPr>
      <w:r>
        <w:rPr>
          <w:rFonts w:ascii="Times New Roman" w:cs="Times New Roman" w:eastAsia="Times New Roman" w:hAnsi="Times New Roman"/>
          <w:sz w:val="18"/>
          <w:szCs w:val="18"/>
          <w:color w:val="auto"/>
        </w:rPr>
        <w:t>significantly reducing the amount of revenues we recognize for the period in which the adjustment is made. Correspondingly, a positive modification may positively affect our gross margins.</w:t>
      </w:r>
    </w:p>
    <w:p>
      <w:pPr>
        <w:spacing w:after="0" w:line="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 addition, many of our contracts include milestone billings. If a contract is terminated or if the scope of a contract changes prior to a milestone billing, the amount of revenue we recognize may change, which would affect our revenue and gross margin in the period in which the contract is terminated or the scope is changed.</w:t>
      </w:r>
    </w:p>
    <w:p>
      <w:pPr>
        <w:spacing w:after="0" w:line="14" w:lineRule="exact"/>
        <w:rPr>
          <w:sz w:val="20"/>
          <w:szCs w:val="20"/>
          <w:color w:val="auto"/>
        </w:rPr>
      </w:pPr>
    </w:p>
    <w:p>
      <w:pPr>
        <w:ind w:right="120" w:firstLine="428"/>
        <w:spacing w:after="0" w:line="256" w:lineRule="auto"/>
        <w:rPr>
          <w:sz w:val="20"/>
          <w:szCs w:val="20"/>
          <w:color w:val="auto"/>
        </w:rPr>
      </w:pPr>
      <w:r>
        <w:rPr>
          <w:rFonts w:ascii="Times New Roman" w:cs="Times New Roman" w:eastAsia="Times New Roman" w:hAnsi="Times New Roman"/>
          <w:sz w:val="18"/>
          <w:szCs w:val="18"/>
          <w:color w:val="auto"/>
        </w:rPr>
        <w:t>During the reporting periods contained herein, we did experience revenue and margin adjustments of certain projects based on the aforementioned factors. During the quarter ended September 30, 2005, in connection with internal reviews conducted as a result of improvements we made in our program management and contracts administration processes in Latin America, we identified $3.2 million in reductions of gross margin related to contract adjustments. Approximately $1.4 million of these adjustments represent an increase in estimated costs on certain contracts due to poor program management which resulted in cost overruns and the performance of out of scope and additional work without formal change order documentation or pricing increases from customers. The remainder of these adjustments resulted in a reduction of expected revenues of approximately $1.8 million.</w:t>
      </w:r>
    </w:p>
    <w:p>
      <w:pPr>
        <w:spacing w:after="0" w:line="24"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Allowance for (reversal of allowance for) doubtful accounts</w:t>
      </w:r>
      <w:r>
        <w:rPr>
          <w:rFonts w:ascii="Times New Roman" w:cs="Times New Roman" w:eastAsia="Times New Roman" w:hAnsi="Times New Roman"/>
          <w:sz w:val="18"/>
          <w:szCs w:val="18"/>
          <w:color w:val="auto"/>
        </w:rPr>
        <w:t>. We maintain an allowance for doubtful accounts for estimated losses resulting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inability of certain 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w:t>
      </w:r>
    </w:p>
    <w:p>
      <w:pPr>
        <w:spacing w:after="0" w:line="21" w:lineRule="exact"/>
        <w:rPr>
          <w:sz w:val="20"/>
          <w:szCs w:val="20"/>
          <w:color w:val="auto"/>
        </w:rPr>
      </w:pPr>
    </w:p>
    <w:p>
      <w:pPr>
        <w:ind w:right="100" w:firstLine="454"/>
        <w:spacing w:after="0" w:line="261" w:lineRule="auto"/>
        <w:rPr>
          <w:sz w:val="20"/>
          <w:szCs w:val="20"/>
          <w:color w:val="auto"/>
        </w:rPr>
      </w:pPr>
      <w:r>
        <w:rPr>
          <w:rFonts w:ascii="Times New Roman" w:cs="Times New Roman" w:eastAsia="Times New Roman" w:hAnsi="Times New Roman"/>
          <w:sz w:val="18"/>
          <w:szCs w:val="18"/>
          <w:i w:val="1"/>
          <w:iCs w:val="1"/>
          <w:color w:val="auto"/>
        </w:rPr>
        <w:t>Valuation of long-lived assets including intangible assets and goodwill</w:t>
      </w:r>
      <w:r>
        <w:rPr>
          <w:rFonts w:ascii="Times New Roman" w:cs="Times New Roman" w:eastAsia="Times New Roman" w:hAnsi="Times New Roman"/>
          <w:sz w:val="18"/>
          <w:szCs w:val="18"/>
          <w:color w:val="auto"/>
        </w:rPr>
        <w:t>. We recorded goodwill and finite-life intangible assets resulting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and previously completed acquisitions. Management assesses the impairment of identifiable finite-life intangibles, long-lived assets and related goodwill whenever events or changes in circumstances indicate that the carrying value may not be recoverable, but at a minimum on an annual basis. Factors we consider relevant which could trigger an accelerated impairment review include, but are not limited to, the following:</w:t>
      </w:r>
    </w:p>
    <w:p>
      <w:pPr>
        <w:spacing w:after="0" w:line="28" w:lineRule="exact"/>
        <w:rPr>
          <w:sz w:val="20"/>
          <w:szCs w:val="20"/>
          <w:color w:val="auto"/>
        </w:rPr>
      </w:pPr>
    </w:p>
    <w:p>
      <w:pPr>
        <w:ind w:left="780" w:hanging="318"/>
        <w:spacing w:after="0"/>
        <w:tabs>
          <w:tab w:leader="none" w:pos="7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44"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changes in the manner of our use of the acquired assets or the strategy for our overall business;</w:t>
      </w:r>
    </w:p>
    <w:p>
      <w:pPr>
        <w:spacing w:after="0" w:line="44"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negative industry or economic trends;</w:t>
      </w:r>
    </w:p>
    <w:p>
      <w:pPr>
        <w:spacing w:after="0" w:line="44"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decline in our stock price for a sustained period; and</w:t>
      </w:r>
    </w:p>
    <w:p>
      <w:pPr>
        <w:spacing w:after="0" w:line="206"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market capitalization relative to net book value.</w:t>
      </w:r>
    </w:p>
    <w:p>
      <w:pPr>
        <w:spacing w:after="0" w:line="198"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When we determine that the carrying value of intangibles, long-lived assets and related goodwill may not be recoverable based upon the existence of one or more of the above indicators of impairment, we measure any impairment based substantially on a projected discounted future cash flow method using a discount rate determined by our management to be commensurate with the risk inherent in our current business model combined with other readily available and other relevant information. Net intangible assets, long-lived assets (including investments in unconsolidated affiliates), and goodwill was $142.7 million as of September 30, 2005.</w:t>
      </w:r>
    </w:p>
    <w:p>
      <w:pPr>
        <w:spacing w:after="0" w:line="184" w:lineRule="exact"/>
        <w:rPr>
          <w:sz w:val="20"/>
          <w:szCs w:val="20"/>
          <w:color w:val="auto"/>
        </w:rPr>
      </w:pPr>
    </w:p>
    <w:p>
      <w:pPr>
        <w:ind w:right="360" w:firstLine="454"/>
        <w:spacing w:after="0" w:line="282" w:lineRule="auto"/>
        <w:rPr>
          <w:sz w:val="20"/>
          <w:szCs w:val="20"/>
          <w:color w:val="auto"/>
        </w:rPr>
      </w:pPr>
      <w:r>
        <w:rPr>
          <w:rFonts w:ascii="Times New Roman" w:cs="Times New Roman" w:eastAsia="Times New Roman" w:hAnsi="Times New Roman"/>
          <w:sz w:val="18"/>
          <w:szCs w:val="18"/>
          <w:color w:val="auto"/>
        </w:rPr>
        <w:t>Since the last annual impairment test as of December 31, 2004, there has been no indication of a triggering event that would warrant an accelerated review of our goodwill and intangible assets with indefinite lives.</w:t>
      </w:r>
    </w:p>
    <w:p>
      <w:pPr>
        <w:spacing w:after="0" w:line="160" w:lineRule="exact"/>
        <w:rPr>
          <w:sz w:val="20"/>
          <w:szCs w:val="20"/>
          <w:color w:val="auto"/>
        </w:rPr>
      </w:pPr>
    </w:p>
    <w:p>
      <w:pPr>
        <w:ind w:right="100" w:firstLine="450"/>
        <w:spacing w:after="0" w:line="255" w:lineRule="auto"/>
        <w:rPr>
          <w:sz w:val="20"/>
          <w:szCs w:val="20"/>
          <w:color w:val="auto"/>
        </w:rPr>
      </w:pPr>
      <w:r>
        <w:rPr>
          <w:rFonts w:ascii="Times New Roman" w:cs="Times New Roman" w:eastAsia="Times New Roman" w:hAnsi="Times New Roman"/>
          <w:sz w:val="18"/>
          <w:szCs w:val="18"/>
          <w:i w:val="1"/>
          <w:iCs w:val="1"/>
          <w:color w:val="auto"/>
        </w:rPr>
        <w:t>Accounting for income taxes and tax contingencies</w:t>
      </w:r>
      <w:r>
        <w:rPr>
          <w:rFonts w:ascii="Times New Roman" w:cs="Times New Roman" w:eastAsia="Times New Roman" w:hAnsi="Times New Roman"/>
          <w:sz w:val="18"/>
          <w:szCs w:val="18"/>
          <w:color w:val="auto"/>
        </w:rPr>
        <w:t>. As part of the process of preparing our consolidated financial statements we are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timing differences result in the establishment of deferred tax assets and liabilities, which are recorded on a net basis and included in our consolidated balance sheet. We then assess on a periodic basis the probability that our net deferred tax assets will be recovered as a result of taking future deductions against future taxable income. To the extent we believe that it is more likely than not that we will not recover the deferred tax assets, a valuation allowance is established to mitigate such risk resulting in an additional related provision for income taxes during the period. If we are required to further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the valuation allowance in the future, it could have an adverse impact on our results of operations.</w:t>
      </w:r>
    </w:p>
    <w:p>
      <w:pPr>
        <w:spacing w:after="0" w:line="225" w:lineRule="exact"/>
        <w:rPr>
          <w:sz w:val="20"/>
          <w:szCs w:val="20"/>
          <w:color w:val="auto"/>
        </w:rPr>
      </w:pPr>
    </w:p>
    <w:p>
      <w:pPr>
        <w:ind w:right="100" w:firstLine="454"/>
        <w:spacing w:after="0" w:line="254"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our provision for income taxes, our deferred tax assets and liabilities, tax contingencies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 We have a valuation allowance balance at September 30, 2005,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 The assessed adequacy of our valuation allowance is based on our current estimates of adjusted taxable income by each tax jurisdiction in which we operate and the period over which our deferred tax assets will be recoverable. In the event that actual results differ from these estimates or we adversely adjust these estimates in future periods, our financial position and results of operations could be materially impacted. Management believes the valuation allowance recorded at September 30, 2005 is properly stated.</w:t>
      </w:r>
    </w:p>
    <w:p>
      <w:pPr>
        <w:spacing w:after="0" w:line="186" w:lineRule="exact"/>
        <w:rPr>
          <w:sz w:val="20"/>
          <w:szCs w:val="20"/>
          <w:color w:val="auto"/>
        </w:rPr>
      </w:pPr>
    </w:p>
    <w:p>
      <w:pPr>
        <w:ind w:right="80" w:firstLine="454"/>
        <w:spacing w:after="0" w:line="266" w:lineRule="auto"/>
        <w:rPr>
          <w:sz w:val="20"/>
          <w:szCs w:val="20"/>
          <w:color w:val="auto"/>
        </w:rPr>
      </w:pPr>
      <w:r>
        <w:rPr>
          <w:rFonts w:ascii="Times New Roman" w:cs="Times New Roman" w:eastAsia="Times New Roman" w:hAnsi="Times New Roman"/>
          <w:sz w:val="18"/>
          <w:szCs w:val="18"/>
          <w:color w:val="auto"/>
        </w:rPr>
        <w:t>The 2005 effective tax rate for annual and interim reporting periods could be impacted if we achieve the resolution of certain tax items that are accrued at September 30, 2005. Finally, during 2005, if we are impacted by a change in the valuation allowance resulting from a change in judgment regarding the realizability of deferred tax assets beyond December 31, 2005, such effect will be recognized in the interim period in which the change occurs.</w:t>
      </w:r>
    </w:p>
    <w:p>
      <w:pPr>
        <w:spacing w:after="0" w:line="174" w:lineRule="exact"/>
        <w:rPr>
          <w:sz w:val="20"/>
          <w:szCs w:val="20"/>
          <w:color w:val="auto"/>
        </w:rPr>
      </w:pPr>
    </w:p>
    <w:p>
      <w:pPr>
        <w:ind w:right="20" w:firstLine="401"/>
        <w:spacing w:after="0" w:line="262" w:lineRule="auto"/>
        <w:rPr>
          <w:sz w:val="20"/>
          <w:szCs w:val="20"/>
          <w:color w:val="auto"/>
        </w:rPr>
      </w:pPr>
      <w:r>
        <w:rPr>
          <w:rFonts w:ascii="Times New Roman" w:cs="Times New Roman" w:eastAsia="Times New Roman" w:hAnsi="Times New Roman"/>
          <w:sz w:val="18"/>
          <w:szCs w:val="18"/>
          <w:i w:val="1"/>
          <w:iCs w:val="1"/>
          <w:color w:val="auto"/>
        </w:rPr>
        <w:t>Accrual for partial self-insurance</w:t>
      </w:r>
      <w:r>
        <w:rPr>
          <w:rFonts w:ascii="Times New Roman" w:cs="Times New Roman" w:eastAsia="Times New Roman" w:hAnsi="Times New Roman"/>
          <w:sz w:val="18"/>
          <w:szCs w:val="18"/>
          <w:color w:val="auto"/>
        </w:rPr>
        <w:t>. We maintain an accrual for our health and workers compensation partial self-insurance, which is a component of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in the consolidated balance sheets. Management determines the</w:t>
      </w:r>
    </w:p>
    <w:p>
      <w:pPr>
        <w:spacing w:after="0" w:line="1"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w:t>
      </w:r>
    </w:p>
    <w:p>
      <w:pPr>
        <w:sectPr>
          <w:pgSz w:w="11900" w:h="16838" w:orient="portrait"/>
          <w:cols w:equalWidth="0" w:num="1">
            <w:col w:w="11420"/>
          </w:cols>
          <w:pgMar w:left="240" w:top="121" w:right="239" w:bottom="0" w:gutter="0" w:footer="0" w:header="0"/>
        </w:sectPr>
      </w:pPr>
    </w:p>
    <w:bookmarkStart w:id="16" w:name="page17"/>
    <w:bookmarkEnd w:id="16"/>
    <w:p>
      <w:pPr>
        <w:spacing w:after="0" w:line="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 accruals as deemed appropriate. As of September 30, 2005, the accrual for our partial self-insurance programs approximated $2.5 million. We also carry stop-loss insurance that provides coverage limiting our total exposure related to each medical and workers compensation claim incurred, as defined in the applicable insurance policies. The medical and workers compensation per claim limits are $150,000 and $350,000, respectively.</w:t>
      </w:r>
    </w:p>
    <w:p>
      <w:pPr>
        <w:spacing w:after="0" w:line="174" w:lineRule="exact"/>
        <w:rPr>
          <w:sz w:val="20"/>
          <w:szCs w:val="20"/>
          <w:color w:val="auto"/>
        </w:rPr>
      </w:pPr>
    </w:p>
    <w:p>
      <w:pPr>
        <w:ind w:right="40" w:firstLine="401"/>
        <w:spacing w:after="0" w:line="257" w:lineRule="auto"/>
        <w:rPr>
          <w:sz w:val="20"/>
          <w:szCs w:val="20"/>
          <w:color w:val="auto"/>
        </w:rPr>
      </w:pPr>
      <w:r>
        <w:rPr>
          <w:rFonts w:ascii="Times New Roman" w:cs="Times New Roman" w:eastAsia="Times New Roman" w:hAnsi="Times New Roman"/>
          <w:sz w:val="18"/>
          <w:szCs w:val="18"/>
          <w:i w:val="1"/>
          <w:iCs w:val="1"/>
          <w:color w:val="auto"/>
        </w:rPr>
        <w:t>Contingencies and litigation</w:t>
      </w:r>
      <w:r>
        <w:rPr>
          <w:rFonts w:ascii="Times New Roman" w:cs="Times New Roman" w:eastAsia="Times New Roman" w:hAnsi="Times New Roman"/>
          <w:sz w:val="18"/>
          <w:szCs w:val="18"/>
          <w:color w:val="auto"/>
        </w:rPr>
        <w:t>. We are currently involved in certain legal proceedings. We estimate the range of liability related to pending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No. 5, “Accounting for Contingencies”. As additional information becomes available, we assess the potential liability related to our pending litigation and revise our estimates. Revisions in our estimates of potential liability could materially impact our results of operations.</w:t>
      </w:r>
    </w:p>
    <w:p>
      <w:pPr>
        <w:spacing w:after="0" w:line="183"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Contingent Acquisition Consideration</w:t>
      </w:r>
      <w:r>
        <w:rPr>
          <w:rFonts w:ascii="Times New Roman" w:cs="Times New Roman" w:eastAsia="Times New Roman" w:hAnsi="Times New Roman"/>
          <w:sz w:val="18"/>
          <w:szCs w:val="18"/>
          <w:color w:val="auto"/>
        </w:rPr>
        <w:t>. From time to time, in connection with business acquisitions, we agree to make additional future payments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sellers contingent upon achievement of specific performance-based milestones by the acquired entities. Pursuant to the provisions of SFAS No. 141, such amounts are accrued, and therefore, recorded by us as liabilities when the contingency is determinable beyond a reasonable doubt and, hence, the additional consideration becomes payable. The Company evaluates the accrued liability on an ongoing basis and adjusts the amount of the accrued as necessary to reflect the likelihood that the additional consideration will be paid, including adjustments necessary to reflect any release from payment by the Company. As of September 30, 2005, a contingent consideration accrual related to these arrangements totaling $6.4 million was recorded on our consolidated balance sheet. See Note 6, for further details regarding the range of estimated future contingent payments by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Three Months Ended September 30, 2004 to the Three Months Ended September 30, 2005</w:t>
      </w:r>
    </w:p>
    <w:p>
      <w:pPr>
        <w:spacing w:after="0" w:line="52" w:lineRule="exact"/>
        <w:rPr>
          <w:sz w:val="20"/>
          <w:szCs w:val="20"/>
          <w:color w:val="auto"/>
        </w:rPr>
      </w:pPr>
    </w:p>
    <w:p>
      <w:pPr>
        <w:ind w:right="60" w:firstLine="40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from $95.8 million for the three months ended September 30, 2004, to $108.9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2005. The net increase of $13.1 million (13.7%) was derived from higher domestic revenues in our Wireless Network Services and our Government Network Services businesses, offset partially by decreased international revenues from Latin America and our EMEA divisions. Domestic revenues increased $18.8 million, resulting in part from growth in our domestic carrier business, and to a lesser degree due to acquisitions that we consummated at the end of 2004 and in the first quarter of 2005. The acquisitions contributed approximately $7.7 million of the domestic revenue growth. Revenues from international markets reflected a net decrease of $5.7 million between periods. The decrease is due in part to our operations in Latin America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of approximately $1.8 million in reduced revenues as a result of changes in estimates on certain of our fixed price contracts. Certain of these adjustments were related to work performed out of scope and additional work which we have not received formal contractual change orders or formal contractual pricing increases from our customers. Our EMEA operations also experienced $3.1 million in decreased revenues resulting from the completion of a certain project in 2004. Total revenue increased in the third quarter of 2005 compared to the same period in 2004 by $6.2 million in our Wireless Network Services segment, $6.8 million in our Government Network Services segment, and $0.1 million in our Enterprise Network Services segment.</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Revenues by operating segment for the quarter ended September 30, 2004 and 2005 are as follows (in millions):</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 network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Government network services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1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r>
              <w:rPr>
                <w:rFonts w:ascii="Times New Roman" w:cs="Times New Roman" w:eastAsia="Times New Roman" w:hAnsi="Times New Roman"/>
                <w:sz w:val="18"/>
                <w:szCs w:val="18"/>
                <w:u w:val="single" w:color="auto"/>
                <w:color w:val="auto"/>
              </w:rPr>
              <w:t>8</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8"/>
                <w:szCs w:val="18"/>
                <w:u w:val="single" w:color="auto"/>
                <w:color w:val="auto"/>
              </w:rPr>
              <w:t>9</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u w:val="single" w:color="auto"/>
                <w:color w:val="auto"/>
              </w:rPr>
              <w:t>1</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Revenues generated by geographic segment for the quarter ended September 30, 2004 and 2005 are as follows (in millions):</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1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r>
              <w:rPr>
                <w:rFonts w:ascii="Times New Roman" w:cs="Times New Roman" w:eastAsia="Times New Roman" w:hAnsi="Times New Roman"/>
                <w:sz w:val="18"/>
                <w:szCs w:val="18"/>
                <w:u w:val="single" w:color="auto"/>
                <w:color w:val="auto"/>
              </w:rPr>
              <w:t>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8"/>
                <w:szCs w:val="18"/>
                <w:u w:val="single" w:color="auto"/>
                <w:color w:val="auto"/>
              </w:rPr>
              <w:t>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u w:val="single" w:color="auto"/>
                <w:color w:val="auto"/>
              </w:rPr>
              <w:t>1</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23"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from $82.4 million for the three months ended September 30, 2004, to $85.8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2005. The $3.4 million or 4% increase resulted primarily from the corresponding increase in revenues during the third quarter of fiscal 2005 as well as due to increased contract costs identified during the third quarter on certain of our projects in Latin America as described previously. These costs represent an increase in estimated costs of approximately $1.4 million on certain contracts due to poor program management which resulted in cost overruns. The net increase derived from our acquisitions was $2.0 million. Gross margin increased from 14% for the three months ended September 30, 2004, to 21% for the three months ended September 30, 2005. The gross margin for the quarter ended September 30, 2005 includes the negative reductions discussed previously, comprised of $1.8 million in revenue decreases and $1.4 million in increased contractual costs. Included in the gross margin for the quarter ended September 30, 2004 is a reduction of $9.8 million resulting primarily from increases in estimated costs for contracts signed in 2003. The reduction in gross margin in 2004 also reflects an increase in estimated costs on other contracts that were identified during the third quarter 2004.</w:t>
      </w:r>
    </w:p>
    <w:p>
      <w:pPr>
        <w:spacing w:after="0" w:line="14" w:lineRule="exact"/>
        <w:rPr>
          <w:sz w:val="20"/>
          <w:szCs w:val="20"/>
          <w:color w:val="auto"/>
        </w:rPr>
      </w:pPr>
    </w:p>
    <w:p>
      <w:pPr>
        <w:ind w:right="180" w:firstLine="40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from $15.6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2004, to $17.8 million for the three months ended September 30, 2005. As a percentage of revenues, selling, general and administrative expenses increased slightly from 16.2% in the third quarter of 2004 to 16.3% in the same period in 2005. The increase of $2.2 million is primarily due to selling, general and administrative expenses incurred by our acquired entity of approximately $0.9 million and increased accounting and contract administration costs primarily incurred due to changes we have made related to compliance with the Sarbanes Oxley Act and increased infrastructure costs necessary to support the revenue growth.</w:t>
      </w:r>
    </w:p>
    <w:p>
      <w:pPr>
        <w:spacing w:after="0" w:line="7"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Acquisition Consideration and Restatement Fees. </w:t>
      </w:r>
      <w:r>
        <w:rPr>
          <w:rFonts w:ascii="Times New Roman" w:cs="Times New Roman" w:eastAsia="Times New Roman" w:hAnsi="Times New Roman"/>
          <w:sz w:val="18"/>
          <w:szCs w:val="18"/>
          <w:color w:val="auto"/>
        </w:rPr>
        <w:t>In September 2004, we amended the purchase agreements related to two of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 our Enterprise Network Services division in 2003 to more accurately reflect the intent of the transactions, resulting in a rescission of the continuous employment clauses from the earn-out arrangements. These amendments constituted a triggering event which resulted in a one-time charge of</w:t>
      </w:r>
    </w:p>
    <w:p>
      <w:pPr>
        <w:sectPr>
          <w:pgSz w:w="11900" w:h="16852" w:orient="portrait"/>
          <w:cols w:equalWidth="0" w:num="1">
            <w:col w:w="11400"/>
          </w:cols>
          <w:pgMar w:left="240" w:top="121" w:right="259" w:bottom="0" w:gutter="0" w:footer="0" w:header="0"/>
        </w:sectPr>
      </w:pPr>
    </w:p>
    <w:bookmarkStart w:id="17" w:name="page18"/>
    <w:bookmarkEnd w:id="17"/>
    <w:p>
      <w:pPr>
        <w:ind w:right="300"/>
        <w:spacing w:after="0" w:line="261" w:lineRule="auto"/>
        <w:rPr>
          <w:sz w:val="20"/>
          <w:szCs w:val="20"/>
          <w:color w:val="auto"/>
        </w:rPr>
      </w:pPr>
      <w:r>
        <w:rPr>
          <w:rFonts w:ascii="Times New Roman" w:cs="Times New Roman" w:eastAsia="Times New Roman" w:hAnsi="Times New Roman"/>
          <w:sz w:val="18"/>
          <w:szCs w:val="18"/>
          <w:color w:val="auto"/>
        </w:rPr>
        <w:t>$12.4 million in the third quarter of 2004. In addition, the Company incurred approximately $1.5 million of general and administrative costs related to its restatement during the third quarter, primarily due to legal and accounting fees incurred. During the third quarter of 2005, we reduced $2.5 million of our contingent acquisition earn-out accrual that was determined to be excess based on the projected performance of the division compared to the minimum performance targets as defined in the earn-out arrangements.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40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For the three months ended September 30, 2004, net other income was $0.3 million as compared to net other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$0.2 million for the three months ended September 30, 2005, primarily reflecting a reduction in interest income due to a reduction in cash balances from September 30, 2005.</w:t>
      </w:r>
    </w:p>
    <w:p>
      <w:pPr>
        <w:spacing w:after="0" w:line="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Our effective income tax rate for the three months ended September 30, 2004 was a 5% tax benefit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tax provision for the three months ended September 30, 2005. The effective tax rate for the quarter ended September 30, 2005 is lower than Federal and State statutory rates due to the reduction of valuation allowance accounts that we realized in the third quarter of 2005 related to our net operating losses from prior years.</w:t>
      </w:r>
    </w:p>
    <w:p>
      <w:pPr>
        <w:spacing w:after="0" w:line="1" w:lineRule="exact"/>
        <w:rPr>
          <w:sz w:val="20"/>
          <w:szCs w:val="20"/>
          <w:color w:val="auto"/>
        </w:rPr>
      </w:pPr>
    </w:p>
    <w:p>
      <w:pPr>
        <w:ind w:right="400" w:firstLine="4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from Discontinued Operations. </w:t>
      </w:r>
      <w:r>
        <w:rPr>
          <w:rFonts w:ascii="Times New Roman" w:cs="Times New Roman" w:eastAsia="Times New Roman" w:hAnsi="Times New Roman"/>
          <w:sz w:val="18"/>
          <w:szCs w:val="18"/>
          <w:color w:val="auto"/>
        </w:rPr>
        <w:t>Income from discontinued operations was $0.1 million for the three months ended September 30, 2004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Nine Months Ended September 30, 2004 to the Nine Months Ended September 30, 2005</w:t>
      </w:r>
    </w:p>
    <w:p>
      <w:pPr>
        <w:spacing w:after="0" w:line="38" w:lineRule="exact"/>
        <w:rPr>
          <w:sz w:val="20"/>
          <w:szCs w:val="20"/>
          <w:color w:val="auto"/>
        </w:rPr>
      </w:pPr>
    </w:p>
    <w:p>
      <w:pPr>
        <w:ind w:right="80" w:firstLine="401"/>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increased 8.6% from $295.6 million for the nine months ended September 30, 2004 to $320.9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2005. The $25.3 million increase was attributable to higher domestic revenues of $34.3 million offset by reduced international revenues in our EMEA operations of $4.7 million and decreased revenues of $4.3 million in our Latin America operations. Approximately $15.7 million of the revenue growth was attributed to the acquisitions made in the first quarter of 2005. Total revenue increased for the nine months ended September 30, 2005 compared to the nine months ended September 30, 2004 by $24.8 million and $4.0 million in our Government Network Services and Enterprise Network Services segments, respectively, offset partially by decreased revenues of $3.5 million in our Wireless Network Services segment resulting from the decreased revenues in our international operations. The revenues for our Latin America operations include the $1.8 million revenue reductions due to contractual adjustments that were identified in the third quarter of 2005 that was discussed above.</w:t>
      </w:r>
    </w:p>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Revenues by operating segment for the nine months ended September 30, 2004 and 2005 are as follows (in millions):</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 network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Government network services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65.4 %</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network services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17"/>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r>
              <w:rPr>
                <w:rFonts w:ascii="Times New Roman" w:cs="Times New Roman" w:eastAsia="Times New Roman" w:hAnsi="Times New Roman"/>
                <w:sz w:val="18"/>
                <w:szCs w:val="18"/>
                <w:u w:val="single" w:color="auto"/>
                <w:color w:val="auto"/>
              </w:rPr>
              <w:t>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r>
              <w:rPr>
                <w:rFonts w:ascii="Times New Roman" w:cs="Times New Roman" w:eastAsia="Times New Roman" w:hAnsi="Times New Roman"/>
                <w:sz w:val="18"/>
                <w:szCs w:val="18"/>
                <w:u w:val="single" w:color="auto"/>
                <w:color w:val="auto"/>
              </w:rPr>
              <w:t>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Revenues generated by geographic segment for the nine months ended September 30, 2004 and 2005 are as follows (in millions):</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5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15.8 %</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1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r>
              <w:rPr>
                <w:rFonts w:ascii="Times New Roman" w:cs="Times New Roman" w:eastAsia="Times New Roman" w:hAnsi="Times New Roman"/>
                <w:sz w:val="18"/>
                <w:szCs w:val="18"/>
                <w:u w:val="single" w:color="auto"/>
                <w:color w:val="auto"/>
              </w:rPr>
              <w:t>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r>
              <w:rPr>
                <w:rFonts w:ascii="Times New Roman" w:cs="Times New Roman" w:eastAsia="Times New Roman" w:hAnsi="Times New Roman"/>
                <w:sz w:val="18"/>
                <w:szCs w:val="18"/>
                <w:u w:val="single" w:color="auto"/>
                <w:color w:val="auto"/>
              </w:rPr>
              <w:t>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ind w:right="100" w:firstLine="454"/>
        <w:spacing w:after="0" w:line="254" w:lineRule="auto"/>
        <w:rPr>
          <w:sz w:val="20"/>
          <w:szCs w:val="20"/>
          <w:color w:val="auto"/>
        </w:rPr>
      </w:pPr>
      <w:r>
        <w:rPr>
          <w:rFonts w:ascii="Times New Roman" w:cs="Times New Roman" w:eastAsia="Times New Roman" w:hAnsi="Times New Roman"/>
          <w:sz w:val="18"/>
          <w:szCs w:val="18"/>
          <w:color w:val="auto"/>
        </w:rPr>
        <w:t>As described in the section ”Critical Accounting Principles and Estimates” and in the footnotes to our unaudited consolidated financial statements, a significant portion of our revenue is derived from fixed 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Other than the adjustments to the Latin America contracts discussed previously, the effect of revenue and margin adjustments on all other contracts, both positive and negative, when evaluated in total were deemed to be immaterial to the consolidated financial statements.</w:t>
      </w:r>
    </w:p>
    <w:p>
      <w:pPr>
        <w:spacing w:after="0" w:line="9" w:lineRule="exact"/>
        <w:rPr>
          <w:sz w:val="20"/>
          <w:szCs w:val="20"/>
          <w:color w:val="auto"/>
        </w:rPr>
      </w:pPr>
    </w:p>
    <w:p>
      <w:pPr>
        <w:ind w:right="100" w:firstLine="401"/>
        <w:spacing w:after="0" w:line="259"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Cost of revenues increased 5.4% from $236.6 million for the nine months ended September 30, 2004 to $249.3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2005 primarily due to the corresponding aforementioned increase in total revenues. Gross margin was 20.0% of total revenues for the nine months ended September 30, 2004, compared to 22.3% for the nine months ended September 30, 2005. Gross margin for the nine months ended September 30, 2005 was negatively impacted by approximately $3.2 million in reductions to gross margin resulting from revenue reductions due to contractual adjustments and cost overruns that we identified through our internal reviews resulting in a change in estimates on certain of our fixed price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80" w:firstLine="401"/>
        <w:spacing w:after="0" w:line="261" w:lineRule="auto"/>
        <w:rPr>
          <w:sz w:val="20"/>
          <w:szCs w:val="20"/>
          <w:color w:val="auto"/>
        </w:rPr>
      </w:pPr>
      <w:r>
        <w:rPr>
          <w:rFonts w:ascii="Times New Roman" w:cs="Times New Roman" w:eastAsia="Times New Roman" w:hAnsi="Times New Roman"/>
          <w:sz w:val="18"/>
          <w:szCs w:val="18"/>
          <w:color w:val="auto"/>
        </w:rPr>
        <w:t>contracts in Latin America as discussed previously. Included in the gross margin for the nine months ended September 30, 2004 is a reduction of $9.8 million resulting primarily from increases in estimated costs for contracts signed in 2003. The reduction in gross margin in 2004 also reflects an increase in estimated costs on other contracts that were identified during the third quarter of 2004. The increase in cost of revenues attributable to acquisitions made in 2005 was approximately $11.9 million.</w:t>
      </w:r>
    </w:p>
    <w:p>
      <w:pPr>
        <w:spacing w:after="0" w:line="2" w:lineRule="exact"/>
        <w:rPr>
          <w:sz w:val="20"/>
          <w:szCs w:val="20"/>
          <w:color w:val="auto"/>
        </w:rPr>
      </w:pPr>
    </w:p>
    <w:p>
      <w:pPr>
        <w:ind w:right="20" w:firstLine="40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Contingent Acquisition Consideration and Restatement Fees. </w:t>
      </w:r>
      <w:r>
        <w:rPr>
          <w:rFonts w:ascii="Times New Roman" w:cs="Times New Roman" w:eastAsia="Times New Roman" w:hAnsi="Times New Roman"/>
          <w:sz w:val="18"/>
          <w:szCs w:val="18"/>
          <w:color w:val="auto"/>
        </w:rPr>
        <w:t>In September 2004, we amended the purchase agreements related to two of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 our Enterprise Network Services division in 2003 to more accurately reflect the intent of the transactions, resulting in a rescission of the continuous employment clauses from the earn-out arrangements. These amendments constituted a triggering event which resulted in a one-time charge of $12.4 million in the third quarter of 2004. In addition, the Company incurred approximately $1.5 million of general and administrative costs related to its</w:t>
      </w:r>
    </w:p>
    <w:p>
      <w:pPr>
        <w:sectPr>
          <w:pgSz w:w="11900" w:h="16838" w:orient="portrait"/>
          <w:cols w:equalWidth="0" w:num="1">
            <w:col w:w="11420"/>
          </w:cols>
          <w:pgMar w:left="240" w:top="121" w:right="239" w:bottom="0" w:gutter="0" w:footer="0" w:header="0"/>
        </w:sectPr>
      </w:pPr>
    </w:p>
    <w:bookmarkStart w:id="18" w:name="page19"/>
    <w:bookmarkEnd w:id="18"/>
    <w:p>
      <w:pPr>
        <w:spacing w:after="0" w:line="54"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restatement during the third quarter, primarily due to legal and accounting fees incurred. During the third quarter of 2005, we reduced $2.5 million of contingent acquisition earn-out accruals that was determined to be excess based on the projected performance of the division compared to the minimum performance targets as defined in the earn-out arrangements.</w:t>
      </w:r>
    </w:p>
    <w:p>
      <w:pPr>
        <w:spacing w:after="0" w:line="1" w:lineRule="exact"/>
        <w:rPr>
          <w:sz w:val="20"/>
          <w:szCs w:val="20"/>
          <w:color w:val="auto"/>
        </w:rPr>
      </w:pPr>
    </w:p>
    <w:p>
      <w:pPr>
        <w:ind w:right="80" w:firstLine="401"/>
        <w:spacing w:after="0" w:line="255"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20% from $44.8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2004 to $53.9 million for the nine months ended September 30, 2005. As a percentage of revenues, selling, general and administrative expenses increased from 15.2% in the nine months ended September 30, 2004 to 16.8% in the same period in 2005. The increase of $9.1 million is primarily due to selling, general and administrative expenses incurred by our acquired entity of approximately $1.5 million and increased accounting and contract administration costs primarily incurred due to changes we have made related to compliance with the Sarbanes Oxley Act and increased infrastructure costs necessary to support the revenue growth.</w:t>
      </w:r>
    </w:p>
    <w:p>
      <w:pPr>
        <w:spacing w:after="0" w:line="4" w:lineRule="exact"/>
        <w:rPr>
          <w:sz w:val="20"/>
          <w:szCs w:val="20"/>
          <w:color w:val="auto"/>
        </w:rPr>
      </w:pPr>
    </w:p>
    <w:p>
      <w:pPr>
        <w:ind w:right="80" w:firstLine="401"/>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For the nine months ended September 30, 2004, net other expense was $2.7 million compared to $0.1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2005. The decrease of $2.6 million was primarily attributed to a $3.1 million investment asset impairment recorded in the second quarter of 2004.</w:t>
      </w:r>
    </w:p>
    <w:p>
      <w:pPr>
        <w:spacing w:after="0" w:line="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Our effective income tax rate for the nine months ended September 30, 2004 was (100%) compared to a 32.8%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for the nine months ended September 30, 2005. The effective tax rate for the nine months ended September 30, 2005 is lower than Federal and State statutory rates primarily because of the realization of certain tax benefits through the reduction of our valuation allowance. The effective tax rate for the nine months ended September 30, 2004 was impacted by certain permanent items for which the Company did not provide a benefit.</w:t>
      </w:r>
    </w:p>
    <w:p>
      <w:pPr>
        <w:spacing w:after="0" w:line="4" w:lineRule="exact"/>
        <w:rPr>
          <w:sz w:val="20"/>
          <w:szCs w:val="20"/>
          <w:color w:val="auto"/>
        </w:rPr>
      </w:pPr>
    </w:p>
    <w:p>
      <w:pPr>
        <w:ind w:right="80" w:firstLine="40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or Loss from Discontinued Operations. </w:t>
      </w:r>
      <w:r>
        <w:rPr>
          <w:rFonts w:ascii="Times New Roman" w:cs="Times New Roman" w:eastAsia="Times New Roman" w:hAnsi="Times New Roman"/>
          <w:sz w:val="18"/>
          <w:szCs w:val="18"/>
          <w:color w:val="auto"/>
        </w:rPr>
        <w:t>Loss from discontinued operations decreased from $2.6 million in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2004 to income from discontinued operations of $0.1 million during the same period in 2005. Included in the loss from discontinued operations of $2.6 million for the nine months ended September 30, 2004, is an asset impairment of $0.5 million and a $1.7 million accrual for estimated employee termination costs. There was no tax benefit provided these losses due to the estimated future realizability of tax assets resulting from net operating losses in Scandinavia. The $0.1 million income from discontinued operations for the nine months ended September 30, 2005 is from the reduction of an excess severance accrual that was previously recorded.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54" w:lineRule="exact"/>
        <w:rPr>
          <w:sz w:val="20"/>
          <w:szCs w:val="20"/>
          <w:color w:val="auto"/>
        </w:rPr>
      </w:pPr>
    </w:p>
    <w:p>
      <w:pPr>
        <w:ind w:right="340" w:firstLine="401"/>
        <w:spacing w:after="0" w:line="274" w:lineRule="auto"/>
        <w:rPr>
          <w:sz w:val="20"/>
          <w:szCs w:val="20"/>
          <w:color w:val="auto"/>
        </w:rPr>
      </w:pPr>
      <w:r>
        <w:rPr>
          <w:rFonts w:ascii="Times New Roman" w:cs="Times New Roman" w:eastAsia="Times New Roman" w:hAnsi="Times New Roman"/>
          <w:sz w:val="18"/>
          <w:szCs w:val="18"/>
          <w:color w:val="auto"/>
        </w:rPr>
        <w:t>Our sources of liquidity included cash and cash equivalents, short-term investments, cash from operations and other external sources of funds. As of September 30, 2005, we had cash and cash equivalents totaling $16.1 million.</w:t>
      </w:r>
    </w:p>
    <w:p>
      <w:pPr>
        <w:ind w:right="580" w:firstLine="454"/>
        <w:spacing w:after="0" w:line="255" w:lineRule="auto"/>
        <w:rPr>
          <w:sz w:val="20"/>
          <w:szCs w:val="20"/>
          <w:color w:val="auto"/>
        </w:rPr>
      </w:pPr>
      <w:r>
        <w:rPr>
          <w:rFonts w:ascii="Times New Roman" w:cs="Times New Roman" w:eastAsia="Times New Roman" w:hAnsi="Times New Roman"/>
          <w:sz w:val="18"/>
          <w:szCs w:val="18"/>
          <w:color w:val="auto"/>
        </w:rPr>
        <w:t>Our operating cash flow is used to finance trade accounts receivable, fund capital expenditures and make strategic acquisitions. Financing trade accounts receivable is necessary because, on average, the customers and payers for our services do not pay us as quickly as we pay our vendors and employees for their goods and services. Capital expenditures consist primarily of investment in field equipment, computer hardware and software and improvement of our physical properties in order to maintain suitable conditions to conduct our business.</w:t>
      </w:r>
    </w:p>
    <w:p>
      <w:pPr>
        <w:spacing w:after="0" w:line="3" w:lineRule="exact"/>
        <w:rPr>
          <w:sz w:val="20"/>
          <w:szCs w:val="20"/>
          <w:color w:val="auto"/>
        </w:rPr>
      </w:pPr>
    </w:p>
    <w:p>
      <w:pPr>
        <w:ind w:right="40" w:firstLine="454"/>
        <w:spacing w:after="0" w:line="251" w:lineRule="auto"/>
        <w:rPr>
          <w:sz w:val="20"/>
          <w:szCs w:val="20"/>
          <w:color w:val="auto"/>
        </w:rPr>
      </w:pPr>
      <w:r>
        <w:rPr>
          <w:rFonts w:ascii="Times New Roman" w:cs="Times New Roman" w:eastAsia="Times New Roman" w:hAnsi="Times New Roman"/>
          <w:sz w:val="18"/>
          <w:szCs w:val="18"/>
          <w:color w:val="auto"/>
        </w:rPr>
        <w:t>Cash from operations is primarily derived from our progress on customer contracts in progress and associated changes in working capital components. Cash provided by continuing operations for the nine months ended September 30, 2004 and 2005 was $3.2 million and $7.9 million, respectively. The days sales outstanding increased from 124 days to 129 days for the three months ending September 30, 2004 and 2005, respectively. The increase in days sales outstanding was expected, and is primarily the result of the stage of progress on some of our large turnkey deployment contracts, largely in Latin America but to a lesser degree in the U.S. as well. Under these contracts, we are not contractually permitted to invoice our customers for the costs that we have incurred until we complete certain phases of preparation and contruction, and accomplish certain contractual milestones. Because a number of sites in our larger turnkey projects were in the cost-intensive construction phase during the third quarter, we had not met the next milestone and could not bill those costs. We expect to be complete with this phase on a number of our projects in the fourth quarter and to be able to invoice our customers for these costs that we have incurred. We have continued to implement more aggressive collection strategies and control our overall operating expenses through more effective and efficient processes.</w:t>
      </w:r>
    </w:p>
    <w:p>
      <w:pPr>
        <w:spacing w:after="0" w:line="5"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$43.2 million for the nine months ended September 30, 2004 and $49.0 million for the nine months ended September 30, 2005. Investing activities for the nine months ended September 30, 2005 included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capital expenditures of $6.7 million, cash paid net of cash acquired for the acquisition of TLA of $33.4 million, cash paid for contingent acquisition consideration of $16.1 million, increase in restricted cash of $0.4 million, partially offset by $7.6 million in proceeds from the sale of short term investments. Investing activities for the nine months ended September 30, 2004 included capital expenditures of $6.3 million, cash paid net of cash acquired for the acquisition of HTS of $47.4 million, cash paid net of cash acquired for the acquisition of DSI of $6.5 million, cash paid for contingent acquisition consideration of $8.3 million, a $1.0 million investment in Tactical Survey Group, Inc., partially offset by $26.3 million of proceeds from the sale of short term investments. See Note 5 to our unaudited consolidated financial statements for further discussion of our acquisitions.</w:t>
      </w:r>
    </w:p>
    <w:p>
      <w:pPr>
        <w:spacing w:after="0" w:line="12" w:lineRule="exact"/>
        <w:rPr>
          <w:sz w:val="20"/>
          <w:szCs w:val="20"/>
          <w:color w:val="auto"/>
        </w:rPr>
      </w:pPr>
    </w:p>
    <w:p>
      <w:pPr>
        <w:jc w:val="both"/>
        <w:ind w:right="20" w:firstLine="405"/>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2005 was $3.4 million, which was a result of proceeds from the issuance of common stock totaling $1.7 million associated with the exercises of employee stock options and $1.8 million from the issuance of common stock under the Employee Stock Purchase Plan partially offset by the repayment of capital lease obligation of $0.1 million. Cash provided by financing activities for the nine months ended September 30, 2004 was $8.0 million, which was a result of proceeds from the issuance of common stock totaling $6.4 million associated with exercises of employee stock options, $2.0 million from the issuance of common stock under the Employee Stock Purchase Plan, partially offset by repayment of capital lease obligations of $0.4 million.</w:t>
      </w:r>
    </w:p>
    <w:p>
      <w:pPr>
        <w:spacing w:after="0" w:line="4" w:lineRule="exact"/>
        <w:rPr>
          <w:sz w:val="20"/>
          <w:szCs w:val="20"/>
          <w:color w:val="auto"/>
        </w:rPr>
      </w:pPr>
    </w:p>
    <w:p>
      <w:pPr>
        <w:ind w:right="200" w:firstLine="401"/>
        <w:spacing w:after="0" w:line="258" w:lineRule="auto"/>
        <w:rPr>
          <w:sz w:val="20"/>
          <w:szCs w:val="20"/>
          <w:color w:val="auto"/>
        </w:rPr>
      </w:pPr>
      <w:r>
        <w:rPr>
          <w:rFonts w:ascii="Times New Roman" w:cs="Times New Roman" w:eastAsia="Times New Roman" w:hAnsi="Times New Roman"/>
          <w:sz w:val="18"/>
          <w:szCs w:val="18"/>
          <w:color w:val="auto"/>
        </w:rPr>
        <w:t>As discussed in the “Risks Related to Our Business” section of this Quarterly Report on Form 10-Q, our quarterly and annual operating results have fluctuated in the past and may vary in the future due to a variety of factors, many of which are external to our control. If the conditions in the telecommunications industry deteriorate or our customers cancel or postpone projects or if we are unable to sufficiently increase our revenues or further reduce our expenses, we may experience, in the future, a negative impact to our financial results and cash flows from operations, thus limiting our available liquidity and capital resources.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52" w:lineRule="exact"/>
        <w:rPr>
          <w:sz w:val="20"/>
          <w:szCs w:val="20"/>
          <w:color w:val="auto"/>
        </w:rPr>
      </w:pPr>
    </w:p>
    <w:p>
      <w:pPr>
        <w:ind w:right="280" w:firstLine="454"/>
        <w:spacing w:after="0" w:line="256" w:lineRule="auto"/>
        <w:rPr>
          <w:sz w:val="20"/>
          <w:szCs w:val="20"/>
          <w:color w:val="auto"/>
        </w:rPr>
      </w:pPr>
      <w:r>
        <w:rPr>
          <w:rFonts w:ascii="Times New Roman" w:cs="Times New Roman" w:eastAsia="Times New Roman" w:hAnsi="Times New Roman"/>
          <w:sz w:val="18"/>
          <w:szCs w:val="18"/>
          <w:color w:val="auto"/>
        </w:rPr>
        <w:t>Pursuant to the stock purchase agreement for acquisitions made in 2003 in our Enterprise Network Services segment, we may be obligated to pay additional consideration to the selling stockholders that is contingent upon the successful achievement of specific annual earnings targets, as defined in the stock purchase agreement, for each of the years ending 2004, 2005 and 2006. Assuming the acquired entities of our Enterprise Network Services segment reach the minimum base performance targets, the aggregate future contingent payments related to the measurement periods from 2005 through 2006, including the balance accrued as of September 30, 2005, would approximate a cumulative total of $5.4 million. The contingent consideration is calculated based on a certain multiple of defined annual earnings targets as stated in the respective purchase agreements.</w:t>
      </w:r>
    </w:p>
    <w:p>
      <w:pPr>
        <w:spacing w:after="0" w:line="188" w:lineRule="exact"/>
        <w:rPr>
          <w:sz w:val="20"/>
          <w:szCs w:val="20"/>
          <w:color w:val="auto"/>
        </w:rPr>
      </w:pPr>
    </w:p>
    <w:p>
      <w:pPr>
        <w:ind w:right="460" w:firstLine="454"/>
        <w:spacing w:after="0" w:line="282" w:lineRule="auto"/>
        <w:rPr>
          <w:sz w:val="20"/>
          <w:szCs w:val="20"/>
          <w:color w:val="auto"/>
        </w:rPr>
      </w:pPr>
      <w:r>
        <w:rPr>
          <w:rFonts w:ascii="Times New Roman" w:cs="Times New Roman" w:eastAsia="Times New Roman" w:hAnsi="Times New Roman"/>
          <w:sz w:val="18"/>
          <w:szCs w:val="18"/>
          <w:color w:val="auto"/>
        </w:rPr>
        <w:t>Management's estimate of payments of future contingent consideration to be paid in 2006 related to fiscal 2005 range from $11.1 million to $13.7 million.</w:t>
      </w:r>
    </w:p>
    <w:p>
      <w:pPr>
        <w:sectPr>
          <w:pgSz w:w="11900" w:h="16893" w:orient="portrait"/>
          <w:cols w:equalWidth="0" w:num="1">
            <w:col w:w="11420"/>
          </w:cols>
          <w:pgMar w:left="240" w:top="121" w:right="239" w:bottom="0" w:gutter="0" w:footer="0" w:header="0"/>
        </w:sectPr>
      </w:pPr>
    </w:p>
    <w:bookmarkStart w:id="19" w:name="page20"/>
    <w:bookmarkEnd w:id="19"/>
    <w:p>
      <w:pPr>
        <w:ind w:right="180" w:firstLine="454"/>
        <w:spacing w:after="0" w:line="266" w:lineRule="auto"/>
        <w:rPr>
          <w:sz w:val="20"/>
          <w:szCs w:val="20"/>
          <w:color w:val="auto"/>
        </w:rPr>
      </w:pPr>
      <w:r>
        <w:rPr>
          <w:rFonts w:ascii="Times New Roman" w:cs="Times New Roman" w:eastAsia="Times New Roman" w:hAnsi="Times New Roman"/>
          <w:sz w:val="18"/>
          <w:szCs w:val="18"/>
          <w:color w:val="auto"/>
        </w:rPr>
        <w:t>On March 16, 2005, we entered into a credit agreement with KeyBank National Association (“KeyBank”) to provide a $15 million senior credit facility. The facility has a 3-year term and can be expanded to a $60 million facility to fund future acquisitions. There are no amounts drawn on the facility as of September 30, 2005. On October 11, 2005, the Company drew $2.0 million on the credit facility.</w:t>
      </w:r>
    </w:p>
    <w:p>
      <w:pPr>
        <w:spacing w:after="0" w:line="176" w:lineRule="exact"/>
        <w:rPr>
          <w:sz w:val="20"/>
          <w:szCs w:val="20"/>
          <w:color w:val="auto"/>
        </w:rPr>
      </w:pPr>
    </w:p>
    <w:p>
      <w:pPr>
        <w:jc w:val="both"/>
        <w:ind w:right="340" w:firstLine="454"/>
        <w:spacing w:after="0" w:line="266" w:lineRule="auto"/>
        <w:rPr>
          <w:sz w:val="20"/>
          <w:szCs w:val="20"/>
          <w:color w:val="auto"/>
        </w:rPr>
      </w:pPr>
      <w:r>
        <w:rPr>
          <w:rFonts w:ascii="Times New Roman" w:cs="Times New Roman" w:eastAsia="Times New Roman" w:hAnsi="Times New Roman"/>
          <w:sz w:val="18"/>
          <w:szCs w:val="18"/>
          <w:color w:val="auto"/>
        </w:rPr>
        <w:t>In February 2005, the Company entered into an agreement with National City Vendor Financing, LLC to finance the software and maintenance and support fees of $0.59 million of one of its IT systems. The interest rate for this financing is at 4.2% per annum. Principal and interest payments of $0.05 million are payable quarterly through January 2008. As of September 30, 2005, $0.48 million was outstanding on this financing.</w:t>
      </w:r>
    </w:p>
    <w:p>
      <w:pPr>
        <w:spacing w:after="0" w:line="176" w:lineRule="exact"/>
        <w:rPr>
          <w:sz w:val="20"/>
          <w:szCs w:val="20"/>
          <w:color w:val="auto"/>
        </w:rPr>
      </w:pPr>
    </w:p>
    <w:p>
      <w:pPr>
        <w:ind w:right="480" w:firstLine="454"/>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 balances and credit facility will be sufficient to satisfy cash requirements for at least the next twelve months.</w:t>
      </w:r>
    </w:p>
    <w:p>
      <w:pPr>
        <w:spacing w:after="0" w:line="162" w:lineRule="exact"/>
        <w:rPr>
          <w:sz w:val="20"/>
          <w:szCs w:val="20"/>
          <w:color w:val="auto"/>
        </w:rPr>
      </w:pPr>
    </w:p>
    <w:p>
      <w:pPr>
        <w:ind w:right="380" w:firstLine="401"/>
        <w:spacing w:after="0" w:line="282" w:lineRule="auto"/>
        <w:rPr>
          <w:sz w:val="20"/>
          <w:szCs w:val="20"/>
          <w:color w:val="auto"/>
        </w:rPr>
      </w:pPr>
      <w:r>
        <w:rPr>
          <w:rFonts w:ascii="Times New Roman" w:cs="Times New Roman" w:eastAsia="Times New Roman" w:hAnsi="Times New Roman"/>
          <w:sz w:val="18"/>
          <w:szCs w:val="18"/>
          <w:color w:val="auto"/>
        </w:rPr>
        <w:t>We are focused on preserving and improving cash and our overall liquidity position by continuously monitoring expenses, integrating effective cost savings programs and managing our accounts receivable collection efforts.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than our normal recurring trade payables, expense accruals, and operating and capital leases which are currently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expected to be funded through existing working capital and future cash flows from operations, we have no other material commitments. Aside from these recurring operating expenses, future capital expenditures and overall expansion including potential future acquisitions, our future capital needs will depend upon many factors, including the timing of payments under existing contracts and technology requirements within the wireless telecommunications industry. We currently expect that the cash we used in the third quarter will be recovered in the fourth quarter of 2005 as we complete the construction phase and achieve certain of the billing milestones in our contracts that will enable us to invoice and collect. Other future cash requirements may include the payment of certain tax contingencies, as discussed in Note 1(i) of our consolidated financial statements and potential future acquisitions. Additional capital expenditure may be required as deemed necessary, in order to stay competitive and effectively service our customers.</w:t>
      </w:r>
    </w:p>
    <w:p>
      <w:pPr>
        <w:spacing w:after="0" w:line="189" w:lineRule="exact"/>
        <w:rPr>
          <w:sz w:val="20"/>
          <w:szCs w:val="20"/>
          <w:color w:val="auto"/>
        </w:rPr>
      </w:pPr>
    </w:p>
    <w:p>
      <w:pPr>
        <w:ind w:right="500" w:firstLine="45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currently existing contractual obligations and other commitments at September 30, 2005, and the effect such obligations could have on our liquidity and cash flow in future periods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82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1-3</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38"/>
              <w:spacing w:after="0" w:line="118" w:lineRule="exact"/>
              <w:rPr>
                <w:sz w:val="20"/>
                <w:szCs w:val="20"/>
                <w:color w:val="auto"/>
              </w:rPr>
            </w:pPr>
            <w:r>
              <w:rPr>
                <w:rFonts w:ascii="Times New Roman" w:cs="Times New Roman" w:eastAsia="Times New Roman" w:hAnsi="Times New Roman"/>
                <w:sz w:val="13"/>
                <w:szCs w:val="13"/>
                <w:b w:val="1"/>
                <w:bCs w:val="1"/>
                <w:color w:val="auto"/>
              </w:rPr>
              <w:t>3-5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leases</w:t>
            </w:r>
          </w:p>
        </w:tc>
        <w:tc>
          <w:tcPr>
            <w:tcW w:w="72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detailed information regarding related party transactions, see Note 10 to our unaudited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499"/>
        <w:spacing w:after="0" w:line="256" w:lineRule="auto"/>
        <w:rPr>
          <w:sz w:val="20"/>
          <w:szCs w:val="20"/>
          <w:color w:val="auto"/>
        </w:rPr>
      </w:pPr>
      <w:r>
        <w:rPr>
          <w:rFonts w:ascii="Times New Roman" w:cs="Times New Roman" w:eastAsia="Times New Roman" w:hAnsi="Times New Roman"/>
          <w:sz w:val="18"/>
          <w:szCs w:val="18"/>
          <w:color w:val="auto"/>
        </w:rPr>
        <w:t xml:space="preserve">In December 2004, the FASB issued Statement of Financial Accounting Standards No. 123 (revised 2004) “Share-Based Payment” (SFAS No. 123R). As amended by Securities and Exchange Commission Release No. 33-8568, “Amendment to Rule 4-01(a) of Regulation S-X Regarding the Compliance Date for Statement of Financial Accounting Standards No 123 (Revised 2004),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FAS 123R is effective for interim or annual periods beginning after June 15, 2005 (January 1, 2006 for the Company). The Company has not completed its analysis of the estimated impact of adopting the provisions of SFAS No. 123R. If the Company continues to use the Black Scholes method, the Company does not believe the impact will be materially different than the pro forma disclosure in Note 1(g).</w:t>
      </w:r>
    </w:p>
    <w:p>
      <w:pPr>
        <w:spacing w:after="0" w:line="188" w:lineRule="exact"/>
        <w:rPr>
          <w:sz w:val="20"/>
          <w:szCs w:val="20"/>
          <w:color w:val="auto"/>
        </w:rPr>
      </w:pPr>
    </w:p>
    <w:p>
      <w:pPr>
        <w:jc w:val="both"/>
        <w:ind w:right="60" w:firstLine="454"/>
        <w:spacing w:after="0" w:line="261" w:lineRule="auto"/>
        <w:rPr>
          <w:sz w:val="20"/>
          <w:szCs w:val="20"/>
          <w:color w:val="auto"/>
        </w:rPr>
      </w:pPr>
      <w:r>
        <w:rPr>
          <w:rFonts w:ascii="Times New Roman" w:cs="Times New Roman" w:eastAsia="Times New Roman" w:hAnsi="Times New Roman"/>
          <w:sz w:val="18"/>
          <w:szCs w:val="18"/>
          <w:color w:val="auto"/>
        </w:rPr>
        <w:t>FAS 123R will require all share-based payment transactions, including those with employees, to be measured at fair value. Moreover, the fair value of share-based payment awards (including employee stock option grants) will be recognized as expense in the statements of operations over the requisite service period of each award. FAS 123R also changes the manner in which deferred taxes are recognized on share-based payment awards, as well as the accounting for award modifications.</w:t>
      </w:r>
    </w:p>
    <w:p>
      <w:pPr>
        <w:spacing w:after="0" w:line="180" w:lineRule="exact"/>
        <w:rPr>
          <w:sz w:val="20"/>
          <w:szCs w:val="20"/>
          <w:color w:val="auto"/>
        </w:rPr>
      </w:pPr>
    </w:p>
    <w:p>
      <w:pPr>
        <w:ind w:right="20" w:firstLine="454"/>
        <w:spacing w:after="0" w:line="256" w:lineRule="auto"/>
        <w:rPr>
          <w:sz w:val="20"/>
          <w:szCs w:val="20"/>
          <w:color w:val="auto"/>
        </w:rPr>
      </w:pPr>
      <w:r>
        <w:rPr>
          <w:rFonts w:ascii="Times New Roman" w:cs="Times New Roman" w:eastAsia="Times New Roman" w:hAnsi="Times New Roman"/>
          <w:sz w:val="18"/>
          <w:szCs w:val="18"/>
          <w:color w:val="auto"/>
        </w:rPr>
        <w:t>In December 2004 the FASB issued Statement of Financial Accounting Standards No. 153 “Exchanges of Nonmonetary Assets — An Amendment of APB Opinion No. 29.” The amendments made by SFAS No. 153 are based on the principle that exchanges of nonmonetary assets should be measured based on the fair value of the assets exchanged. SFAS No. 153 eliminates the narrow exception for nonmonetary exchanges of similar productive assets and replaces it with a broader exception for exchanges of nonmonetary assets that do not have “commercial substance.” SFAS No. 153 is effective for nonmonetary asset exchanges occurring in fiscal periods beginning after June 15, 2005. The Company does not believe the adoption of SFAS No. 153 will have a material impact on its operating results and its financial position.</w:t>
      </w:r>
    </w:p>
    <w:p>
      <w:pPr>
        <w:spacing w:after="0" w:line="188" w:lineRule="exact"/>
        <w:rPr>
          <w:sz w:val="20"/>
          <w:szCs w:val="20"/>
          <w:color w:val="auto"/>
        </w:rPr>
      </w:pPr>
    </w:p>
    <w:p>
      <w:pPr>
        <w:ind w:right="40" w:firstLine="454"/>
        <w:spacing w:after="0" w:line="256" w:lineRule="auto"/>
        <w:rPr>
          <w:sz w:val="20"/>
          <w:szCs w:val="20"/>
          <w:color w:val="auto"/>
        </w:rPr>
      </w:pPr>
      <w:r>
        <w:rPr>
          <w:rFonts w:ascii="Times New Roman" w:cs="Times New Roman" w:eastAsia="Times New Roman" w:hAnsi="Times New Roman"/>
          <w:sz w:val="18"/>
          <w:szCs w:val="18"/>
          <w:color w:val="auto"/>
        </w:rPr>
        <w:t>In May 2005, the FASB issued Statement of Financial Standard No. 154, “Accounting Changes and Error Corrections — A Replacement of APB Opinion No. 20 and FASB Statement No. 3” SFAS No. 154 requires that a voluntary change in accounting principle be applied retrospectively with all prior period financial statements presented on the new accounting principle, unless it is impracticable to do so. SFAS No. 154 also provides that (1) a change in method of depreciating or amortizing a long-lived nonfinancial asset be accounted for as a change in estimate (prospectively) that was affected by a change in accounting principle, and (2) correction of errors in previously issued financial statements shall be termed a “restatement.” SFAS No. 154 is effective for accounting changes and corrections of errors made in fiscal years beginning after December 15, 2005.</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04" w:gutter="0" w:footer="0" w:header="0"/>
        </w:sectPr>
      </w:pPr>
    </w:p>
    <w:bookmarkStart w:id="20" w:name="page21"/>
    <w:bookmarkEnd w:id="20"/>
    <w:p>
      <w:pPr>
        <w:ind w:right="6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all other information contained herein as well as the information included in our Annual Report on Form 10-K, as amended on 10-K/A, for the year ended December 31, 2004, and other reports and filings made with the Securities and Exchange Commission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consolidated financial statements and related notes.</w:t>
      </w:r>
    </w:p>
    <w:p>
      <w:pPr>
        <w:spacing w:after="0" w:line="18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success is dependent on growth in the deployment of wireless networks, and to the extent that such growth continues to slow, our business may be harmed.</w:t>
      </w:r>
    </w:p>
    <w:p>
      <w:pPr>
        <w:spacing w:after="0" w:line="159" w:lineRule="exact"/>
        <w:rPr>
          <w:sz w:val="20"/>
          <w:szCs w:val="20"/>
          <w:color w:val="auto"/>
        </w:rPr>
      </w:pPr>
    </w:p>
    <w:p>
      <w:pPr>
        <w:ind w:right="500" w:firstLine="454"/>
        <w:spacing w:after="0" w:line="261" w:lineRule="auto"/>
        <w:rPr>
          <w:sz w:val="20"/>
          <w:szCs w:val="20"/>
          <w:color w:val="auto"/>
        </w:rPr>
      </w:pPr>
      <w:r>
        <w:rPr>
          <w:rFonts w:ascii="Times New Roman" w:cs="Times New Roman" w:eastAsia="Times New Roman" w:hAnsi="Times New Roman"/>
          <w:sz w:val="18"/>
          <w:szCs w:val="18"/>
          <w:color w:val="auto"/>
        </w:rPr>
        <w:t>Telecommunications carriers are constantly re-evaluating their network deployment plans in response to trends in the capital markets, changing perceptions regarding industry growth, the adoption of new wireless technologies, increasing pricing competition for subscribers and general economic conditions in the United States and internationally. If the rate of network deployment slows and carriers reduce their capital investments in wireless infrastructure or fail to expand into new geographic areas, our business may be significantly harmed.</w:t>
      </w:r>
    </w:p>
    <w:p>
      <w:pPr>
        <w:spacing w:after="0" w:line="180"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The uncertainty associated with rapidly changing telecommunications technologies may also continue to negatively impact the rate of deployment of wireless networks and the demand for our services. Telecommunications service providers face significant challenges in assessing consumer demand and in acceptance of rapidly changing enhanced telecommunications capabilities. If telecommunications service providers continue to perceive that the rate of acceptance of next generation telecommunications products will grow more slowly than previously expected, they may, as a result, continue to slow their development of next generation technologies. Moreover, increasing price competition for subscribers could adversely affect the profitability of carriers and limit their resources for network deployment. Any significant sustained slowdown will further reduce the demand for our services and adversely affect our financial results.</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If wireless carriers, network equipment vendors and enterprises do not outsource their wireless telecommunications services, our business will suffer.</w:t>
      </w:r>
    </w:p>
    <w:p>
      <w:pPr>
        <w:spacing w:after="0" w:line="159"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success depends upon the continued trend by wireless carriers and network equipment vendors to outsource their network design, deployment and management needs. If this trend does not continue and wireless carriers and network equipment vendors elect to perform more network deployment services themselves, our operating results and revenues may decline.</w:t>
      </w:r>
    </w:p>
    <w:p>
      <w:pPr>
        <w:spacing w:after="0" w:line="172"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color w:val="auto"/>
        </w:rPr>
        <w:t>If enterprise customers do not invest in security systems and other new in-building technologies such as wireless local area networks, our business will suffer.</w:t>
      </w:r>
    </w:p>
    <w:p>
      <w:pPr>
        <w:ind w:right="60" w:firstLine="401"/>
        <w:spacing w:after="0" w:line="258" w:lineRule="auto"/>
        <w:rPr>
          <w:sz w:val="20"/>
          <w:szCs w:val="20"/>
          <w:color w:val="auto"/>
        </w:rPr>
      </w:pPr>
      <w:r>
        <w:rPr>
          <w:rFonts w:ascii="Times New Roman" w:cs="Times New Roman" w:eastAsia="Times New Roman" w:hAnsi="Times New Roman"/>
          <w:sz w:val="18"/>
          <w:szCs w:val="18"/>
          <w:color w:val="auto"/>
        </w:rPr>
        <w:t>In 2003, we launched significant enterprise-based WLAN (Wireless Local Area Networks) and security systems initiatives as a key component of the growth strategy for our Enterprise Network Services segment. We intend to devote significant resources to developing these initiatives, but we cannot predict that we will achieve widespread market acceptance amongst the enterprises we identify as potential customers. It is possible that some enterprises will determine that capital constraints and other factors outweigh their need for WLANs and security systems. As a result, we may be affected by a significant delay in the adoption of WLAN and wireless security systems by enterprises, which would harm our business.</w:t>
      </w:r>
    </w:p>
    <w:p>
      <w:pPr>
        <w:spacing w:after="0" w:line="1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Our failure to obtain new government contracts, the cancellation of government contracts, or a reduction in federal budget appropriations involving our services could materially adversely affect our revenues.</w:t>
      </w:r>
    </w:p>
    <w:p>
      <w:pPr>
        <w:ind w:right="20" w:firstLine="401"/>
        <w:spacing w:after="0" w:line="258" w:lineRule="auto"/>
        <w:rPr>
          <w:sz w:val="20"/>
          <w:szCs w:val="20"/>
          <w:color w:val="auto"/>
        </w:rPr>
      </w:pPr>
      <w:r>
        <w:rPr>
          <w:rFonts w:ascii="Times New Roman" w:cs="Times New Roman" w:eastAsia="Times New Roman" w:hAnsi="Times New Roman"/>
          <w:sz w:val="18"/>
          <w:szCs w:val="18"/>
          <w:color w:val="auto"/>
        </w:rPr>
        <w:t>We anticipate that a material portion of our future revenues will come from our Government Network Services segment. Our revenues and cash flows from our Government Network Services segment may decline if a significant number of our government contracts are delayed or cancelled due to cutbacks in defense, homeland security or other federal agency budgets or for other reasons. In addition, our failure to successfully compete for and retain such government contracts could have an adverse effect on our revenues and cash flows. We cannot guarantee that we — or if we are a subcontractor, that the prime contractor — will win any particular bid, or that we will be able to replace business lost upon expiration or completion of a contract.</w:t>
      </w:r>
    </w:p>
    <w:p>
      <w:pPr>
        <w:spacing w:after="0" w:line="2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anticipate that our Government Network Services segment will also be sensitive to changes in national and international defense and budget priorities. Demand for our services may decline if conflicts in the Middle East and other high-risk areas subside, or if U.S. defense budget appropriations are reduced.</w:t>
      </w:r>
    </w:p>
    <w:p>
      <w:pPr>
        <w:spacing w:after="0" w:line="1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extensive government regulation, and our failure or inability to comply with these regulations could subject us to penalties and result in a loss of our government contracts, which could adversely affect our revenues.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454"/>
        <w:spacing w:after="0" w:line="254" w:lineRule="auto"/>
        <w:rPr>
          <w:sz w:val="20"/>
          <w:szCs w:val="20"/>
          <w:color w:val="auto"/>
        </w:rPr>
      </w:pPr>
      <w:r>
        <w:rPr>
          <w:rFonts w:ascii="Times New Roman" w:cs="Times New Roman" w:eastAsia="Times New Roman" w:hAnsi="Times New Roman"/>
          <w:sz w:val="18"/>
          <w:szCs w:val="18"/>
          <w:color w:val="auto"/>
        </w:rPr>
        <w:t>The wireless networks that we design, deploy and manage are subject to various regulations issued by the U.S. Federal Communications Commission (“FCC”) and other regulatory bodies in the U.S. and other countries that require these networks to meet certain radio frequency emission standards, not create unallowable interference to other services, and in some cases accept interference from other services. These networks are also subject to government regulations and requirements of local standards bodies in Mexico and Brazil and other foreign countries in which we have business operations, where we are less prominent than local competitors and have less opportunity to participate in the establishment of regulatory and standards policies. We are also subject to state and federal health, safety and environmental regulations, as well as regulations related to the handling of and access to classified information. Additionally, because we conduct business throughout the U.S., many of our activities are subject to different state and local regulatory schemes, including those relative to licensing, taxes and employment matters, with which we are required to comply. We are subject to routine audits to assure our compliance with these requirements.</w:t>
      </w:r>
    </w:p>
    <w:p>
      <w:pPr>
        <w:spacing w:after="0" w:line="189" w:lineRule="exact"/>
        <w:rPr>
          <w:sz w:val="20"/>
          <w:szCs w:val="20"/>
          <w:color w:val="auto"/>
        </w:rPr>
      </w:pPr>
    </w:p>
    <w:p>
      <w:pPr>
        <w:ind w:right="40" w:firstLine="454"/>
        <w:spacing w:after="0" w:line="258" w:lineRule="auto"/>
        <w:rPr>
          <w:sz w:val="20"/>
          <w:szCs w:val="20"/>
          <w:color w:val="auto"/>
        </w:rPr>
      </w:pPr>
      <w:r>
        <w:rPr>
          <w:rFonts w:ascii="Times New Roman" w:cs="Times New Roman" w:eastAsia="Times New Roman" w:hAnsi="Times New Roman"/>
          <w:sz w:val="18"/>
          <w:szCs w:val="18"/>
          <w:color w:val="auto"/>
        </w:rPr>
        <w:t>Our failure to comply with these regulations, rules and approvals could result in the imposition of penalties and the loss of our government contracts and disqualification as a U.S. government contractor, which could adversely affect our revenues. Additional regulations may be adopted, including changes in the allocation of available spectrum by the U.S. government and other governments or exclusion of our technology by a standards body, which could result in additional cost to us or restrict our current business operations, and which could have a harmful effect on our operating results, liquidity and financial position.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derive a significant portion of our revenues from a limited number of customers.</w:t>
      </w:r>
    </w:p>
    <w:p>
      <w:pPr>
        <w:spacing w:after="0" w:line="67" w:lineRule="exact"/>
        <w:rPr>
          <w:sz w:val="20"/>
          <w:szCs w:val="20"/>
          <w:color w:val="auto"/>
        </w:rPr>
      </w:pPr>
    </w:p>
    <w:p>
      <w:pPr>
        <w:ind w:right="80" w:firstLine="567"/>
        <w:spacing w:after="0" w:line="289" w:lineRule="auto"/>
        <w:rPr>
          <w:sz w:val="20"/>
          <w:szCs w:val="20"/>
          <w:color w:val="auto"/>
        </w:rPr>
      </w:pPr>
      <w:r>
        <w:rPr>
          <w:rFonts w:ascii="Times New Roman" w:cs="Times New Roman" w:eastAsia="Times New Roman" w:hAnsi="Times New Roman"/>
          <w:sz w:val="17"/>
          <w:szCs w:val="17"/>
          <w:color w:val="auto"/>
        </w:rPr>
        <w:t>We have derived, and believe that we will continue to derive, a significant portion of our revenues from a limited number of customers. To the extent that any significant client uses less of our services or terminates its relationship with us, our revenues could decline significantly. As a result, the loss of any significant client could seriously harm our business. For the nine months ended September 30, 2005, we had two separate customers which comprised 22.9%</w:t>
      </w:r>
    </w:p>
    <w:p>
      <w:pPr>
        <w:sectPr>
          <w:pgSz w:w="11900" w:h="16838" w:orient="portrait"/>
          <w:cols w:equalWidth="0" w:num="1">
            <w:col w:w="11400"/>
          </w:cols>
          <w:pgMar w:left="240" w:top="335" w:right="259" w:bottom="0" w:gutter="0" w:footer="0" w:header="0"/>
        </w:sectPr>
      </w:pPr>
    </w:p>
    <w:bookmarkStart w:id="21" w:name="page22"/>
    <w:bookmarkEnd w:id="21"/>
    <w:p>
      <w:pPr>
        <w:ind w:right="240"/>
        <w:spacing w:after="0" w:line="266" w:lineRule="auto"/>
        <w:rPr>
          <w:sz w:val="20"/>
          <w:szCs w:val="20"/>
          <w:color w:val="auto"/>
        </w:rPr>
      </w:pPr>
      <w:r>
        <w:rPr>
          <w:rFonts w:ascii="Times New Roman" w:cs="Times New Roman" w:eastAsia="Times New Roman" w:hAnsi="Times New Roman"/>
          <w:sz w:val="18"/>
          <w:szCs w:val="18"/>
          <w:color w:val="auto"/>
        </w:rPr>
        <w:t>and 8.5% of our revenues, and our five largest customers accounted for approximately 43.7% of our total revenues. None of our customers are obligated to purchase additional services from us. As a result, the volume of work that we perform for a specific client is likely to vary from period to period, and a significant client in one period may not use our services in a subsequent period.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investors and customers may react adversely to the restatement of our financial statements.</w:t>
      </w:r>
    </w:p>
    <w:p>
      <w:pPr>
        <w:spacing w:after="0" w:line="229" w:lineRule="exact"/>
        <w:rPr>
          <w:sz w:val="20"/>
          <w:szCs w:val="20"/>
          <w:color w:val="auto"/>
        </w:rPr>
      </w:pPr>
    </w:p>
    <w:p>
      <w:pPr>
        <w:ind w:right="120" w:firstLine="454"/>
        <w:spacing w:after="0" w:line="261" w:lineRule="auto"/>
        <w:rPr>
          <w:sz w:val="20"/>
          <w:szCs w:val="20"/>
          <w:color w:val="auto"/>
        </w:rPr>
      </w:pPr>
      <w:r>
        <w:rPr>
          <w:rFonts w:ascii="Times New Roman" w:cs="Times New Roman" w:eastAsia="Times New Roman" w:hAnsi="Times New Roman"/>
          <w:sz w:val="18"/>
          <w:szCs w:val="18"/>
          <w:color w:val="auto"/>
        </w:rPr>
        <w:t>The restatement of our financial statements for the fiscal years ended December 31, 2001, 2002, and 2003 has resulted in negative publicity about us and has, and may continue to have, a negative impact on the market price of our common stock. In addition, the restatement of our financial statements may cause some of our customers or potential customers to defer or refrain from purchasing services from us if they lose confidence in our ability to fulfill our commitments which could have a harmful effect on our operating results and financial condition.</w:t>
      </w:r>
    </w:p>
    <w:p>
      <w:pPr>
        <w:spacing w:after="0" w:line="1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b w:val="1"/>
          <w:bCs w:val="1"/>
          <w:color w:val="auto"/>
        </w:rPr>
        <w:t>Recent business acquisitions and potential future business acquisitions could be difficult to integrate, disrupt our business, dilute stockholder value and adversely affect our operating results.</w:t>
      </w:r>
    </w:p>
    <w:p>
      <w:pPr>
        <w:ind w:right="20" w:firstLine="454"/>
        <w:spacing w:after="0" w:line="254" w:lineRule="auto"/>
        <w:rPr>
          <w:sz w:val="20"/>
          <w:szCs w:val="20"/>
          <w:color w:val="auto"/>
        </w:rPr>
      </w:pPr>
      <w:r>
        <w:rPr>
          <w:rFonts w:ascii="Times New Roman" w:cs="Times New Roman" w:eastAsia="Times New Roman" w:hAnsi="Times New Roman"/>
          <w:sz w:val="18"/>
          <w:szCs w:val="18"/>
          <w:color w:val="auto"/>
        </w:rPr>
        <w:t>We completed our acquisitions of HTS in January 2004, Defense Systems, Inc. in August 2004 and TLA Associates in January 2005. In addition, we acquired three other businesses in 2003. Our integration of these acquisitions will require significant management time and financial resources because we will need to integrate dispersed operations with distinct corporate cultures. We also may continue to expand our operations through business acquisitions over time. Our failure to properly integrate businesses we acquire and to manage future acquisitions successfully could seriously harm our operating results. In addition, these acquired companies may not perform as well as we expect, and we may fail to realize anticipated revenue. We may issue common stock that would dilute our current stockholders’ ownership and incur debt and other costs in connection with future acquisitions which may cause our quarterly operating results to vary significantly. In February 2004, we filed an acquisition shelf registration statement on Form S-4 that, subject to the rules and regulations of the Securities and Exchange Commission, will enable us to issue up to $200 million of our newly issued common stock in one or more acquisition transactions. In addition, we currently have a $15 million senior credit facility with KeyBank National Association, which can be expanded to a $60 million facility to fund future acquisitions.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consolidation of equipment vendors or carriers could adversely impact our business.</w:t>
      </w:r>
    </w:p>
    <w:p>
      <w:pPr>
        <w:spacing w:after="0" w:line="67" w:lineRule="exact"/>
        <w:rPr>
          <w:sz w:val="20"/>
          <w:szCs w:val="20"/>
          <w:color w:val="auto"/>
        </w:rPr>
      </w:pPr>
    </w:p>
    <w:p>
      <w:pPr>
        <w:jc w:val="both"/>
        <w:ind w:right="320" w:firstLine="405"/>
        <w:spacing w:after="0" w:line="261" w:lineRule="auto"/>
        <w:rPr>
          <w:sz w:val="20"/>
          <w:szCs w:val="20"/>
          <w:color w:val="auto"/>
        </w:rPr>
      </w:pPr>
      <w:r>
        <w:rPr>
          <w:rFonts w:ascii="Times New Roman" w:cs="Times New Roman" w:eastAsia="Times New Roman" w:hAnsi="Times New Roman"/>
          <w:sz w:val="18"/>
          <w:szCs w:val="18"/>
          <w:color w:val="auto"/>
        </w:rPr>
        <w:t>Recently, the wireless telecommunications industry has been characterized by significant consolidation activity; including Cingular’s acquisition of AT&amp;T Wireless, both of whom are significant customers of ours, the merger between Alltel and Western Wireless, the merger between Sprint and Nextel Communications and Telefonica’s recent acquisition of O2. The consolidation of equipment vendors or carriers could reduce the number of our current or potential customers and increase the bargaining power of our remaining customers which may adversely impact our business.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customers do not receive sufficient financing or fail to pay us for services performed, our business may be harmed.</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few of our customers rely upon outside financing to pay the costs of deploying their networks. These customers may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fail to obtain adequate financing or experience delays in receiving financing and they may choose the services of our competitors if our competitors are willing and able to provide project financing.</w:t>
      </w:r>
    </w:p>
    <w:p>
      <w:pPr>
        <w:ind w:firstLine="454"/>
        <w:spacing w:after="0" w:line="261" w:lineRule="auto"/>
        <w:rPr>
          <w:sz w:val="20"/>
          <w:szCs w:val="20"/>
          <w:color w:val="auto"/>
        </w:rPr>
      </w:pPr>
      <w:r>
        <w:rPr>
          <w:rFonts w:ascii="Times New Roman" w:cs="Times New Roman" w:eastAsia="Times New Roman" w:hAnsi="Times New Roman"/>
          <w:sz w:val="18"/>
          <w:szCs w:val="18"/>
          <w:color w:val="auto"/>
        </w:rPr>
        <w:t>In addition, we have historically taken significant write-offs of our accounts receivable. While the vast majority of our customers today are tier 1 carriers, large enterprises or the federal government, it is possible that in some instances we may not receive payment for services we have already performed. If our customers do not receive adequate financing or if we are required to write-off significant amounts of our accounts receivables, then our net income will decline and our business will be harmed.</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are in highly competitive markets, face competition from large, well—established competitors with significant resources, and may not be able to compete effectively.</w:t>
      </w:r>
    </w:p>
    <w:p>
      <w:pPr>
        <w:spacing w:after="0" w:line="159" w:lineRule="exact"/>
        <w:rPr>
          <w:sz w:val="20"/>
          <w:szCs w:val="20"/>
          <w:color w:val="auto"/>
        </w:rPr>
      </w:pPr>
    </w:p>
    <w:p>
      <w:pPr>
        <w:ind w:right="220" w:firstLine="454"/>
        <w:spacing w:after="0" w:line="266" w:lineRule="auto"/>
        <w:rPr>
          <w:sz w:val="20"/>
          <w:szCs w:val="20"/>
          <w:color w:val="auto"/>
        </w:rPr>
      </w:pPr>
      <w:r>
        <w:rPr>
          <w:rFonts w:ascii="Times New Roman" w:cs="Times New Roman" w:eastAsia="Times New Roman" w:hAnsi="Times New Roman"/>
          <w:sz w:val="18"/>
          <w:szCs w:val="18"/>
          <w:color w:val="auto"/>
        </w:rPr>
        <w:t>Each of the vertical markets that we compete in is highly competitive. If we fail to compete successfully against current or future competitors, our business, financial condition and operating results may be harmed. We expect competition to continue and intensify in the future. We cannot be certain that we will be able to compete successfully with existing or new competitors.</w:t>
      </w:r>
    </w:p>
    <w:p>
      <w:pPr>
        <w:spacing w:after="0" w:line="176" w:lineRule="exact"/>
        <w:rPr>
          <w:sz w:val="20"/>
          <w:szCs w:val="20"/>
          <w:color w:val="auto"/>
        </w:rPr>
      </w:pPr>
    </w:p>
    <w:p>
      <w:pPr>
        <w:ind w:right="120" w:firstLine="454"/>
        <w:spacing w:after="0" w:line="256" w:lineRule="auto"/>
        <w:rPr>
          <w:sz w:val="20"/>
          <w:szCs w:val="20"/>
          <w:color w:val="auto"/>
        </w:rPr>
      </w:pPr>
      <w:r>
        <w:rPr>
          <w:rFonts w:ascii="Times New Roman" w:cs="Times New Roman" w:eastAsia="Times New Roman" w:hAnsi="Times New Roman"/>
          <w:sz w:val="18"/>
          <w:szCs w:val="18"/>
          <w:color w:val="auto"/>
        </w:rPr>
        <w:t>Many of our current competitors have significantly greater financial, technical and marketing resources, generate greater revenues and have greater name recognition and experience than we do. This may place us at a disadvantage in responding to our competitors’ pricing strategies, technological advances, advertising campaigns, strategic partnerships and other initiatives. In addition, many of our competitors have well-established relationships with our potential clients and have extensive knowledge of our industry. As a result, our competitors may be able to respond more quickly to new or emerging technologies and changes in customer requirements, and they may be able to devote more resources to the development, promotion and sale of their services than we can.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results fluctuate and may cause our stock price to decline.</w:t>
      </w:r>
    </w:p>
    <w:p>
      <w:pPr>
        <w:spacing w:after="0" w:line="40" w:lineRule="exact"/>
        <w:rPr>
          <w:sz w:val="20"/>
          <w:szCs w:val="20"/>
          <w:color w:val="auto"/>
        </w:rPr>
      </w:pPr>
    </w:p>
    <w:p>
      <w:pPr>
        <w:ind w:right="140" w:firstLine="401"/>
        <w:spacing w:after="0" w:line="266"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will likely fluctuate in the future. As a result, we believe that period to period comparisons of our results of operations are not a good indication of our future performance. A number of factors, many of which are outside of our control, are likely to cause these fluctuations. Some of these factors include:</w:t>
      </w:r>
    </w:p>
    <w:p>
      <w:pPr>
        <w:spacing w:after="0" w:line="1" w:lineRule="exact"/>
        <w:rPr>
          <w:sz w:val="20"/>
          <w:szCs w:val="20"/>
          <w:color w:val="auto"/>
        </w:rPr>
      </w:pPr>
    </w:p>
    <w:p>
      <w:pPr>
        <w:ind w:left="840" w:hanging="340"/>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market conditions and economic conditions generally;</w:t>
      </w:r>
    </w:p>
    <w:p>
      <w:pPr>
        <w:spacing w:after="0" w:line="49" w:lineRule="exact"/>
        <w:rPr>
          <w:rFonts w:ascii="Times New Roman" w:cs="Times New Roman" w:eastAsia="Times New Roman" w:hAnsi="Times New Roman"/>
          <w:sz w:val="18"/>
          <w:szCs w:val="18"/>
          <w:color w:val="auto"/>
        </w:rPr>
      </w:pPr>
    </w:p>
    <w:p>
      <w:pPr>
        <w:ind w:left="840" w:hanging="340"/>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network deployments and technology upgrades by our carrier customers;</w:t>
      </w:r>
    </w:p>
    <w:p>
      <w:pPr>
        <w:spacing w:after="0" w:line="117" w:lineRule="exact"/>
        <w:rPr>
          <w:rFonts w:ascii="Times New Roman" w:cs="Times New Roman" w:eastAsia="Times New Roman" w:hAnsi="Times New Roman"/>
          <w:sz w:val="18"/>
          <w:szCs w:val="18"/>
          <w:color w:val="auto"/>
        </w:rPr>
      </w:pPr>
    </w:p>
    <w:p>
      <w:pPr>
        <w:ind w:left="840" w:hanging="340"/>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outsourced network services;</w:t>
      </w:r>
    </w:p>
    <w:p>
      <w:pPr>
        <w:spacing w:after="0" w:line="117" w:lineRule="exact"/>
        <w:rPr>
          <w:rFonts w:ascii="Times New Roman" w:cs="Times New Roman" w:eastAsia="Times New Roman" w:hAnsi="Times New Roman"/>
          <w:sz w:val="18"/>
          <w:szCs w:val="18"/>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of expansion into new markets, both domestically and internationally;</w:t>
      </w:r>
    </w:p>
    <w:p>
      <w:pPr>
        <w:spacing w:after="0" w:line="117" w:lineRule="exact"/>
        <w:rPr>
          <w:rFonts w:ascii="Times New Roman" w:cs="Times New Roman" w:eastAsia="Times New Roman" w:hAnsi="Times New Roman"/>
          <w:sz w:val="18"/>
          <w:szCs w:val="18"/>
          <w:b w:val="1"/>
          <w:bCs w:val="1"/>
          <w:color w:val="auto"/>
        </w:rPr>
      </w:pPr>
    </w:p>
    <w:p>
      <w:pPr>
        <w:ind w:left="800" w:hanging="300"/>
        <w:spacing w:after="0"/>
        <w:tabs>
          <w:tab w:leader="none" w:pos="8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success of our international business operations;</w:t>
      </w:r>
    </w:p>
    <w:p>
      <w:pPr>
        <w:spacing w:after="0" w:line="117" w:lineRule="exact"/>
        <w:rPr>
          <w:rFonts w:ascii="Times New Roman" w:cs="Times New Roman" w:eastAsia="Times New Roman" w:hAnsi="Times New Roman"/>
          <w:sz w:val="18"/>
          <w:szCs w:val="18"/>
          <w:b w:val="1"/>
          <w:bCs w:val="1"/>
          <w:color w:val="auto"/>
        </w:rPr>
      </w:pPr>
    </w:p>
    <w:p>
      <w:pPr>
        <w:ind w:left="820" w:hanging="320"/>
        <w:spacing w:after="0" w:line="266" w:lineRule="auto"/>
        <w:tabs>
          <w:tab w:leader="none" w:pos="8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 including changes in our judgment as to the necessity of the valuation allowance recorded against our deferred tax asset;</w:t>
      </w:r>
    </w:p>
    <w:p>
      <w:pPr>
        <w:ind w:left="840" w:hanging="340"/>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sales cycles;</w:t>
      </w:r>
    </w:p>
    <w:p>
      <w:pPr>
        <w:spacing w:after="0" w:line="49" w:lineRule="exact"/>
        <w:rPr>
          <w:rFonts w:ascii="Times New Roman" w:cs="Times New Roman" w:eastAsia="Times New Roman" w:hAnsi="Times New Roman"/>
          <w:sz w:val="18"/>
          <w:szCs w:val="18"/>
          <w:color w:val="auto"/>
        </w:rPr>
      </w:pPr>
    </w:p>
    <w:p>
      <w:pPr>
        <w:ind w:left="820" w:right="160" w:hanging="326"/>
        <w:spacing w:after="0" w:line="274" w:lineRule="auto"/>
        <w:tabs>
          <w:tab w:leader="none" w:pos="8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customers to sustain capital resources to pay their trade accounts receivable balances and required changes to our allowance for doubtful accounts based on periodic assessments of the collectibility of our accounts receivable balances;</w:t>
      </w:r>
    </w:p>
    <w:p>
      <w:pPr>
        <w:ind w:left="840" w:hanging="340"/>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prices of services offered by our competitors;</w:t>
      </w:r>
    </w:p>
    <w:p>
      <w:pPr>
        <w:spacing w:after="0" w:line="36" w:lineRule="exact"/>
        <w:rPr>
          <w:rFonts w:ascii="Times New Roman" w:cs="Times New Roman" w:eastAsia="Times New Roman" w:hAnsi="Times New Roman"/>
          <w:sz w:val="18"/>
          <w:szCs w:val="18"/>
          <w:color w:val="auto"/>
        </w:rPr>
      </w:pPr>
    </w:p>
    <w:p>
      <w:pPr>
        <w:ind w:left="840" w:hanging="340"/>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bidding on and winning new business;</w:t>
      </w:r>
    </w:p>
    <w:p>
      <w:pPr>
        <w:sectPr>
          <w:pgSz w:w="11900" w:h="16838" w:orient="portrait"/>
          <w:cols w:equalWidth="0" w:num="1">
            <w:col w:w="11400"/>
          </w:cols>
          <w:pgMar w:left="240" w:top="121" w:right="259" w:bottom="0" w:gutter="0" w:footer="0" w:header="0"/>
        </w:sectPr>
      </w:pPr>
    </w:p>
    <w:bookmarkStart w:id="22" w:name="page23"/>
    <w:bookmarkEnd w:id="22"/>
    <w:p>
      <w:pPr>
        <w:ind w:left="820" w:right="580" w:hanging="320"/>
        <w:spacing w:after="0" w:line="274" w:lineRule="auto"/>
        <w:tabs>
          <w:tab w:leader="none" w:pos="8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actual and estimated costs and time to complete fixed-price, time-certain projects that may result in revenue adjustments for contracts where revenue is recognized under the percentage of completion method;</w:t>
      </w:r>
    </w:p>
    <w:p>
      <w:pPr>
        <w:ind w:left="840" w:hanging="340"/>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administrative cost structure; and</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integrating businesses that we acquire.</w:t>
      </w:r>
    </w:p>
    <w:p>
      <w:pPr>
        <w:spacing w:after="0" w:line="50" w:lineRule="exact"/>
        <w:rPr>
          <w:sz w:val="20"/>
          <w:szCs w:val="20"/>
          <w:color w:val="auto"/>
        </w:rPr>
      </w:pPr>
    </w:p>
    <w:p>
      <w:pPr>
        <w:jc w:val="both"/>
        <w:ind w:right="180" w:firstLine="401"/>
        <w:spacing w:after="0" w:line="264" w:lineRule="auto"/>
        <w:rPr>
          <w:sz w:val="20"/>
          <w:szCs w:val="20"/>
          <w:color w:val="auto"/>
        </w:rPr>
      </w:pPr>
      <w:r>
        <w:rPr>
          <w:rFonts w:ascii="Times New Roman" w:cs="Times New Roman" w:eastAsia="Times New Roman" w:hAnsi="Times New Roman"/>
          <w:sz w:val="18"/>
          <w:szCs w:val="18"/>
          <w:color w:val="auto"/>
        </w:rPr>
        <w:t>Because our operating results may vary significantly from quarter to quarter, our operating results may not meet the expectations of securities analysts and investors, and our common stock could decline significantly which may expose us to risks of securities litigation, impair our ability to attract and retain qualified individuals using equity incentives and make it more difficult to complete acquisitions using equity as consideration.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dependent upon our ability to keep pace with the latest technological changes.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The market for our services is characterized by rapid change and technological improvements. Failure to respond in a timely and cost-effective way to these technological developments will result in serious harm to our business and operating results. We have derived, and we expect to continue to derive, a substantial portion of our revenues from creating wireless networks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properly manage projects may result in costs or claims.</w:t>
      </w:r>
    </w:p>
    <w:p>
      <w:pPr>
        <w:spacing w:after="0" w:line="54" w:lineRule="exact"/>
        <w:rPr>
          <w:sz w:val="20"/>
          <w:szCs w:val="20"/>
          <w:color w:val="auto"/>
        </w:rPr>
      </w:pPr>
    </w:p>
    <w:p>
      <w:pPr>
        <w:ind w:right="40" w:firstLine="401"/>
        <w:spacing w:after="0" w:line="254" w:lineRule="auto"/>
        <w:rPr>
          <w:sz w:val="20"/>
          <w:szCs w:val="20"/>
          <w:color w:val="auto"/>
        </w:rPr>
      </w:pPr>
      <w:r>
        <w:rPr>
          <w:rFonts w:ascii="Times New Roman" w:cs="Times New Roman" w:eastAsia="Times New Roman" w:hAnsi="Times New Roman"/>
          <w:sz w:val="18"/>
          <w:szCs w:val="18"/>
          <w:color w:val="auto"/>
        </w:rPr>
        <w:t>Our wireless network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or that the network will achieve certain performance standards. If the project or network experiences a performance problem, we may not be able to recover the additional costs we will incur, which could exceed revenues realized from a project. Finally, if we miscalculate the resources or time we need to complete a project with capped or fixed fees, our operating results could be seriously harmed.</w:t>
      </w:r>
    </w:p>
    <w:p>
      <w:pPr>
        <w:ind w:right="80" w:firstLine="401"/>
        <w:spacing w:after="0" w:line="261" w:lineRule="auto"/>
        <w:rPr>
          <w:sz w:val="20"/>
          <w:szCs w:val="20"/>
          <w:color w:val="auto"/>
        </w:rPr>
      </w:pPr>
      <w:r>
        <w:rPr>
          <w:rFonts w:ascii="Times New Roman" w:cs="Times New Roman" w:eastAsia="Times New Roman" w:hAnsi="Times New Roman"/>
          <w:sz w:val="18"/>
          <w:szCs w:val="18"/>
          <w:color w:val="auto"/>
        </w:rPr>
        <w:t>In addition, a majority of our enterprise business and additional significant deployment projects are located in the southeastern United States, an area which is susceptible to hurricanes. In late summer 2005, Hurricane Katrina and Hurricane Rita struck the Gulf Coast region of the United States, resulting in labor and material shortages in the area. Although we expect certain delays and increased cost estimates in our deployment business for both carrier and enterprise customers as a result of these recent hurricanes, we are unable to predict with certainty the extent of the impact on our operating results.</w:t>
      </w:r>
    </w:p>
    <w:p>
      <w:pPr>
        <w:spacing w:after="0"/>
        <w:rPr>
          <w:sz w:val="20"/>
          <w:szCs w:val="20"/>
          <w:color w:val="auto"/>
        </w:rPr>
      </w:pPr>
      <w:r>
        <w:rPr>
          <w:rFonts w:ascii="Times New Roman" w:cs="Times New Roman" w:eastAsia="Times New Roman" w:hAnsi="Times New Roman"/>
          <w:sz w:val="18"/>
          <w:szCs w:val="18"/>
          <w:b w:val="1"/>
          <w:bCs w:val="1"/>
          <w:color w:val="auto"/>
        </w:rPr>
        <w:t>Our failure to attract and retain key managerial, technical, selling and marketing personnel could adversely affect our business.</w:t>
      </w:r>
    </w:p>
    <w:p>
      <w:pPr>
        <w:spacing w:after="0" w:line="54" w:lineRule="exact"/>
        <w:rPr>
          <w:sz w:val="20"/>
          <w:szCs w:val="20"/>
          <w:color w:val="auto"/>
        </w:rPr>
      </w:pPr>
    </w:p>
    <w:p>
      <w:pPr>
        <w:ind w:firstLine="401"/>
        <w:spacing w:after="0" w:line="260" w:lineRule="auto"/>
        <w:rPr>
          <w:sz w:val="20"/>
          <w:szCs w:val="20"/>
          <w:color w:val="auto"/>
        </w:rPr>
      </w:pPr>
      <w:r>
        <w:rPr>
          <w:rFonts w:ascii="Times New Roman" w:cs="Times New Roman" w:eastAsia="Times New Roman" w:hAnsi="Times New Roman"/>
          <w:sz w:val="18"/>
          <w:szCs w:val="18"/>
          <w:color w:val="auto"/>
        </w:rPr>
        <w:t>Our success depends upon our attracting and retaining key members of our management team. The loss of any of our key members might delay or prevent the achievement of our development and strategic objectives. Our future performance will be substantially dependent upon our ability to attract, retain and motivate key members of our management team.</w:t>
      </w:r>
    </w:p>
    <w:p>
      <w:pPr>
        <w:spacing w:after="0" w:line="3" w:lineRule="exact"/>
        <w:rPr>
          <w:sz w:val="20"/>
          <w:szCs w:val="20"/>
          <w:color w:val="auto"/>
        </w:rPr>
      </w:pPr>
    </w:p>
    <w:p>
      <w:pPr>
        <w:ind w:right="100" w:firstLine="401"/>
        <w:spacing w:after="0" w:line="255" w:lineRule="auto"/>
        <w:rPr>
          <w:sz w:val="20"/>
          <w:szCs w:val="20"/>
          <w:color w:val="auto"/>
        </w:rPr>
      </w:pPr>
      <w:r>
        <w:rPr>
          <w:rFonts w:ascii="Times New Roman" w:cs="Times New Roman" w:eastAsia="Times New Roman" w:hAnsi="Times New Roman"/>
          <w:sz w:val="18"/>
          <w:szCs w:val="18"/>
          <w:color w:val="auto"/>
        </w:rPr>
        <w:t>We must also continue to hire and retain additional highly skilled engineering, managerial, business development and sales personnel. In an effort to manage our costs, it is our policy to hire employees on a project-by-project basis. Upon completion of an assigned project, the employees are no longer employed by us until we elect to hire them for the next project. Competition for such highly skilled personnel in our industry is intense, especially for engineers and project managers, and we can not be certain that we will be able to hire or re-hire sufficiently qualified personnel in adequate numbers to meet the demand for our services. We also believe that our success depends to a significant extent on the ability of our key personnel to operate effectively, both individually and as a group. If we are unable to identify, hire and integrate new employees in a timely and cost-efficient manner, our operating results will suffer.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maintain appropriate staffing levels could adversely affect our business.</w:t>
      </w:r>
    </w:p>
    <w:p>
      <w:pPr>
        <w:spacing w:after="0" w:line="54" w:lineRule="exact"/>
        <w:rPr>
          <w:sz w:val="20"/>
          <w:szCs w:val="20"/>
          <w:color w:val="auto"/>
        </w:rPr>
      </w:pPr>
    </w:p>
    <w:p>
      <w:pPr>
        <w:ind w:right="40" w:firstLine="401"/>
        <w:spacing w:after="0" w:line="255" w:lineRule="auto"/>
        <w:rPr>
          <w:sz w:val="20"/>
          <w:szCs w:val="20"/>
          <w:color w:val="auto"/>
        </w:rPr>
      </w:pPr>
      <w:r>
        <w:rPr>
          <w:rFonts w:ascii="Times New Roman" w:cs="Times New Roman" w:eastAsia="Times New Roman" w:hAnsi="Times New Roman"/>
          <w:sz w:val="18"/>
          <w:szCs w:val="18"/>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could restrict our ability to ability to hire employees or to utilize employees effectively.</w:t>
      </w:r>
    </w:p>
    <w:p>
      <w:pPr>
        <w:spacing w:after="0" w:line="54" w:lineRule="exact"/>
        <w:rPr>
          <w:sz w:val="20"/>
          <w:szCs w:val="20"/>
          <w:color w:val="auto"/>
        </w:rPr>
      </w:pPr>
    </w:p>
    <w:p>
      <w:pPr>
        <w:ind w:right="100" w:firstLine="401"/>
        <w:spacing w:after="0" w:line="258" w:lineRule="auto"/>
        <w:rPr>
          <w:sz w:val="20"/>
          <w:szCs w:val="20"/>
          <w:color w:val="auto"/>
        </w:rPr>
      </w:pPr>
      <w:r>
        <w:rPr>
          <w:rFonts w:ascii="Times New Roman" w:cs="Times New Roman" w:eastAsia="Times New Roman" w:hAnsi="Times New Roman"/>
          <w:sz w:val="18"/>
          <w:szCs w:val="18"/>
          <w:color w:val="auto"/>
        </w:rPr>
        <w:t>As of September 30, 2005, approximately 166 or 8% of our employees in the United States were working under H-1B visas. H-1B visas are a special class of nonimmigrant working visas for qualified aliens working in specialty occupations, including, for example, radio frequency engineers. The H-1B program refers to a provision of the United States Immigration and Nationality Act that allows highly skilled foreigners to work in the United States for as long as six years. Current law limits the number of foreign workers who may be issued a visa or otherwise be provided H-1B status to 65,000 through 2005.</w:t>
      </w:r>
    </w:p>
    <w:p>
      <w:pPr>
        <w:spacing w:after="0" w:line="1" w:lineRule="exact"/>
        <w:rPr>
          <w:sz w:val="20"/>
          <w:szCs w:val="20"/>
          <w:color w:val="auto"/>
        </w:rPr>
      </w:pPr>
    </w:p>
    <w:p>
      <w:pPr>
        <w:ind w:right="80" w:firstLine="401"/>
        <w:spacing w:after="0" w:line="264" w:lineRule="auto"/>
        <w:rPr>
          <w:sz w:val="20"/>
          <w:szCs w:val="20"/>
          <w:color w:val="auto"/>
        </w:rPr>
      </w:pPr>
      <w:r>
        <w:rPr>
          <w:rFonts w:ascii="Times New Roman" w:cs="Times New Roman" w:eastAsia="Times New Roman" w:hAnsi="Times New Roman"/>
          <w:sz w:val="18"/>
          <w:szCs w:val="18"/>
          <w:color w:val="auto"/>
        </w:rPr>
        <w:t>Immigration policies are subject to rapid change, and these policies have become more stringent since the terrorist attacks on September 11, 2001. Any additional significant changes in immigration law or regulations may further restrict our ability to continue to employ or to hire new workers on H-1B visas and otherwise restrict our ability to utilize our existing employees as we see fit, and, therefore, could harm our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uncertainties and fluctuations in the value of foreign currencies could harm our profitability.</w:t>
      </w:r>
    </w:p>
    <w:p>
      <w:pPr>
        <w:spacing w:after="0" w:line="54" w:lineRule="exact"/>
        <w:rPr>
          <w:sz w:val="20"/>
          <w:szCs w:val="20"/>
          <w:color w:val="auto"/>
        </w:rPr>
      </w:pPr>
    </w:p>
    <w:p>
      <w:pPr>
        <w:jc w:val="both"/>
        <w:ind w:right="120" w:firstLine="401"/>
        <w:spacing w:after="0" w:line="257" w:lineRule="auto"/>
        <w:rPr>
          <w:sz w:val="20"/>
          <w:szCs w:val="20"/>
          <w:color w:val="auto"/>
        </w:rPr>
      </w:pPr>
      <w:r>
        <w:rPr>
          <w:rFonts w:ascii="Times New Roman" w:cs="Times New Roman" w:eastAsia="Times New Roman" w:hAnsi="Times New Roman"/>
          <w:sz w:val="18"/>
          <w:szCs w:val="18"/>
          <w:color w:val="auto"/>
        </w:rPr>
        <w:t>We currently have international operations, including offices in Argentina, Brazil, China, Mexico, United Kingdom, Sweden and Turkey. For the nine months ended September 30, 2005, international operations accounted for approximately 21.7% of our total revenues. Our international business operations are subject to a number of material risks, including, but not limited to:</w:t>
      </w:r>
    </w:p>
    <w:p>
      <w:pPr>
        <w:spacing w:after="0" w:line="19" w:lineRule="exact"/>
        <w:rPr>
          <w:sz w:val="20"/>
          <w:szCs w:val="20"/>
          <w:color w:val="auto"/>
        </w:rPr>
      </w:pPr>
    </w:p>
    <w:p>
      <w:pPr>
        <w:ind w:left="820" w:hanging="320"/>
        <w:spacing w:after="0"/>
        <w:tabs>
          <w:tab w:leader="none" w:pos="8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building and managing foreign operations including, without limitation, management and contracts administration processes;</w:t>
      </w:r>
    </w:p>
    <w:p>
      <w:pPr>
        <w:spacing w:after="0" w:line="238" w:lineRule="exact"/>
        <w:rPr>
          <w:rFonts w:ascii="Times New Roman" w:cs="Times New Roman" w:eastAsia="Times New Roman" w:hAnsi="Times New Roman"/>
          <w:sz w:val="22"/>
          <w:szCs w:val="22"/>
          <w:color w:val="auto"/>
        </w:rPr>
      </w:pPr>
    </w:p>
    <w:p>
      <w:pPr>
        <w:ind w:left="5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32</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8" w:lineRule="exact"/>
        <w:rPr>
          <w:rFonts w:ascii="Times New Roman" w:cs="Times New Roman" w:eastAsia="Times New Roman" w:hAnsi="Times New Roman"/>
          <w:sz w:val="22"/>
          <w:szCs w:val="22"/>
          <w:color w:val="auto"/>
        </w:rPr>
      </w:pPr>
    </w:p>
    <w:p>
      <w:pPr>
        <w:ind w:left="820" w:right="120" w:hanging="320"/>
        <w:spacing w:after="0" w:line="235" w:lineRule="auto"/>
        <w:tabs>
          <w:tab w:leader="none" w:pos="81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uncertainties in foreign countries, including changing regulations and delays in licensing carriers to build out their networks in various locations;</w:t>
      </w:r>
    </w:p>
    <w:p>
      <w:pPr>
        <w:spacing w:after="0" w:line="17"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enforcing agreements and collecting receivables through foreign legal systems and addressing other legal issues;</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unexpected restrictions on transferring cash from foreign operations to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bookmarkStart w:id="23" w:name="page24"/>
    <w:bookmarkEnd w:id="23"/>
    <w:p>
      <w:pPr>
        <w:spacing w:after="0" w:line="108" w:lineRule="exact"/>
        <w:rPr>
          <w:sz w:val="20"/>
          <w:szCs w:val="20"/>
          <w:color w:val="auto"/>
        </w:rPr>
      </w:pPr>
    </w:p>
    <w:p>
      <w:pPr>
        <w:ind w:left="820" w:hanging="320"/>
        <w:spacing w:after="0"/>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longer payment cycles;</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foreign and U.S. taxation issues;</w:t>
      </w:r>
    </w:p>
    <w:p>
      <w:pPr>
        <w:spacing w:after="0" w:line="17"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weaknesses in foreign economies, particularly in Europe, South America and Mexico;</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the value of foreign currencies;</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economic and political conditions in the markets in which we operate; and</w:t>
      </w:r>
    </w:p>
    <w:p>
      <w:pPr>
        <w:spacing w:after="0" w:line="17"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unexpected domestic and international regulatory, economic or political changes.</w:t>
      </w:r>
    </w:p>
    <w:p>
      <w:pPr>
        <w:spacing w:after="0" w:line="22" w:lineRule="exact"/>
        <w:rPr>
          <w:sz w:val="20"/>
          <w:szCs w:val="20"/>
          <w:color w:val="auto"/>
        </w:rPr>
      </w:pPr>
    </w:p>
    <w:p>
      <w:pPr>
        <w:ind w:right="20" w:firstLine="401"/>
        <w:spacing w:after="0" w:line="255" w:lineRule="auto"/>
        <w:rPr>
          <w:sz w:val="20"/>
          <w:szCs w:val="20"/>
          <w:color w:val="auto"/>
        </w:rPr>
      </w:pPr>
      <w:r>
        <w:rPr>
          <w:rFonts w:ascii="Times New Roman" w:cs="Times New Roman" w:eastAsia="Times New Roman" w:hAnsi="Times New Roman"/>
          <w:sz w:val="18"/>
          <w:szCs w:val="18"/>
          <w:color w:val="auto"/>
        </w:rPr>
        <w:t>Our significant international subsidiaries (i.e., in Brazil, Mexico, Sweden and United Kingdom) procure certain transactions that are denominated in U.S. dollars. Downward fluctuations in the value of foreign currencies, compared to the U.S. dollar, may make our services more expensive than local service offerings in international locations. This would make our service offerings less price competitive than local service offerings, which could harm our business. To date, our experience with this foreign currency risk has predominately related to the Brazilian Real and Mexican Peso. In addition, we also conduct business in British Pound Sterling, Chinese Renminbi, Euro, Swedish Krona, Argentine Peso and Turkish Lira. We do not currently engage in currency hedging activities to limit the risks of currency fluctuations. Therefore, fluctuations in foreign currencies could have a negative impact on the profitability of our global operations, which would harm our financial results.</w:t>
      </w:r>
    </w:p>
    <w:p>
      <w:pPr>
        <w:spacing w:after="0" w:line="1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Any failure to remediate or prevent future operational deficiencies in our Latin American or other international business operations could have a harmful effect on our operating results and financial condition.</w:t>
      </w:r>
    </w:p>
    <w:p>
      <w:pPr>
        <w:spacing w:after="0" w:line="1" w:lineRule="exact"/>
        <w:rPr>
          <w:sz w:val="20"/>
          <w:szCs w:val="20"/>
          <w:color w:val="auto"/>
        </w:rPr>
      </w:pPr>
    </w:p>
    <w:p>
      <w:pPr>
        <w:ind w:right="40" w:firstLine="401"/>
        <w:spacing w:after="0" w:line="253" w:lineRule="auto"/>
        <w:rPr>
          <w:sz w:val="20"/>
          <w:szCs w:val="20"/>
          <w:color w:val="auto"/>
        </w:rPr>
      </w:pPr>
      <w:r>
        <w:rPr>
          <w:rFonts w:ascii="Times New Roman" w:cs="Times New Roman" w:eastAsia="Times New Roman" w:hAnsi="Times New Roman"/>
          <w:sz w:val="18"/>
          <w:szCs w:val="18"/>
          <w:color w:val="auto"/>
        </w:rPr>
        <w:t>During the quarter ended September 30, 2005, in connection with internal reviews conducted as a result of improvements we made in our program management and contracts administration processes in Latin America, we identified approximately $3.2 million in reductions of gross margin related to contract adjustments. Approximately $1.4 million of these adjustments represent an increase in estimated costs on certain contracts due to poor program management which resulted in cost overruns and the performance of out of scope and additional work without formal change order documentation or pricing increases from customers. The remainder of these adjustments resulted in a reduction of expected revenues of approximately $1.8 million. In response to these operational deficiencies, we have replaced certain managers in these operations and are currently designing and implementing a new and improved control environment in our Latin American operations. We have incurred costs associated with these internal reviews and corrective actions and we expect to incur significant additional costs in connection with the reorganization of our entire Latin American operations. There can be no assurance that we will not discover additional instances of operational breakdowns in our Latin American operations or any of our other international business operations. Any failure to remediate the deficiencies identified in our Latin American operations, or to implement improved operational processes, or difficulties encountered in their implementation, could result in further material contract adjustments and other significant expenses which would harm our operating results and financial condition. In addition, operational issues of the type identified in our Latin American operations could harm our reputation and cause investors to lose confidence in our international operations, which would have a negative effect on the price of our common stock.</w:t>
      </w:r>
    </w:p>
    <w:p>
      <w:pPr>
        <w:spacing w:after="0" w:line="13" w:lineRule="exact"/>
        <w:rPr>
          <w:sz w:val="20"/>
          <w:szCs w:val="20"/>
          <w:color w:val="auto"/>
        </w:rPr>
      </w:pPr>
    </w:p>
    <w:p>
      <w:pPr>
        <w:ind w:right="80" w:firstLine="401"/>
        <w:spacing w:after="0" w:line="261" w:lineRule="auto"/>
        <w:rPr>
          <w:sz w:val="20"/>
          <w:szCs w:val="20"/>
          <w:color w:val="auto"/>
        </w:rPr>
      </w:pPr>
      <w:r>
        <w:rPr>
          <w:rFonts w:ascii="Times New Roman" w:cs="Times New Roman" w:eastAsia="Times New Roman" w:hAnsi="Times New Roman"/>
          <w:sz w:val="18"/>
          <w:szCs w:val="18"/>
          <w:color w:val="auto"/>
        </w:rPr>
        <w:t>As a result of the operational deficiencies identified in Latin America, we are significantly scaling back on new site deployment plans in Latin America for the upcoming fiscal quarters. Accordingly, we anticipate a reduction of revenue in the fourth quarter of 2005 from our prior forecast and may further experience a loss of certain current contracts or an inability to collect on accounts receivable in Latin America, each of which could have a significant negative affect on our results of operations and financial condition.</w:t>
      </w:r>
    </w:p>
    <w:p>
      <w:pPr>
        <w:spacing w:after="0"/>
        <w:rPr>
          <w:sz w:val="20"/>
          <w:szCs w:val="20"/>
          <w:color w:val="auto"/>
        </w:rPr>
      </w:pPr>
      <w:r>
        <w:rPr>
          <w:rFonts w:ascii="Times New Roman" w:cs="Times New Roman" w:eastAsia="Times New Roman" w:hAnsi="Times New Roman"/>
          <w:sz w:val="18"/>
          <w:szCs w:val="18"/>
          <w:b w:val="1"/>
          <w:bCs w:val="1"/>
          <w:color w:val="auto"/>
        </w:rPr>
        <w:t>Future changes in financial accounting standards may cause adverse unexpected revenue fluctuations and affect our reported results of operations.</w:t>
      </w:r>
    </w:p>
    <w:p>
      <w:pPr>
        <w:spacing w:after="0" w:line="40" w:lineRule="exact"/>
        <w:rPr>
          <w:sz w:val="20"/>
          <w:szCs w:val="20"/>
          <w:color w:val="auto"/>
        </w:rPr>
      </w:pPr>
    </w:p>
    <w:p>
      <w:pPr>
        <w:jc w:val="both"/>
        <w:ind w:right="240" w:firstLine="454"/>
        <w:spacing w:after="0" w:line="266" w:lineRule="auto"/>
        <w:rPr>
          <w:sz w:val="20"/>
          <w:szCs w:val="20"/>
          <w:color w:val="auto"/>
        </w:rPr>
      </w:pPr>
      <w:r>
        <w:rPr>
          <w:rFonts w:ascii="Times New Roman" w:cs="Times New Roman" w:eastAsia="Times New Roman" w:hAnsi="Times New Roman"/>
          <w:sz w:val="18"/>
          <w:szCs w:val="18"/>
          <w:color w:val="auto"/>
        </w:rPr>
        <w:t>A change in accounting standards could have a significant effect on our reported results and may even affect our reporting of transactions completed before the change is effective. In December 2004, the Financial Accounting Standards Board issued Statement of Accounting Standards No. 123 (revised 2004).</w:t>
      </w:r>
    </w:p>
    <w:p>
      <w:pPr>
        <w:spacing w:after="0" w:line="174" w:lineRule="exact"/>
        <w:rPr>
          <w:sz w:val="20"/>
          <w:szCs w:val="20"/>
          <w:color w:val="auto"/>
        </w:rPr>
      </w:pPr>
    </w:p>
    <w:p>
      <w:pPr>
        <w:ind w:firstLine="45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(SFAS No. 123R), a revision of FASB Statement 123 Accounting for</w:t>
      </w:r>
      <w:r>
        <w:rPr>
          <w:rFonts w:ascii="Times New Roman" w:cs="Times New Roman" w:eastAsia="Times New Roman" w:hAnsi="Times New Roman"/>
          <w:sz w:val="18"/>
          <w:szCs w:val="18"/>
          <w:i w:val="1"/>
          <w:iCs w:val="1"/>
          <w:color w:val="auto"/>
        </w:rPr>
        <w:t xml:space="preserve"> Stock-Based Compensation</w:t>
      </w:r>
      <w:r>
        <w:rPr>
          <w:rFonts w:ascii="Times New Roman" w:cs="Times New Roman" w:eastAsia="Times New Roman" w:hAnsi="Times New Roman"/>
          <w:sz w:val="18"/>
          <w:szCs w:val="18"/>
          <w:color w:val="auto"/>
        </w:rPr>
        <w:t>, which requires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record compensation expense in the statement of operations for employee stock options using the fair value method. Implementation of this statement as required during the beginning of fiscal year 2006 will have a significant negative effect on our reported results and may impair our ability to use equity compensation to attract and retain skilled personnel. New pronouncements and varying interpretations of pronouncements have occurred and may occur in the future. Changes to existing rules or the questioning of current practices may adversely affect our reported financial results or the way we conduct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maintain an effective system of internal controls, we may not be able to accurately report our financial results or prevent fraud.</w:t>
      </w:r>
    </w:p>
    <w:p>
      <w:pPr>
        <w:spacing w:after="0" w:line="270" w:lineRule="exact"/>
        <w:rPr>
          <w:sz w:val="20"/>
          <w:szCs w:val="20"/>
          <w:color w:val="auto"/>
        </w:rPr>
      </w:pPr>
    </w:p>
    <w:p>
      <w:pPr>
        <w:ind w:firstLine="454"/>
        <w:spacing w:after="0" w:line="282" w:lineRule="auto"/>
        <w:rPr>
          <w:sz w:val="20"/>
          <w:szCs w:val="20"/>
          <w:color w:val="auto"/>
        </w:rPr>
      </w:pPr>
      <w:r>
        <w:rPr>
          <w:rFonts w:ascii="Times New Roman" w:cs="Times New Roman" w:eastAsia="Times New Roman" w:hAnsi="Times New Roman"/>
          <w:sz w:val="18"/>
          <w:szCs w:val="18"/>
          <w:color w:val="auto"/>
        </w:rPr>
        <w:t>As described in Item 4 of this Report, in light of the control deficiencies identified during the period covered by this Report, management was unable to conclude that our disclosure controls and procedures were effective as of September 30, 2005.</w:t>
      </w:r>
    </w:p>
    <w:p>
      <w:pPr>
        <w:spacing w:after="0" w:line="162" w:lineRule="exact"/>
        <w:rPr>
          <w:sz w:val="20"/>
          <w:szCs w:val="20"/>
          <w:color w:val="auto"/>
        </w:rPr>
      </w:pPr>
    </w:p>
    <w:p>
      <w:pPr>
        <w:ind w:right="120" w:firstLine="454"/>
        <w:spacing w:after="0" w:line="256" w:lineRule="auto"/>
        <w:rPr>
          <w:sz w:val="20"/>
          <w:szCs w:val="20"/>
          <w:color w:val="auto"/>
        </w:rPr>
      </w:pPr>
      <w:r>
        <w:rPr>
          <w:rFonts w:ascii="Times New Roman" w:cs="Times New Roman" w:eastAsia="Times New Roman" w:hAnsi="Times New Roman"/>
          <w:sz w:val="18"/>
          <w:szCs w:val="18"/>
          <w:color w:val="auto"/>
        </w:rPr>
        <w:t>As a result of these findings, we have implemented, and continue to implement, actions to address these deficiencies and to enhance the reliability and effectiveness of our internal controls and operations. However, we cannot assure you that the measures we have taken to date or any future measures will remediate the control deficiencies identified during the period covered by this Report, or that we will implement and maintain adequate controls over our financial processes and reporting in the future. In addition, there can be no assurance that we will not discover additional instances of breakdowns in our internal controls and operations of the types that led to the restatement of our financial statements for the fiscal years ended December 31, 2001, 2002 and 2003, or the material weakness identified in Item 9A of Amendment No. 1 to our annual report on Form 10-K for the year ended December 31, 2004.</w:t>
      </w:r>
    </w:p>
    <w:p>
      <w:pPr>
        <w:spacing w:after="0" w:line="188" w:lineRule="exact"/>
        <w:rPr>
          <w:sz w:val="20"/>
          <w:szCs w:val="20"/>
          <w:color w:val="auto"/>
        </w:rPr>
      </w:pPr>
    </w:p>
    <w:p>
      <w:pPr>
        <w:ind w:right="20" w:firstLine="454"/>
        <w:spacing w:after="0" w:line="258" w:lineRule="auto"/>
        <w:rPr>
          <w:sz w:val="20"/>
          <w:szCs w:val="20"/>
          <w:color w:val="auto"/>
        </w:rPr>
      </w:pPr>
      <w:r>
        <w:rPr>
          <w:rFonts w:ascii="Times New Roman" w:cs="Times New Roman" w:eastAsia="Times New Roman" w:hAnsi="Times New Roman"/>
          <w:sz w:val="18"/>
          <w:szCs w:val="18"/>
          <w:color w:val="auto"/>
        </w:rPr>
        <w:t>Any failure to remediate the control deficiencies identified during the period covered by this Report or the material weakness previously disclosed or to implement required new or improved controls, or difficulties encountered in their implementation, could harm our operating results, cause us to fail to meet our reporting obligations or result in material misstatements in our financial statements. Inferior internal controls could also cause investors to lose confidence in our reported financial information, which could have a negative effect on the trading price of our stock. Moreover, we will be required to expend significant resources to maintain a system of internal controls that is adequate to satisfy our reporting obligations as a public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changing regulation of corporate governance and public disclosure may result in additional expenses.</w:t>
      </w:r>
    </w:p>
    <w:p>
      <w:pPr>
        <w:spacing w:after="0" w:line="40" w:lineRule="exact"/>
        <w:rPr>
          <w:sz w:val="20"/>
          <w:szCs w:val="20"/>
          <w:color w:val="auto"/>
        </w:rPr>
      </w:pPr>
    </w:p>
    <w:p>
      <w:pPr>
        <w:ind w:right="380" w:firstLine="401"/>
        <w:spacing w:after="0" w:line="266"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including the Sarbanes-Oxley Act of 2002, newly enacted SEC regulations and Nasdaq Stock Market rules, are creating uncertainty for companies such as ours. We are committed to maintaining high standards of corporate governance and public disclosure. As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result, we intend to invest appropriate resources to comply with evolving standards. This investment has resulted in increased estimated costs of over $1.5 million and may continue to result in increased general and administrative expenses and a diversion of management time and attention from revenue-</w:t>
      </w:r>
    </w:p>
    <w:p>
      <w:pPr>
        <w:sectPr>
          <w:pgSz w:w="11900" w:h="16947" w:orient="portrait"/>
          <w:cols w:equalWidth="0" w:num="1">
            <w:col w:w="11400"/>
          </w:cols>
          <w:pgMar w:left="240" w:top="130" w:right="259"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generating activities to compliance activities.</w:t>
      </w:r>
    </w:p>
    <w:p>
      <w:pPr>
        <w:spacing w:after="0" w:line="4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If our officers, directors and principal stockholders choose to act together, they may be able to exert significant influence over our management and operations, acting in their best interests and not in the best interest of other stockholders.</w:t>
      </w:r>
    </w:p>
    <w:p>
      <w:pPr>
        <w:spacing w:after="0" w:line="159"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As of September 30, 2005, our executive officers and directors and their affiliates beneficially owned, in the aggregate, approximately 34.9% of our outstanding common stock, after giving effect to the conversion of Series B Convertible Preferred Stock. In particular, our current Executive Chairman, Masood K. Tayebi, beneficially owned, approximately 13.4% of our outstanding common stock. The remaining 21.5% is beneficially owned by certain of our other officers and directors and their affiliates. In addition, other members of the Tayebi family owned approximately 21.8% of our outstanding common stock. As a result, the executive officers, directors and their affiliates are able to collectively exercise significant control over matters requiring stockholder approval, such as the election of directors and the approval of significant corporate transactions. The interests of this group of stockholders may not always coincide with our interests or the interests of other stockholders, and they may act in a manner that advances their best interests and not necessarily those of other stockholders. As a result of their actions or inactions, our stock price may decline.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need additional capital in the future to fund the growth of our business, and financing may not be available.</w:t>
      </w:r>
    </w:p>
    <w:p>
      <w:pPr>
        <w:spacing w:after="0" w:line="54" w:lineRule="exact"/>
        <w:rPr>
          <w:sz w:val="20"/>
          <w:szCs w:val="20"/>
          <w:color w:val="auto"/>
        </w:rPr>
      </w:pPr>
    </w:p>
    <w:p>
      <w:pPr>
        <w:ind w:right="20" w:firstLine="401"/>
        <w:spacing w:after="0" w:line="253" w:lineRule="auto"/>
        <w:rPr>
          <w:sz w:val="20"/>
          <w:szCs w:val="20"/>
          <w:color w:val="auto"/>
        </w:rPr>
      </w:pPr>
      <w:r>
        <w:rPr>
          <w:rFonts w:ascii="Times New Roman" w:cs="Times New Roman" w:eastAsia="Times New Roman" w:hAnsi="Times New Roman"/>
          <w:sz w:val="18"/>
          <w:szCs w:val="18"/>
          <w:color w:val="auto"/>
        </w:rPr>
        <w:t>We currently anticipate that our available capital resources and operating income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 We may raise additional funds through public or private debt or equity financings if such financings become available on favorable terms or we may expand our current $15 million senior credit facility up to $60 million to fund future acquisitions. We also filed a universal shelf registration statement on Form S-3. Under this shelf registration statement, we may sell, in one or more public offerings, shares of newly issued common stock or preferred stock, warrants or debt securities, or any combination of such securities, for proceeds in an aggregate amount of up to $200 million. Such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may harm our business or otherwise distract our management.</w:t>
      </w:r>
    </w:p>
    <w:p>
      <w:pPr>
        <w:spacing w:after="0" w:line="40" w:lineRule="exact"/>
        <w:rPr>
          <w:sz w:val="20"/>
          <w:szCs w:val="20"/>
          <w:color w:val="auto"/>
        </w:rPr>
      </w:pPr>
    </w:p>
    <w:p>
      <w:pPr>
        <w:ind w:right="600" w:firstLine="401"/>
        <w:spacing w:after="0" w:line="266" w:lineRule="auto"/>
        <w:rPr>
          <w:sz w:val="20"/>
          <w:szCs w:val="20"/>
          <w:color w:val="auto"/>
        </w:rPr>
      </w:pPr>
      <w:r>
        <w:rPr>
          <w:rFonts w:ascii="Times New Roman" w:cs="Times New Roman" w:eastAsia="Times New Roman" w:hAnsi="Times New Roman"/>
          <w:sz w:val="18"/>
          <w:szCs w:val="18"/>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we will always be able to resolve such disputes on terms favorable to us.</w:t>
      </w:r>
    </w:p>
    <w:p>
      <w:pPr>
        <w:spacing w:after="0" w:line="1" w:lineRule="exact"/>
        <w:rPr>
          <w:sz w:val="20"/>
          <w:szCs w:val="20"/>
          <w:color w:val="auto"/>
        </w:rPr>
      </w:pPr>
    </w:p>
    <w:p>
      <w:pPr>
        <w:ind w:right="80" w:firstLine="454"/>
        <w:spacing w:after="0" w:line="261" w:lineRule="auto"/>
        <w:rPr>
          <w:sz w:val="20"/>
          <w:szCs w:val="20"/>
          <w:color w:val="auto"/>
        </w:rPr>
      </w:pPr>
      <w:r>
        <w:rPr>
          <w:rFonts w:ascii="Times New Roman" w:cs="Times New Roman" w:eastAsia="Times New Roman" w:hAnsi="Times New Roman"/>
          <w:sz w:val="18"/>
          <w:szCs w:val="18"/>
          <w:color w:val="auto"/>
        </w:rPr>
        <w:t>In addition, we and certain of our current and former officers and directors have been named defendants in class action and derivative lawsuits. While we believe that the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rPr>
          <w:sz w:val="20"/>
          <w:szCs w:val="20"/>
          <w:color w:val="auto"/>
        </w:rPr>
      </w:pPr>
      <w:r>
        <w:rPr>
          <w:rFonts w:ascii="Times New Roman" w:cs="Times New Roman" w:eastAsia="Times New Roman" w:hAnsi="Times New Roman"/>
          <w:sz w:val="18"/>
          <w:szCs w:val="18"/>
          <w:b w:val="1"/>
          <w:bCs w:val="1"/>
          <w:color w:val="auto"/>
        </w:rPr>
        <w:t>Disclosure of trade secrets could aid our competitors</w:t>
      </w:r>
      <w:r>
        <w:rPr>
          <w:rFonts w:ascii="Times New Roman" w:cs="Times New Roman" w:eastAsia="Times New Roman" w:hAnsi="Times New Roman"/>
          <w:sz w:val="18"/>
          <w:szCs w:val="18"/>
          <w:color w:val="auto"/>
        </w:rPr>
        <w:t>.</w:t>
      </w:r>
    </w:p>
    <w:p>
      <w:pPr>
        <w:spacing w:after="0" w:line="40"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We attempt to protect our trade secrets by entering into confidentiality agreements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our trade secrets become known we may lose our competitive position.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 which may result in lawsuits against us and our officers and directors.</w:t>
      </w:r>
    </w:p>
    <w:p>
      <w:pPr>
        <w:spacing w:after="0" w:line="54"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stock prices of technology and telecommunications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20" w:lineRule="exact"/>
        <w:rPr>
          <w:sz w:val="20"/>
          <w:szCs w:val="20"/>
          <w:color w:val="auto"/>
        </w:rPr>
      </w:pPr>
    </w:p>
    <w:p>
      <w:pPr>
        <w:ind w:left="820" w:hanging="320"/>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quarterly variations in operating results;</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new services by us or our competitors;</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20" w:hanging="320"/>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loss of significant customers;</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analysts’ earnings estimates;</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rumors or dissemination of false information;</w:t>
      </w:r>
    </w:p>
    <w:p>
      <w:pPr>
        <w:spacing w:after="0" w:line="17"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pricing pressures;</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short selling of our common stock;</w:t>
      </w:r>
    </w:p>
    <w:p>
      <w:pPr>
        <w:spacing w:after="0" w:line="17"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impact of litigation;</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conditions in the market;</w:t>
      </w:r>
    </w:p>
    <w:p>
      <w:pPr>
        <w:spacing w:after="0" w:line="30"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political and/or military events associated with current worldwide conflicts; and</w:t>
      </w:r>
    </w:p>
    <w:p>
      <w:pPr>
        <w:spacing w:after="0" w:line="17" w:lineRule="exact"/>
        <w:rPr>
          <w:rFonts w:ascii="Times New Roman" w:cs="Times New Roman" w:eastAsia="Times New Roman" w:hAnsi="Times New Roman"/>
          <w:sz w:val="22"/>
          <w:szCs w:val="22"/>
          <w:color w:val="auto"/>
        </w:rPr>
      </w:pPr>
    </w:p>
    <w:p>
      <w:pPr>
        <w:ind w:left="820" w:hanging="320"/>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events affecting other companies that investors deem comparable to us.</w:t>
      </w:r>
    </w:p>
    <w:p>
      <w:pPr>
        <w:spacing w:after="0" w:line="22" w:lineRule="exact"/>
        <w:rPr>
          <w:sz w:val="20"/>
          <w:szCs w:val="20"/>
          <w:color w:val="auto"/>
        </w:rPr>
      </w:pPr>
    </w:p>
    <w:p>
      <w:pPr>
        <w:ind w:right="20" w:firstLine="401"/>
        <w:spacing w:after="0" w:line="261" w:lineRule="auto"/>
        <w:rPr>
          <w:sz w:val="20"/>
          <w:szCs w:val="20"/>
          <w:color w:val="auto"/>
        </w:rPr>
      </w:pPr>
      <w:r>
        <w:rPr>
          <w:rFonts w:ascii="Times New Roman" w:cs="Times New Roman" w:eastAsia="Times New Roman" w:hAnsi="Times New Roman"/>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rPr>
          <w:sz w:val="20"/>
          <w:szCs w:val="20"/>
          <w:color w:val="auto"/>
        </w:rPr>
      </w:pPr>
      <w:r>
        <w:rPr>
          <w:rFonts w:ascii="Times New Roman" w:cs="Times New Roman" w:eastAsia="Times New Roman" w:hAnsi="Times New Roman"/>
          <w:sz w:val="18"/>
          <w:szCs w:val="18"/>
          <w:b w:val="1"/>
          <w:bCs w:val="1"/>
          <w:color w:val="auto"/>
        </w:rPr>
        <w:t>Our charter documents and Delaware law may deter potential acquirers and may depress our stock price.</w:t>
      </w:r>
    </w:p>
    <w:p>
      <w:pPr>
        <w:spacing w:after="0" w:line="40" w:lineRule="exact"/>
        <w:rPr>
          <w:sz w:val="20"/>
          <w:szCs w:val="20"/>
          <w:color w:val="auto"/>
        </w:rPr>
      </w:pPr>
    </w:p>
    <w:p>
      <w:pPr>
        <w:ind w:right="160" w:firstLine="401"/>
        <w:spacing w:after="0" w:line="274" w:lineRule="auto"/>
        <w:rPr>
          <w:sz w:val="20"/>
          <w:szCs w:val="20"/>
          <w:color w:val="auto"/>
        </w:rPr>
      </w:pPr>
      <w:r>
        <w:rPr>
          <w:rFonts w:ascii="Times New Roman" w:cs="Times New Roman" w:eastAsia="Times New Roman" w:hAnsi="Times New Roman"/>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ind w:left="840" w:hanging="340"/>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board of directors to issue preferred stock;</w:t>
      </w:r>
    </w:p>
    <w:p>
      <w:pPr>
        <w:spacing w:after="0" w:line="49" w:lineRule="exact"/>
        <w:rPr>
          <w:rFonts w:ascii="Times New Roman" w:cs="Times New Roman" w:eastAsia="Times New Roman" w:hAnsi="Times New Roman"/>
          <w:sz w:val="18"/>
          <w:szCs w:val="18"/>
          <w:color w:val="auto"/>
        </w:rPr>
      </w:pPr>
    </w:p>
    <w:p>
      <w:pPr>
        <w:ind w:left="840" w:hanging="340"/>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36" w:lineRule="exact"/>
        <w:rPr>
          <w:rFonts w:ascii="Times New Roman" w:cs="Times New Roman" w:eastAsia="Times New Roman" w:hAnsi="Times New Roman"/>
          <w:sz w:val="18"/>
          <w:szCs w:val="18"/>
          <w:color w:val="auto"/>
        </w:rPr>
      </w:pPr>
    </w:p>
    <w:p>
      <w:pPr>
        <w:ind w:left="840" w:hanging="340"/>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ectPr>
          <w:pgSz w:w="11900" w:h="16838" w:orient="portrait"/>
          <w:cols w:equalWidth="0" w:num="1">
            <w:col w:w="11380"/>
          </w:cols>
          <w:pgMar w:left="240" w:top="121" w:right="279" w:bottom="0" w:gutter="0" w:footer="0" w:header="0"/>
        </w:sectPr>
      </w:pPr>
    </w:p>
    <w:bookmarkStart w:id="25" w:name="page26"/>
    <w:bookmarkEnd w:id="25"/>
    <w:p>
      <w:pPr>
        <w:ind w:left="820" w:right="260" w:hanging="320"/>
        <w:spacing w:after="0" w:line="274" w:lineRule="auto"/>
        <w:tabs>
          <w:tab w:leader="none" w:pos="8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meetings of our stockholders;</w:t>
      </w:r>
    </w:p>
    <w:p>
      <w:pPr>
        <w:ind w:left="820" w:hanging="320"/>
        <w:spacing w:after="0" w:line="266" w:lineRule="auto"/>
        <w:tabs>
          <w:tab w:leader="none" w:pos="8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of the Delaware General Corporation Law, which prohibits us from engaging in a business combination with an interested stockholder unless specific conditions are met; and</w:t>
      </w:r>
    </w:p>
    <w:p>
      <w:pPr>
        <w:ind w:left="840" w:hanging="340"/>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our executives have agreements with us that entitle them to payments in certain circumstances following a change in control.</w:t>
      </w:r>
    </w:p>
    <w:p>
      <w:pPr>
        <w:spacing w:after="0" w:line="50" w:lineRule="exact"/>
        <w:rPr>
          <w:sz w:val="20"/>
          <w:szCs w:val="20"/>
          <w:color w:val="auto"/>
        </w:rPr>
      </w:pPr>
    </w:p>
    <w:p>
      <w:pPr>
        <w:ind w:firstLine="454"/>
        <w:spacing w:after="0" w:line="255" w:lineRule="auto"/>
        <w:rPr>
          <w:sz w:val="20"/>
          <w:szCs w:val="20"/>
          <w:color w:val="auto"/>
        </w:rPr>
      </w:pPr>
      <w:r>
        <w:rPr>
          <w:rFonts w:ascii="Times New Roman" w:cs="Times New Roman" w:eastAsia="Times New Roman" w:hAnsi="Times New Roman"/>
          <w:sz w:val="18"/>
          <w:szCs w:val="18"/>
          <w:color w:val="auto"/>
        </w:rPr>
        <w:t>In addition, on December 16, 2004, we adopted a stockholder rights plan (“Rights Plan”). Pursuant to the Rights Plan, our Board of Directors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of Directors, each Right will entitle its holder to purchase, at the Rights then-current exercise price, a number of the acquiring company’s common shares having a market value at the time of twice the Rights exercise price.</w:t>
      </w:r>
    </w:p>
    <w:p>
      <w:pPr>
        <w:spacing w:after="0" w:line="14" w:lineRule="exact"/>
        <w:rPr>
          <w:sz w:val="20"/>
          <w:szCs w:val="20"/>
          <w:color w:val="auto"/>
        </w:rPr>
      </w:pPr>
    </w:p>
    <w:p>
      <w:pPr>
        <w:ind w:right="80" w:firstLine="401"/>
        <w:spacing w:after="0" w:line="282" w:lineRule="auto"/>
        <w:rPr>
          <w:sz w:val="20"/>
          <w:szCs w:val="20"/>
          <w:color w:val="auto"/>
        </w:rPr>
      </w:pPr>
      <w:r>
        <w:rPr>
          <w:rFonts w:ascii="Times New Roman" w:cs="Times New Roman" w:eastAsia="Times New Roman" w:hAnsi="Times New Roman"/>
          <w:sz w:val="18"/>
          <w:szCs w:val="18"/>
          <w:color w:val="auto"/>
        </w:rPr>
        <w:t>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54" w:lineRule="exact"/>
        <w:rPr>
          <w:sz w:val="20"/>
          <w:szCs w:val="20"/>
          <w:color w:val="auto"/>
        </w:rPr>
      </w:pPr>
    </w:p>
    <w:p>
      <w:pPr>
        <w:ind w:firstLine="401"/>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risks due to both transactions and translations between functional and reporting currencies in our Argentinean, Mexican, Brazilian and European foreign subsidiaries. We are exposed to the impact of foreign currency fluctuations due to the operations of and net monetary asset and liability positions in our Argentina, Mexico, Brazil and European foreign subsidiaries. Significant monetary assets and liabilities expected to be realized in the foreseeable future include trade receivables, trade payables and certain intercompany payables that are not denominated in their local functional currencies. As of September 30, 2005, our Argentinean, Mexican, Brazilian and European subsidiaries were in average net asset positions (i.e. monetary liabilities were greater than monetary assets subject to foreign currency risks) of approximately $3.8 million, $12.8 million, $12.2 million and $13.6 million, respectively. The potential foreign currency translation losses from a hypothetical 10% adverse change in the exchange rates from the net asset or liability positions at September 30, 2005 were approximately $0.4 million, $1.3 million, $1.2 million and $1.4 million for the Argentina, Mexico, Brazil and European subsidiaries, respectively. In the event that the functional currency of China does not continue to be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U.S. dollar, we may be exposed to foreign currency fluctuations.</w:t>
      </w:r>
    </w:p>
    <w:p>
      <w:pPr>
        <w:spacing w:after="0" w:line="50" w:lineRule="exact"/>
        <w:rPr>
          <w:sz w:val="20"/>
          <w:szCs w:val="20"/>
          <w:color w:val="auto"/>
        </w:rPr>
      </w:pPr>
    </w:p>
    <w:p>
      <w:pPr>
        <w:ind w:right="60" w:firstLine="401"/>
        <w:spacing w:after="0" w:line="266" w:lineRule="auto"/>
        <w:rPr>
          <w:sz w:val="20"/>
          <w:szCs w:val="20"/>
          <w:color w:val="auto"/>
        </w:rPr>
      </w:pPr>
      <w:r>
        <w:rPr>
          <w:rFonts w:ascii="Times New Roman" w:cs="Times New Roman" w:eastAsia="Times New Roman" w:hAnsi="Times New Roman"/>
          <w:sz w:val="18"/>
          <w:szCs w:val="18"/>
          <w:color w:val="auto"/>
        </w:rPr>
        <w:t>In addition, we estimate that an immediate 10% change in foreign exchange rates would impact reported net income or loss by approximately $0.2 million for the nine months ended September 30, 2005. This was estimated using a 10% deterioration factor to the average monthly exchange rates applied to net income or loss for each of the related subsidiaries in the respective period.</w:t>
      </w:r>
    </w:p>
    <w:p>
      <w:pPr>
        <w:spacing w:after="0" w:line="1" w:lineRule="exact"/>
        <w:rPr>
          <w:sz w:val="20"/>
          <w:szCs w:val="20"/>
          <w:color w:val="auto"/>
        </w:rPr>
      </w:pPr>
    </w:p>
    <w:p>
      <w:pPr>
        <w:ind w:right="180" w:firstLine="401"/>
        <w:spacing w:after="0" w:line="266" w:lineRule="auto"/>
        <w:rPr>
          <w:sz w:val="20"/>
          <w:szCs w:val="20"/>
          <w:color w:val="auto"/>
        </w:rPr>
      </w:pPr>
      <w:r>
        <w:rPr>
          <w:rFonts w:ascii="Times New Roman" w:cs="Times New Roman" w:eastAsia="Times New Roman" w:hAnsi="Times New Roman"/>
          <w:sz w:val="18"/>
          <w:szCs w:val="18"/>
          <w:color w:val="auto"/>
        </w:rPr>
        <w:t>Due to the difficulty in determining and obtaining predictable cash flow forecasts in our foreign operations based on the overall challenging economic environment and associated contract structures, we do not currently utilize any derivative financial instruments to hedge foreign currency risks.</w:t>
      </w:r>
    </w:p>
    <w:p>
      <w:pPr>
        <w:ind w:right="60" w:firstLine="401"/>
        <w:spacing w:after="0" w:line="261" w:lineRule="auto"/>
        <w:rPr>
          <w:sz w:val="20"/>
          <w:szCs w:val="20"/>
          <w:color w:val="auto"/>
        </w:rPr>
      </w:pPr>
      <w:r>
        <w:rPr>
          <w:rFonts w:ascii="Times New Roman" w:cs="Times New Roman" w:eastAsia="Times New Roman" w:hAnsi="Times New Roman"/>
          <w:sz w:val="18"/>
          <w:szCs w:val="18"/>
          <w:color w:val="auto"/>
        </w:rPr>
        <w:t>Cash and cash equivalents and restricted cash as of September 30, 2005 were $16.5 million and are primarily invested in money market interest bearing accounts and corporate securities which are primarily comprised of auction rate securities which are repurchased in 7 to 28 day increments. A hypothetical 10% adverse change in the average interest rate on our money market cash investments would have had no effect on net income for the nine months ended September 30, 2005. We currently do not utilize any derivative financial instruments to hedge interest rate risks.</w:t>
      </w: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7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2005, we identified conditions that indicate that our internal controls over financial reporting and our disclosure controls and procedures may not be effective as they relate to our Latin American operations and have identified the following required improvements: (i) a thorough review of all existing contractual documents is required to ensure that we have the proper formal contractual documentation necessary to support the project estimate at completion computation and (ii) additional procedures are required to ensure that certain expenditures have been properly classified as project direct costs.</w:t>
      </w:r>
    </w:p>
    <w:p>
      <w:pPr>
        <w:spacing w:after="0" w:line="18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light of the control deficiencies in our Latin American operations that we identified during the period covered by the report, management was unable to conclude that our disclosure controls and procedures were effective as of September 30, 2005.</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currently are designing and implementing a new and improved control environment in our Latin American operations to address the deficiencies described above, including the replacement of certain managers in these operations in the fourth quarter of 2005. We plan to implement the internal control design improvements in the fourth quarter and expect to be able to verify the operating effectiveness of these new controls by December 31, 2005. However, due to the limited time period remaining in the current fiscal year, we cannot be assured that we will have sufficient time to prove the operating effectiveness of these new and improved controls by December 31, 2005.</w:t>
      </w:r>
    </w:p>
    <w:p>
      <w:pPr>
        <w:spacing w:after="0" w:line="18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Except as described in this paragraph, there was no change in our internal control over financial reporting (as defined in Rules 240.13a-15(f) and 240.15d-15(f) of the Exchange Act) during the fiscal quarter ended September 30, 2005 that has materially affected, or is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ectPr>
          <w:pgSz w:w="11900" w:h="16838" w:orient="portrait"/>
          <w:cols w:equalWidth="0" w:num="1">
            <w:col w:w="11400"/>
          </w:cols>
          <w:pgMar w:left="240" w:top="121" w:right="25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454"/>
        <w:spacing w:after="0" w:line="254" w:lineRule="auto"/>
        <w:rPr>
          <w:sz w:val="20"/>
          <w:szCs w:val="20"/>
          <w:color w:val="auto"/>
        </w:rPr>
      </w:pPr>
      <w:r>
        <w:rPr>
          <w:rFonts w:ascii="Times New Roman" w:cs="Times New Roman" w:eastAsia="Times New Roman" w:hAnsi="Times New Roman"/>
          <w:sz w:val="18"/>
          <w:szCs w:val="18"/>
          <w:color w:val="auto"/>
        </w:rPr>
        <w:t>Beginning in July 2001, the Company and certain of its former officers and directors (the “Individuals”) were named as defendants in a series of class action shareholder complaints filed in the U.S. District Court for the Southern District of New York, now consolidated into a single amended complaint captioned In re Buy.com, Inc. Initial Public Offering Securities Litigation, 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189" w:lineRule="exact"/>
        <w:rPr>
          <w:sz w:val="20"/>
          <w:szCs w:val="20"/>
          <w:color w:val="auto"/>
        </w:rPr>
      </w:pPr>
    </w:p>
    <w:p>
      <w:pPr>
        <w:ind w:right="260" w:firstLine="454"/>
        <w:spacing w:after="0" w:line="258" w:lineRule="auto"/>
        <w:rPr>
          <w:sz w:val="20"/>
          <w:szCs w:val="20"/>
          <w:color w:val="auto"/>
        </w:rPr>
      </w:pPr>
      <w:r>
        <w:rPr>
          <w:rFonts w:ascii="Times New Roman" w:cs="Times New Roman" w:eastAsia="Times New Roman" w:hAnsi="Times New Roman"/>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184" w:lineRule="exact"/>
        <w:rPr>
          <w:sz w:val="20"/>
          <w:szCs w:val="20"/>
          <w:color w:val="auto"/>
        </w:rPr>
      </w:pPr>
    </w:p>
    <w:p>
      <w:pPr>
        <w:ind w:right="60" w:firstLine="454"/>
        <w:spacing w:after="0" w:line="255" w:lineRule="auto"/>
        <w:rPr>
          <w:sz w:val="20"/>
          <w:szCs w:val="20"/>
          <w:color w:val="auto"/>
        </w:rPr>
      </w:pPr>
      <w:r>
        <w:rPr>
          <w:rFonts w:ascii="Times New Roman" w:cs="Times New Roman" w:eastAsia="Times New Roman" w:hAnsi="Times New Roman"/>
          <w:sz w:val="18"/>
          <w:szCs w:val="18"/>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In addition, the settlement is still subject to statutory notice requirements as well as final judicial approval. The Company does not expect the settlement to have a material impact on its operations or cash flow.</w:t>
      </w:r>
    </w:p>
    <w:p>
      <w:pPr>
        <w:spacing w:after="0" w:line="189" w:lineRule="exact"/>
        <w:rPr>
          <w:sz w:val="20"/>
          <w:szCs w:val="20"/>
          <w:color w:val="auto"/>
        </w:rPr>
      </w:pPr>
    </w:p>
    <w:p>
      <w:pPr>
        <w:ind w:right="20" w:firstLine="454"/>
        <w:spacing w:after="0" w:line="252" w:lineRule="auto"/>
        <w:rPr>
          <w:sz w:val="20"/>
          <w:szCs w:val="20"/>
          <w:color w:val="auto"/>
        </w:rPr>
      </w:pPr>
      <w:r>
        <w:rPr>
          <w:rFonts w:ascii="Times New Roman" w:cs="Times New Roman" w:eastAsia="Times New Roman" w:hAnsi="Times New Roman"/>
          <w:sz w:val="18"/>
          <w:szCs w:val="18"/>
          <w:color w:val="auto"/>
        </w:rPr>
        <w:t xml:space="preserve">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Times New Roman" w:cs="Times New Roman" w:eastAsia="Times New Roman" w:hAnsi="Times New Roman"/>
          <w:sz w:val="18"/>
          <w:szCs w:val="18"/>
          <w:i w:val="1"/>
          <w:iCs w:val="1"/>
          <w:color w:val="auto"/>
        </w:rPr>
        <w:t>In re Wireless Facilities,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Litigation</w:t>
      </w:r>
      <w:r>
        <w:rPr>
          <w:rFonts w:ascii="Times New Roman" w:cs="Times New Roman" w:eastAsia="Times New Roman" w:hAnsi="Times New Roman"/>
          <w:sz w:val="18"/>
          <w:szCs w:val="18"/>
          <w:color w:val="auto"/>
        </w:rPr>
        <w:t>, Master File No. 04CV1589-JAH. The plaintiffs filed their consolidated complaint in January 2005 and did not name the Company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the Defendants are currently awaiting the ruling on this motion.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95" w:lineRule="exact"/>
        <w:rPr>
          <w:sz w:val="20"/>
          <w:szCs w:val="20"/>
          <w:color w:val="auto"/>
        </w:rPr>
      </w:pPr>
    </w:p>
    <w:p>
      <w:pPr>
        <w:ind w:right="20" w:firstLine="454"/>
        <w:spacing w:after="0" w:line="261" w:lineRule="auto"/>
        <w:rPr>
          <w:sz w:val="20"/>
          <w:szCs w:val="20"/>
          <w:color w:val="auto"/>
        </w:rPr>
      </w:pPr>
      <w:r>
        <w:rPr>
          <w:rFonts w:ascii="Times New Roman" w:cs="Times New Roman" w:eastAsia="Times New Roman" w:hAnsi="Times New Roman"/>
          <w:sz w:val="18"/>
          <w:szCs w:val="18"/>
          <w:color w:val="auto"/>
        </w:rPr>
        <w:t xml:space="preserve">Two derivative lawsuits have been filed in the United States District Court for the Southern District of California against certain of the Company’s current and former officers and directors: </w:t>
      </w:r>
      <w:r>
        <w:rPr>
          <w:rFonts w:ascii="Times New Roman" w:cs="Times New Roman" w:eastAsia="Times New Roman" w:hAnsi="Times New Roman"/>
          <w:sz w:val="18"/>
          <w:szCs w:val="18"/>
          <w:i w:val="1"/>
          <w:iCs w:val="1"/>
          <w:color w:val="auto"/>
        </w:rPr>
        <w:t>Pedicini v. Wireless Facilities, Inc.,</w:t>
      </w:r>
      <w:r>
        <w:rPr>
          <w:rFonts w:ascii="Times New Roman" w:cs="Times New Roman" w:eastAsia="Times New Roman" w:hAnsi="Times New Roman"/>
          <w:sz w:val="18"/>
          <w:szCs w:val="18"/>
          <w:color w:val="auto"/>
        </w:rPr>
        <w:t xml:space="preserve"> Case No. 04CV1663; and </w:t>
      </w:r>
      <w:r>
        <w:rPr>
          <w:rFonts w:ascii="Times New Roman" w:cs="Times New Roman" w:eastAsia="Times New Roman" w:hAnsi="Times New Roman"/>
          <w:sz w:val="18"/>
          <w:szCs w:val="18"/>
          <w:i w:val="1"/>
          <w:iCs w:val="1"/>
          <w:color w:val="auto"/>
        </w:rPr>
        <w:t>Roth v. Wireless Facilities, Inc.,</w:t>
      </w:r>
      <w:r>
        <w:rPr>
          <w:rFonts w:ascii="Times New Roman" w:cs="Times New Roman" w:eastAsia="Times New Roman" w:hAnsi="Times New Roman"/>
          <w:sz w:val="18"/>
          <w:szCs w:val="18"/>
          <w:color w:val="auto"/>
        </w:rPr>
        <w:t xml:space="preserve"> Case No. 04CV1810. These actions have been consolidated into a single action in </w:t>
      </w:r>
      <w:r>
        <w:rPr>
          <w:rFonts w:ascii="Times New Roman" w:cs="Times New Roman" w:eastAsia="Times New Roman" w:hAnsi="Times New Roman"/>
          <w:sz w:val="18"/>
          <w:szCs w:val="18"/>
          <w:i w:val="1"/>
          <w:iCs w:val="1"/>
          <w:color w:val="auto"/>
        </w:rPr>
        <w:t>In re Wireless Facilities, Inc. Derivative Litigation</w:t>
      </w:r>
      <w:r>
        <w:rPr>
          <w:rFonts w:ascii="Times New Roman" w:cs="Times New Roman" w:eastAsia="Times New Roman" w:hAnsi="Times New Roman"/>
          <w:sz w:val="18"/>
          <w:szCs w:val="18"/>
          <w:color w:val="auto"/>
        </w:rPr>
        <w:t>, Lead Case No 04CV1663-JAH. The factual allegations in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The parties have agreed to postpone any hearing on these motions until after limited discovery is completed regarding the motion to dismiss the action against certain individual defendants based on lack of personal jurisdiction. This discovery is now expected to be completed by the end of November 2005.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93"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 xml:space="preserve">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w:t>
      </w:r>
      <w:r>
        <w:rPr>
          <w:rFonts w:ascii="Times New Roman" w:cs="Times New Roman" w:eastAsia="Times New Roman" w:hAnsi="Times New Roman"/>
          <w:sz w:val="18"/>
          <w:szCs w:val="18"/>
          <w:i w:val="1"/>
          <w:iCs w:val="1"/>
          <w:color w:val="auto"/>
        </w:rPr>
        <w:t>In re Wireless Facilities,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 Litigation, </w:t>
      </w:r>
      <w:r>
        <w:rPr>
          <w:rFonts w:ascii="Times New Roman" w:cs="Times New Roman" w:eastAsia="Times New Roman" w:hAnsi="Times New Roman"/>
          <w:sz w:val="18"/>
          <w:szCs w:val="18"/>
          <w:color w:val="auto"/>
        </w:rPr>
        <w:t>California Superior Court, San Diego County, Lead Case No. GIC 834253. The plaintiffs filed a Consolidated Shareholder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 on October 14, 2004. This action has been stayed pending a decision in federal court on a motion to dismiss the federal derivative lawsuits and there will be a hearing in April 2006 to evaluate the status of this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ectPr>
          <w:pgSz w:w="11900" w:h="16838" w:orient="portrait"/>
          <w:cols w:equalWidth="0" w:num="1">
            <w:col w:w="11380"/>
          </w:cols>
          <w:pgMar w:left="240" w:top="117" w:right="279" w:bottom="0" w:gutter="0" w:footer="0" w:header="0"/>
        </w:sectPr>
      </w:pPr>
    </w:p>
    <w:bookmarkStart w:id="27" w:name="page28"/>
    <w:bookmarkEnd w:id="27"/>
    <w:p>
      <w:pPr>
        <w:ind w:right="260" w:firstLine="454"/>
        <w:spacing w:after="0" w:line="255" w:lineRule="auto"/>
        <w:rPr>
          <w:sz w:val="20"/>
          <w:szCs w:val="20"/>
          <w:color w:val="auto"/>
        </w:rPr>
      </w:pPr>
      <w:r>
        <w:rPr>
          <w:rFonts w:ascii="Times New Roman" w:cs="Times New Roman" w:eastAsia="Times New Roman" w:hAnsi="Times New Roman"/>
          <w:sz w:val="18"/>
          <w:szCs w:val="18"/>
          <w:color w:val="auto"/>
        </w:rPr>
        <w:t>On January 19, 2005, the Company and a selling shareholder in a Company subsidiary in the ENS initiated an arbitration proceeding regarding the termination of employment of that individual from ENS. The amount in controversy was approximately $300,000.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the selling shareholder is claiming he is entitled to approximately $5.0 million. The arbitration is currently expected to occur during the second quarter of 2006. The Company is disputing the selling shareholder’s right to further compensation, his entitlement to an earn out payment and, if a payment is due, the early payment of any such amounts. The Company has accrued the contingent consideration as earned as of June 30, 2005 and does not believe any additional adjustment will be necessary.</w:t>
      </w:r>
    </w:p>
    <w:p>
      <w:pPr>
        <w:spacing w:after="0" w:line="189" w:lineRule="exact"/>
        <w:rPr>
          <w:sz w:val="20"/>
          <w:szCs w:val="20"/>
          <w:color w:val="auto"/>
        </w:rPr>
      </w:pPr>
    </w:p>
    <w:p>
      <w:pPr>
        <w:ind w:right="40" w:firstLine="454"/>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and Reports on Form 8-K:</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p>
        </w:tc>
        <w:tc>
          <w:tcPr>
            <w:tcW w:w="10000" w:type="dxa"/>
            <w:vAlign w:val="bottom"/>
          </w:tcPr>
          <w:p>
            <w:pPr>
              <w:spacing w:after="0"/>
              <w:rPr>
                <w:sz w:val="20"/>
                <w:szCs w:val="20"/>
                <w:color w:val="auto"/>
              </w:rPr>
            </w:pPr>
          </w:p>
        </w:tc>
      </w:tr>
      <w:tr>
        <w:trPr>
          <w:trHeight w:val="414"/>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Amended and Restated Certificate of Incorporation. (2)</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Bylaws in effect since November 5, 1999.(1)</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3.3</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Designations, Preferences and Rights of Series B Preferred Stock.(3)</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3.4</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Designations, Preferences and Rights of Series C Preferred Stock. (4)</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4.1</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 is made to Exhibits 3.1, 3.2, 3.3 and 3.4.</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4.2</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Specimen Stock Certificate.(1)</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4.3</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Agreement, dated as of December 16, 2004, between the Company and Wells Fargo, N.A. (4)</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10.50</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Stock Option Agreement under the 2005 Equity Incentive Plan (5)</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Periodic Report Certification by Chief Executive Officer of Quarterly Report on Form 10-Q for the quarterly period ended September</w:t>
            </w:r>
          </w:p>
        </w:tc>
      </w:tr>
      <w:tr>
        <w:trPr>
          <w:trHeight w:val="216"/>
        </w:trPr>
        <w:tc>
          <w:tcPr>
            <w:tcW w:w="1440" w:type="dxa"/>
            <w:vAlign w:val="bottom"/>
          </w:tcPr>
          <w:p>
            <w:pPr>
              <w:spacing w:after="0"/>
              <w:rPr>
                <w:sz w:val="18"/>
                <w:szCs w:val="18"/>
                <w:color w:val="auto"/>
              </w:rPr>
            </w:pP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 2005.*</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Periodic Report Certification by Chief Financial Officer of Quarterly Report on Form 10-Q for the quarterly period ended September</w:t>
            </w:r>
          </w:p>
        </w:tc>
      </w:tr>
      <w:tr>
        <w:trPr>
          <w:trHeight w:val="216"/>
        </w:trPr>
        <w:tc>
          <w:tcPr>
            <w:tcW w:w="1440" w:type="dxa"/>
            <w:vAlign w:val="bottom"/>
          </w:tcPr>
          <w:p>
            <w:pPr>
              <w:spacing w:after="0"/>
              <w:rPr>
                <w:sz w:val="18"/>
                <w:szCs w:val="18"/>
                <w:color w:val="auto"/>
              </w:rPr>
            </w:pP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 2005.*</w:t>
            </w:r>
          </w:p>
        </w:tc>
      </w:tr>
      <w:tr>
        <w:trPr>
          <w:trHeight w:val="216"/>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Chief Executive Officer, Eric M. DeMarco, pursuant to Section 302 of the Sarbanes Oxley Act of 2002.*</w:t>
            </w:r>
          </w:p>
        </w:tc>
      </w:tr>
      <w:tr>
        <w:trPr>
          <w:trHeight w:val="234"/>
        </w:trPr>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Chief Financial Officer, Deanna Lund, pursuant to Section 302 of the Sarbanes Oxley Act of 2002.*</w:t>
            </w:r>
          </w:p>
        </w:tc>
      </w:tr>
      <w:tr>
        <w:trPr>
          <w:trHeight w:val="432"/>
        </w:trPr>
        <w:tc>
          <w:tcPr>
            <w:tcW w:w="1440" w:type="dxa"/>
            <w:vAlign w:val="bottom"/>
          </w:tcPr>
          <w:p>
            <w:pPr>
              <w:spacing w:after="0"/>
              <w:rPr>
                <w:sz w:val="24"/>
                <w:szCs w:val="24"/>
                <w:color w:val="auto"/>
              </w:rPr>
            </w:pPr>
          </w:p>
        </w:tc>
        <w:tc>
          <w:tcPr>
            <w:tcW w:w="100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38</w:t>
            </w:r>
          </w:p>
        </w:tc>
      </w:tr>
      <w:tr>
        <w:trPr>
          <w:trHeight w:val="118"/>
        </w:trPr>
        <w:tc>
          <w:tcPr>
            <w:tcW w:w="1440" w:type="dxa"/>
            <w:vAlign w:val="bottom"/>
            <w:tcBorders>
              <w:bottom w:val="single" w:sz="8" w:color="808080"/>
            </w:tcBorders>
          </w:tcPr>
          <w:p>
            <w:pPr>
              <w:spacing w:after="0"/>
              <w:rPr>
                <w:sz w:val="10"/>
                <w:szCs w:val="10"/>
                <w:color w:val="auto"/>
              </w:rPr>
            </w:pPr>
          </w:p>
        </w:tc>
        <w:tc>
          <w:tcPr>
            <w:tcW w:w="10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Registration Statement on Form S-1 (No. 333-85515), and incorporated herein by reference.</w:t>
      </w:r>
    </w:p>
    <w:p>
      <w:pPr>
        <w:spacing w:after="0" w:line="9" w:lineRule="exact"/>
        <w:rPr>
          <w:rFonts w:ascii="Times New Roman" w:cs="Times New Roman" w:eastAsia="Times New Roman" w:hAnsi="Times New Roman"/>
          <w:sz w:val="18"/>
          <w:szCs w:val="18"/>
          <w:color w:val="auto"/>
        </w:rPr>
      </w:pPr>
    </w:p>
    <w:p>
      <w:pPr>
        <w:ind w:left="340" w:right="520" w:hanging="332"/>
        <w:spacing w:after="0" w:line="250" w:lineRule="auto"/>
        <w:tabs>
          <w:tab w:leader="none" w:pos="36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Quarterly Report on Form 10—Q for the quarter ended September 28, 2001, filed on November 13, 2001 and incorporated herein by reference.</w:t>
      </w: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8-K/A filed on June 5, 2002, and incorporated herein by reference.</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filed on December 17, 2004, and incorporated herein by reference.</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Current Report on Form 8-K filed on July 29, 2005.</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the registrant has duly caused this report to be signed on its behalf by the undersigned, thereunto duly authorized.</w:t>
      </w: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WIRELESS FACILITIES, INC.</w:t>
      </w:r>
    </w:p>
    <w:p>
      <w:pPr>
        <w:spacing w:after="0" w:line="225" w:lineRule="exact"/>
        <w:rPr>
          <w:sz w:val="20"/>
          <w:szCs w:val="20"/>
          <w:color w:val="auto"/>
        </w:rPr>
      </w:pPr>
    </w:p>
    <w:p>
      <w:pPr>
        <w:ind w:left="5140"/>
        <w:spacing w:after="0"/>
        <w:tabs>
          <w:tab w:leader="none" w:pos="7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M. DEMARCO</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ind w:left="5140"/>
        <w:spacing w:after="0"/>
        <w:tabs>
          <w:tab w:leader="none" w:pos="7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DEANNA H. LUND, CPA</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Deanna H. Lund,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 and</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200" w:lineRule="exact"/>
        <w:rPr>
          <w:sz w:val="20"/>
          <w:szCs w:val="20"/>
          <w:color w:val="auto"/>
        </w:rPr>
      </w:pPr>
    </w:p>
    <w:p>
      <w:pPr>
        <w:spacing w:after="0" w:line="223" w:lineRule="exact"/>
        <w:rPr>
          <w:sz w:val="20"/>
          <w:szCs w:val="20"/>
          <w:color w:val="auto"/>
        </w:rPr>
      </w:pPr>
    </w:p>
    <w:p>
      <w:pPr>
        <w:ind w:left="514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 A. CLAY, CPA</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Carol A. Clay,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Vice President, Corporate Controller and</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9, 2005</w:t>
      </w:r>
    </w:p>
    <w:p>
      <w:pPr>
        <w:sectPr>
          <w:pgSz w:w="11900" w:h="16838" w:orient="portrait"/>
          <w:cols w:equalWidth="0" w:num="1">
            <w:col w:w="11440"/>
          </w:cols>
          <w:pgMar w:left="240" w:top="337" w:right="219" w:bottom="58"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75565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 DeMarco,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Wireless Facilities, Inc.;</w:t>
      </w:r>
    </w:p>
    <w:p>
      <w:pPr>
        <w:spacing w:after="0" w:line="22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right="120"/>
        <w:spacing w:after="0" w:line="266" w:lineRule="auto"/>
        <w:tabs>
          <w:tab w:leader="none" w:pos="12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360"/>
        <w:spacing w:after="0" w:line="266" w:lineRule="auto"/>
        <w:tabs>
          <w:tab w:leader="none" w:pos="12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500"/>
        <w:spacing w:after="0" w:line="313" w:lineRule="auto"/>
        <w:tabs>
          <w:tab w:leader="none" w:pos="122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460"/>
        <w:spacing w:after="0" w:line="266" w:lineRule="auto"/>
        <w:tabs>
          <w:tab w:leader="none" w:pos="12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right="720"/>
        <w:spacing w:after="0" w:line="282" w:lineRule="auto"/>
        <w:tabs>
          <w:tab w:leader="none" w:pos="12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00"/>
        <w:spacing w:after="0" w:line="282" w:lineRule="auto"/>
        <w:tabs>
          <w:tab w:leader="none" w:pos="12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2005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ERIC M. DEMARCO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812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Deanna H. Lund,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Wireless Facilities, Inc.;</w:t>
      </w:r>
    </w:p>
    <w:p>
      <w:pPr>
        <w:spacing w:after="0" w:line="22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right="120"/>
        <w:spacing w:after="0" w:line="266" w:lineRule="auto"/>
        <w:tabs>
          <w:tab w:leader="none" w:pos="122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360"/>
        <w:spacing w:after="0" w:line="266" w:lineRule="auto"/>
        <w:tabs>
          <w:tab w:leader="none" w:pos="12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500"/>
        <w:spacing w:after="0" w:line="313" w:lineRule="auto"/>
        <w:tabs>
          <w:tab w:leader="none" w:pos="122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460"/>
        <w:spacing w:after="0" w:line="266" w:lineRule="auto"/>
        <w:tabs>
          <w:tab w:leader="none" w:pos="12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right="720"/>
        <w:spacing w:after="0" w:line="282" w:lineRule="auto"/>
        <w:tabs>
          <w:tab w:leader="none" w:pos="121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00"/>
        <w:spacing w:after="0" w:line="282" w:lineRule="auto"/>
        <w:tabs>
          <w:tab w:leader="none" w:pos="122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2005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DEANNA H. LUND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12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ind w:left="10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 (18 U.S.C. SECTION 1350)</w:t>
      </w:r>
    </w:p>
    <w:p>
      <w:pPr>
        <w:spacing w:after="0" w:line="22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Wireless Facilities, Inc. (the “Company”) on Form 10-Q for the quarter ended September 30, 2005 (the “Report”), I, Eric M. DeMarco, Chief Executive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Wireless Facilities,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M. DeMarco.</w:t>
            </w:r>
          </w:p>
        </w:tc>
        <w:tc>
          <w:tcPr>
            <w:tcW w:w="7960" w:type="dxa"/>
            <w:vAlign w:val="bottom"/>
          </w:tcPr>
          <w:p>
            <w:pPr>
              <w:spacing w:after="0"/>
              <w:rPr>
                <w:sz w:val="20"/>
                <w:szCs w:val="20"/>
                <w:color w:val="auto"/>
              </w:rPr>
            </w:pPr>
          </w:p>
        </w:tc>
      </w:tr>
      <w:tr>
        <w:trPr>
          <w:trHeight w:val="191"/>
        </w:trPr>
        <w:tc>
          <w:tcPr>
            <w:tcW w:w="620" w:type="dxa"/>
            <w:vAlign w:val="bottom"/>
          </w:tcPr>
          <w:p>
            <w:pPr>
              <w:spacing w:after="0"/>
              <w:rPr>
                <w:sz w:val="16"/>
                <w:szCs w:val="16"/>
                <w:color w:val="auto"/>
              </w:rPr>
            </w:pPr>
          </w:p>
        </w:tc>
        <w:tc>
          <w:tcPr>
            <w:tcW w:w="28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Eric M. DeMarco</w:t>
            </w:r>
          </w:p>
        </w:tc>
        <w:tc>
          <w:tcPr>
            <w:tcW w:w="796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7960" w:type="dxa"/>
            <w:vAlign w:val="bottom"/>
          </w:tcPr>
          <w:p>
            <w:pPr>
              <w:spacing w:after="0"/>
              <w:rPr>
                <w:sz w:val="20"/>
                <w:szCs w:val="20"/>
                <w:color w:val="auto"/>
              </w:rPr>
            </w:pPr>
          </w:p>
        </w:tc>
      </w:tr>
      <w:tr>
        <w:trPr>
          <w:trHeight w:val="105"/>
        </w:trPr>
        <w:tc>
          <w:tcPr>
            <w:tcW w:w="6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7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2" w:name="page33"/>
    <w:bookmarkEnd w:id="32"/>
    <w:p>
      <w:pPr>
        <w:ind w:left="102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 (18 U.S.C. SECTION 1350)</w:t>
      </w:r>
    </w:p>
    <w:p>
      <w:pPr>
        <w:spacing w:after="0" w:line="22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Wireless Facilities, Inc. (the “Company”) on Form 10-Q for the quarter ended September 30, 2005 (the “Report”), I, Deanna H. Lund, Chief Financial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Wireless Facilities, Inc.</w:t>
      </w:r>
    </w:p>
    <w:p>
      <w:pPr>
        <w:spacing w:after="0" w:line="207"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Deanna H. Lund</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17151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Letter"/>
      <w:start w:val="1"/>
    </w:lvl>
    <w:lvl w:ilvl="1">
      <w:lvlJc w:val="left"/>
      <w:lvlText w:val="(%2)"/>
      <w:numFmt w:val="decimal"/>
      <w:start w:val="1"/>
    </w:lvl>
  </w:abstractNum>
  <w:abstractNum w:abstractNumId="4">
    <w:nsid w:val="6B68079A"/>
    <w:multiLevelType w:val="hybridMultilevel"/>
    <w:lvl w:ilvl="0">
      <w:lvlJc w:val="left"/>
      <w:lvlText w:val="(%1)"/>
      <w:numFmt w:val="lowerLetter"/>
      <w:start w:val="7"/>
    </w:lvl>
    <w:lvl w:ilvl="1">
      <w:lvlJc w:val="left"/>
      <w:lvlText w:val="%2"/>
      <w:numFmt w:val="decimal"/>
      <w:start w:val="1"/>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16" Type="http://schemas.openxmlformats.org/officeDocument/2006/relationships/hyperlink" Target="file:///data/convert/a05-18178_110q.htm#Item3_QuantitativeAndQualitativeD_012841" TargetMode="External"/><Relationship Id="rId17" Type="http://schemas.openxmlformats.org/officeDocument/2006/relationships/hyperlink" Target="file:///data/convert/a05-18178_110q.htm#Item4_ControlsAndProcedures_012926" TargetMode="External"/><Relationship Id="rId18" Type="http://schemas.openxmlformats.org/officeDocument/2006/relationships/hyperlink" Target="file:///data/convert/a05-18178_110q.htm#PartIi_OtherInformation_012932" TargetMode="External"/><Relationship Id="rId19" Type="http://schemas.openxmlformats.org/officeDocument/2006/relationships/hyperlink" Target="file:///data/convert/a05-18178_110q.htm#Item1_LegalProceedings_012935" TargetMode="External"/><Relationship Id="rId20" Type="http://schemas.openxmlformats.org/officeDocument/2006/relationships/hyperlink" Target="file:///data/convert/a05-18178_110q.htm#Item6_ExhibitsAndReportsOnForm8k_013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2019-12-14T22:06:06Z</dcterms:created>
  <dcterms:modified xsi:type="dcterms:W3CDTF">2019-12-14T22:06:06Z</dcterms:modified>
</cp:coreProperties>
</file>