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1040" w:right="240" w:hanging="694"/>
        <w:spacing w:after="0" w:line="256" w:lineRule="auto"/>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27, 2010</w:t>
      </w:r>
    </w:p>
    <w:p>
      <w:pPr>
        <w:spacing w:after="0" w:line="239" w:lineRule="exact"/>
        <w:rPr>
          <w:sz w:val="24"/>
          <w:szCs w:val="24"/>
          <w:color w:val="auto"/>
        </w:rPr>
      </w:pPr>
    </w:p>
    <w:p>
      <w:pPr>
        <w:ind w:left="1040" w:right="220" w:hanging="654"/>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280" w:type="dxa"/>
        <w:tblCellMar>
          <w:top w:w="0" w:type="dxa"/>
          <w:left w:w="0" w:type="dxa"/>
          <w:bottom w:w="0" w:type="dxa"/>
          <w:right w:w="0" w:type="dxa"/>
        </w:tblCellMar>
      </w:tblPr>
      <w:tr>
        <w:trPr>
          <w:trHeight w:val="222"/>
        </w:trPr>
        <w:tc>
          <w:tcPr>
            <w:tcW w:w="242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Delaware</w:t>
            </w:r>
          </w:p>
        </w:tc>
        <w:tc>
          <w:tcPr>
            <w:tcW w:w="250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13-3818604</w:t>
            </w:r>
          </w:p>
        </w:tc>
      </w:tr>
      <w:tr>
        <w:trPr>
          <w:trHeight w:val="216"/>
        </w:trPr>
        <w:tc>
          <w:tcPr>
            <w:tcW w:w="2420" w:type="dxa"/>
            <w:vAlign w:val="bottom"/>
          </w:tcPr>
          <w:p>
            <w:pPr>
              <w:jc w:val="center"/>
              <w:ind w:right="232"/>
              <w:spacing w:after="0"/>
              <w:rPr>
                <w:sz w:val="20"/>
                <w:szCs w:val="20"/>
                <w:color w:val="auto"/>
              </w:rPr>
            </w:pPr>
            <w:r>
              <w:rPr>
                <w:rFonts w:ascii="Arial" w:cs="Arial" w:eastAsia="Arial" w:hAnsi="Arial"/>
                <w:sz w:val="18"/>
                <w:szCs w:val="18"/>
                <w:color w:val="auto"/>
                <w:w w:val="89"/>
              </w:rPr>
              <w:t>(State or other jurisdiction of</w:t>
            </w:r>
          </w:p>
        </w:tc>
        <w:tc>
          <w:tcPr>
            <w:tcW w:w="2500" w:type="dxa"/>
            <w:vAlign w:val="bottom"/>
          </w:tcPr>
          <w:p>
            <w:pPr>
              <w:jc w:val="center"/>
              <w:ind w:left="212"/>
              <w:spacing w:after="0"/>
              <w:rPr>
                <w:sz w:val="20"/>
                <w:szCs w:val="20"/>
                <w:color w:val="auto"/>
              </w:rPr>
            </w:pPr>
            <w:r>
              <w:rPr>
                <w:rFonts w:ascii="Arial" w:cs="Arial" w:eastAsia="Arial" w:hAnsi="Arial"/>
                <w:sz w:val="18"/>
                <w:szCs w:val="18"/>
                <w:color w:val="auto"/>
                <w:w w:val="92"/>
              </w:rPr>
              <w:t>(I.R.S. Employer Identification</w:t>
            </w:r>
          </w:p>
        </w:tc>
      </w:tr>
      <w:tr>
        <w:trPr>
          <w:trHeight w:val="222"/>
        </w:trPr>
        <w:tc>
          <w:tcPr>
            <w:tcW w:w="242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 organization)</w:t>
            </w:r>
          </w:p>
        </w:tc>
        <w:tc>
          <w:tcPr>
            <w:tcW w:w="2500" w:type="dxa"/>
            <w:vAlign w:val="bottom"/>
          </w:tcPr>
          <w:p>
            <w:pPr>
              <w:jc w:val="center"/>
              <w:ind w:left="212"/>
              <w:spacing w:after="0"/>
              <w:rPr>
                <w:sz w:val="20"/>
                <w:szCs w:val="20"/>
                <w:color w:val="auto"/>
              </w:rPr>
            </w:pPr>
            <w:r>
              <w:rPr>
                <w:rFonts w:ascii="Arial" w:cs="Arial" w:eastAsia="Arial" w:hAnsi="Arial"/>
                <w:sz w:val="18"/>
                <w:szCs w:val="18"/>
                <w:color w:val="auto"/>
                <w:w w:val="93"/>
              </w:rPr>
              <w:t>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4820 Eastgate Mall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812-7300</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2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98" w:right="239" w:bottom="1440" w:gutter="0" w:footer="0" w:header="0"/>
        </w:sectPr>
      </w:pPr>
    </w:p>
    <w:p>
      <w:pPr>
        <w:spacing w:after="0" w:line="1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2" w:lineRule="exact"/>
        <w:rPr>
          <w:sz w:val="24"/>
          <w:szCs w:val="24"/>
          <w:color w:val="auto"/>
        </w:rPr>
      </w:pPr>
    </w:p>
    <w:p>
      <w:pPr>
        <w:sectPr>
          <w:pgSz w:w="11900" w:h="16838" w:orient="portrait"/>
          <w:cols w:equalWidth="0" w:num="4">
            <w:col w:w="2140" w:space="720"/>
            <w:col w:w="2880" w:space="720"/>
            <w:col w:w="2180" w:space="720"/>
            <w:col w:w="2060"/>
          </w:cols>
          <w:pgMar w:left="240" w:top="698" w:right="239" w:bottom="1440" w:gutter="0" w:footer="0" w:header="0"/>
          <w:type w:val="continuous"/>
        </w:sectPr>
      </w:pPr>
    </w:p>
    <w:p>
      <w:pPr>
        <w:jc w:val="center"/>
        <w:ind w:left="3140"/>
        <w:spacing w:after="0"/>
        <w:rPr>
          <w:sz w:val="20"/>
          <w:szCs w:val="20"/>
          <w:color w:val="auto"/>
        </w:rPr>
      </w:pPr>
      <w:r>
        <w:rPr>
          <w:rFonts w:ascii="Arial" w:cs="Arial" w:eastAsia="Arial" w:hAnsi="Arial"/>
          <w:sz w:val="12"/>
          <w:szCs w:val="12"/>
          <w:color w:val="auto"/>
        </w:rPr>
        <w:t>(Do not check if a smaller</w:t>
      </w:r>
    </w:p>
    <w:p>
      <w:pPr>
        <w:jc w:val="center"/>
        <w:ind w:left="3140"/>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420"/>
          </w:cols>
          <w:pgMar w:left="240" w:top="698" w:right="239" w:bottom="1440" w:gutter="0" w:footer="0" w:header="0"/>
          <w:type w:val="continuous"/>
        </w:sectPr>
      </w:pPr>
    </w:p>
    <w:p>
      <w:pPr>
        <w:spacing w:after="0" w:line="194"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8360" w:space="180"/>
            <w:col w:w="380" w:space="180"/>
            <w:col w:w="2320"/>
          </w:cols>
          <w:pgMar w:left="240" w:top="698" w:right="239" w:bottom="1440" w:gutter="0" w:footer="0" w:header="0"/>
          <w:type w:val="continuous"/>
        </w:sectPr>
      </w:pPr>
    </w:p>
    <w:p>
      <w:pPr>
        <w:spacing w:after="0" w:line="60" w:lineRule="exact"/>
        <w:rPr>
          <w:sz w:val="24"/>
          <w:szCs w:val="24"/>
          <w:color w:val="auto"/>
        </w:rPr>
      </w:pPr>
    </w:p>
    <w:p>
      <w:pPr>
        <w:ind w:left="400"/>
        <w:spacing w:after="0"/>
        <w:rPr>
          <w:sz w:val="20"/>
          <w:szCs w:val="20"/>
          <w:color w:val="auto"/>
        </w:rPr>
      </w:pPr>
      <w:r>
        <w:rPr>
          <w:rFonts w:ascii="Arial" w:cs="Arial" w:eastAsia="Arial" w:hAnsi="Arial"/>
          <w:sz w:val="15"/>
          <w:szCs w:val="15"/>
          <w:color w:val="auto"/>
        </w:rPr>
        <w:t>As of July 30, 2010 15,908,042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27,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gridSpan w:val="12"/>
            <w:vMerge w:val="restart"/>
          </w:tcPr>
          <w:p>
            <w:pPr>
              <w:jc w:val="center"/>
              <w:ind w:right="258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gridSpan w:val="12"/>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12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980" w:type="dxa"/>
            <w:vAlign w:val="bottom"/>
            <w:tcBorders>
              <w:top w:val="single" w:sz="8" w:color="0000EE"/>
            </w:tcBorders>
            <w:gridSpan w:val="7"/>
          </w:tcPr>
          <w:p>
            <w:pPr>
              <w:spacing w:after="0"/>
              <w:rPr>
                <w:sz w:val="24"/>
                <w:szCs w:val="24"/>
                <w:color w:val="auto"/>
              </w:rPr>
            </w:pPr>
          </w:p>
        </w:tc>
        <w:tc>
          <w:tcPr>
            <w:tcW w:w="2580" w:type="dxa"/>
            <w:vAlign w:val="bottom"/>
            <w:gridSpan w:val="5"/>
          </w:tcPr>
          <w:p>
            <w:pPr>
              <w:spacing w:after="0"/>
              <w:rPr>
                <w:sz w:val="24"/>
                <w:szCs w:val="24"/>
                <w:color w:val="auto"/>
              </w:rPr>
            </w:pPr>
          </w:p>
        </w:tc>
        <w:tc>
          <w:tcPr>
            <w:tcW w:w="4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4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at December 27, 2009 and June 27, 2010 (unaudited)</w:t>
              </w:r>
            </w:hyperlink>
          </w:p>
        </w:tc>
        <w:tc>
          <w:tcPr>
            <w:tcW w:w="1040" w:type="dxa"/>
            <w:vAlign w:val="bottom"/>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Six Months Ended June 28, 2009</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and June 27, 2010 (unaudited)</w:t>
              </w:r>
            </w:hyperlink>
          </w:p>
        </w:tc>
        <w:tc>
          <w:tcPr>
            <w:tcW w:w="4880" w:type="dxa"/>
            <w:vAlign w:val="bottom"/>
            <w:tcBorders>
              <w:top w:val="single" w:sz="8" w:color="0000EE"/>
            </w:tcBorders>
            <w:gridSpan w:val="7"/>
          </w:tcPr>
          <w:p>
            <w:pPr>
              <w:spacing w:after="0"/>
              <w:rPr>
                <w:sz w:val="17"/>
                <w:szCs w:val="17"/>
                <w:color w:val="auto"/>
              </w:rPr>
            </w:pPr>
          </w:p>
        </w:tc>
        <w:tc>
          <w:tcPr>
            <w:tcW w:w="48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4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Six Months Ended June 28, 2009 and June 27,</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2010 (unaudited)</w:t>
              </w:r>
            </w:hyperlink>
          </w:p>
        </w:tc>
        <w:tc>
          <w:tcPr>
            <w:tcW w:w="6280" w:type="dxa"/>
            <w:vAlign w:val="bottom"/>
            <w:gridSpan w:val="15"/>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2920" w:type="dxa"/>
            <w:vAlign w:val="bottom"/>
            <w:gridSpan w:val="7"/>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76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768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4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768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2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20" w:type="dxa"/>
            <w:vAlign w:val="bottom"/>
            <w:gridSpan w:val="11"/>
          </w:tcPr>
          <w:p>
            <w:pPr>
              <w:jc w:val="center"/>
              <w:ind w:right="2720"/>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226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2700" w:type="dxa"/>
            <w:vAlign w:val="bottom"/>
            <w:tcBorders>
              <w:top w:val="single" w:sz="8" w:color="0000EE"/>
            </w:tcBorders>
            <w:gridSpan w:val="5"/>
          </w:tcPr>
          <w:p>
            <w:pPr>
              <w:spacing w:after="0"/>
              <w:rPr>
                <w:sz w:val="24"/>
                <w:szCs w:val="24"/>
                <w:color w:val="auto"/>
              </w:rPr>
            </w:pPr>
          </w:p>
        </w:tc>
        <w:tc>
          <w:tcPr>
            <w:tcW w:w="2720" w:type="dxa"/>
            <w:vAlign w:val="bottom"/>
            <w:gridSpan w:val="6"/>
          </w:tcPr>
          <w:p>
            <w:pPr>
              <w:spacing w:after="0"/>
              <w:rPr>
                <w:sz w:val="24"/>
                <w:szCs w:val="24"/>
                <w:color w:val="auto"/>
              </w:rPr>
            </w:pP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768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42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768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4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768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4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768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Reserved</w:t>
              </w:r>
            </w:hyperlink>
          </w:p>
        </w:tc>
        <w:tc>
          <w:tcPr>
            <w:tcW w:w="4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5.</w:t>
              </w:r>
            </w:hyperlink>
          </w:p>
        </w:tc>
        <w:tc>
          <w:tcPr>
            <w:tcW w:w="768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4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768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4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0000EE"/>
            </w:tcBorders>
            <w:gridSpan w:val="2"/>
          </w:tcPr>
          <w:p>
            <w:pPr>
              <w:spacing w:after="0"/>
              <w:rPr>
                <w:sz w:val="24"/>
                <w:szCs w:val="24"/>
                <w:color w:val="auto"/>
              </w:rPr>
            </w:pPr>
          </w:p>
        </w:tc>
        <w:tc>
          <w:tcPr>
            <w:tcW w:w="3580" w:type="dxa"/>
            <w:vAlign w:val="bottom"/>
            <w:gridSpan w:val="10"/>
          </w:tcPr>
          <w:p>
            <w:pPr>
              <w:jc w:val="right"/>
              <w:ind w:right="50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27,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Inventoried costs, net of progress payments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w w:val="94"/>
              </w:rPr>
              <w:t>Preferred stock, 5,000,000 shares authorized Series B Convertible Preferred Stock, $.001 par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00"/>
              <w:spacing w:after="0"/>
              <w:rPr>
                <w:sz w:val="20"/>
                <w:szCs w:val="20"/>
                <w:color w:val="auto"/>
              </w:rPr>
            </w:pPr>
            <w:r>
              <w:rPr>
                <w:rFonts w:ascii="Arial" w:cs="Arial" w:eastAsia="Arial" w:hAnsi="Arial"/>
                <w:sz w:val="18"/>
                <w:szCs w:val="18"/>
                <w:color w:val="auto"/>
                <w:w w:val="98"/>
              </w:rPr>
              <w:t>value, 10,000 shares outstanding at December 27, 2009 and June 27, 2010 (liquidation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300"/>
              <w:spacing w:after="0"/>
              <w:rPr>
                <w:sz w:val="20"/>
                <w:szCs w:val="20"/>
                <w:color w:val="auto"/>
              </w:rPr>
            </w:pPr>
            <w:r>
              <w:rPr>
                <w:rFonts w:ascii="Arial" w:cs="Arial" w:eastAsia="Arial" w:hAnsi="Arial"/>
                <w:sz w:val="18"/>
                <w:szCs w:val="18"/>
                <w:color w:val="auto"/>
              </w:rPr>
              <w:t>preference $5.0 million at June 27, 2010)</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Common stock, $.001 par value, 195,000,000 shares authorized; 15,784,591 and 15,865,972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shares issued and outstanding at December 27, 2009 and June 27, 2010, 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6"/>
              </w:rPr>
              <w:t>June 28,</w:t>
            </w: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6"/>
              </w:rPr>
              <w:t>June 28,</w:t>
            </w:r>
          </w:p>
        </w:tc>
        <w:tc>
          <w:tcPr>
            <w:tcW w:w="6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Product sales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Cost of service revenue</w:t>
            </w: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vMerge w:val="restart"/>
          </w:tcPr>
          <w:p>
            <w:pPr>
              <w:ind w:left="260"/>
              <w:spacing w:after="0"/>
              <w:rPr>
                <w:sz w:val="20"/>
                <w:szCs w:val="20"/>
                <w:color w:val="auto"/>
              </w:rPr>
            </w:pPr>
            <w:r>
              <w:rPr>
                <w:rFonts w:ascii="Arial" w:cs="Arial" w:eastAsia="Arial" w:hAnsi="Arial"/>
                <w:sz w:val="18"/>
                <w:szCs w:val="18"/>
                <w:color w:val="auto"/>
              </w:rPr>
              <w:t>Total costs</w:t>
            </w: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Merger and acquisition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vMerge w:val="restart"/>
          </w:tcPr>
          <w:p>
            <w:pPr>
              <w:ind w:left="260"/>
              <w:spacing w:after="0"/>
              <w:rPr>
                <w:sz w:val="20"/>
                <w:szCs w:val="20"/>
                <w:color w:val="auto"/>
              </w:rPr>
            </w:pPr>
            <w:r>
              <w:rPr>
                <w:rFonts w:ascii="Arial" w:cs="Arial" w:eastAsia="Arial" w:hAnsi="Arial"/>
                <w:sz w:val="18"/>
                <w:szCs w:val="18"/>
                <w:color w:val="auto"/>
              </w:rPr>
              <w:t>Operating income (loss) from continuing operations</w:t>
            </w: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vMerge w:val="restart"/>
          </w:tcPr>
          <w:p>
            <w:pPr>
              <w:ind w:left="260"/>
              <w:spacing w:after="0"/>
              <w:rPr>
                <w:sz w:val="20"/>
                <w:szCs w:val="20"/>
                <w:color w:val="auto"/>
              </w:rPr>
            </w:pPr>
            <w:r>
              <w:rPr>
                <w:rFonts w:ascii="Arial" w:cs="Arial" w:eastAsia="Arial" w:hAnsi="Arial"/>
                <w:sz w:val="18"/>
                <w:szCs w:val="18"/>
                <w:color w:val="auto"/>
              </w:rPr>
              <w:t>Total other expense, net</w:t>
            </w: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common share:</w:t>
            </w: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per common share: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Diluted income (loss) per common share:</w:t>
            </w: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per common share: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Six months</w:t>
            </w:r>
          </w:p>
        </w:tc>
        <w:tc>
          <w:tcPr>
            <w:tcW w:w="6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Income (loss) from discontinued operations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Adjustments to reconcile income (loss) from continuing operations to net cash provided by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activities from continuing operations: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Goodwill impairment charges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Mark to market on swaps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accrual for unused office space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assets and liabilities, net of acquisitions: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Inventoried costs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 and payable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the disposition of discontinued operations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long-term debt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under credit facility</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Payments of subordinated debt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Net cash flows of continuing operations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cash flows of discontinued operations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8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information as of June 27, 2010 and for the three and six months ended June 27, 2010 and June 28, 2009 is unaudited. The condensed consolidated balance sheet as of December 27, 2009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year ended December 27, 2009, filed with the Company's Annual Report on Form 10-K with the U.S. Securities and Exchange Commission ("SEC") on March 11, 2010 (the "2009 Form 10-K"). Interim operating results are not necessarily indicative of operating results expected in subsequent periods or for the year as a whole.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jc w:val="both"/>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3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Company has a 52/53 week fiscal year ending on the last Sunday of the year, with interim fiscal periods ending on the last Sunday of the last month of each calendar quarter. The three and six month periods ended June 27, 2010 and June 28, 2009 consisted of 13 and 26 week periods, respectively. There are 52 calendar weeks in the fiscal years ending on December 26, 2010 and December 27,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Reverse Stock Split</w:t>
      </w:r>
    </w:p>
    <w:p>
      <w:pPr>
        <w:spacing w:after="0" w:line="231"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On September 10, 2009, the Company completed a 1-for-10 reverse split of its common stock. All common stock, stock options, and warrants to purchase common stock and earnings per share amounts have been retroactively restated as if the reverse stock split occurred at the beginning of the periods presented.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Inventoried costs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("FIFO")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customers may have title to, or a security interest in, inventories related to such contracts as a result of advances, performance-based payments, and progress payments. We reflect those advances and payments as an offset against the related inventory balances.</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5"/>
          <w:szCs w:val="15"/>
          <w:b w:val="1"/>
          <w:bCs w:val="1"/>
          <w:color w:val="auto"/>
        </w:rPr>
        <w:t>Accounting Policies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There have been no changes in the Company's significant accounting policies for the three and six month periods ended June 27, 2010 as compared to the significant accounting policies described in the 2009 Form 10-K, with the following exceptions: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In accounting for the Company's long-term contracts for production of products provided to the federal government, the Company utilizes both cost-to-cost and units produced measures under the percentage-of-completion method of accounting under the provisions of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produced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In January 2010, the Financial Accounting Standards Board ("FASB") issued Accounting Standards Update ("ASU") No. 2010-06, </w:t>
      </w:r>
      <w:r>
        <w:rPr>
          <w:rFonts w:ascii="Arial" w:cs="Arial" w:eastAsia="Arial" w:hAnsi="Arial"/>
          <w:sz w:val="16"/>
          <w:szCs w:val="16"/>
          <w:i w:val="1"/>
          <w:iCs w:val="1"/>
          <w:color w:val="auto"/>
        </w:rPr>
        <w:t>Improving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Fair Value Measurements, </w:t>
      </w:r>
      <w:r>
        <w:rPr>
          <w:rFonts w:ascii="Arial" w:cs="Arial" w:eastAsia="Arial" w:hAnsi="Arial"/>
          <w:sz w:val="16"/>
          <w:szCs w:val="16"/>
          <w:color w:val="auto"/>
        </w:rPr>
        <w:t>which, among other things, amends Accounting Standards Codification ("ASC") Topic 820,</w:t>
      </w:r>
      <w:r>
        <w:rPr>
          <w:rFonts w:ascii="Arial" w:cs="Arial" w:eastAsia="Arial" w:hAnsi="Arial"/>
          <w:sz w:val="16"/>
          <w:szCs w:val="16"/>
          <w:i w:val="1"/>
          <w:iCs w:val="1"/>
          <w:color w:val="auto"/>
        </w:rPr>
        <w:t xml:space="preserve"> Fair Value Measurements and Disclosures </w:t>
      </w:r>
      <w:r>
        <w:rPr>
          <w:rFonts w:ascii="Arial" w:cs="Arial" w:eastAsia="Arial" w:hAnsi="Arial"/>
          <w:sz w:val="16"/>
          <w:szCs w:val="16"/>
          <w:color w:val="auto"/>
        </w:rPr>
        <w:t>("ASC Topic 820") to require entities to separately present purchases, sales, issuances, and settlements in their reconciliation of Level 3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(i.e., to present such items on a gross basis rather than on a net basis), and which clarifies existing disclosure requirements provided by ASC Topic 820 regarding the level of disaggregation and the inputs and valuation techniques used to measure fair value for measurements that fall within either Level 2 or Level 3 of the fair value hierarchy. ASU No.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The Company's adoption of this standard had no impact on its consolidated financial position, results of operations or cash flows.</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Other new accounting pronouncements issued or effective during the period ended June 27, 2010 have not had or are not expected to have a material impact on the Company's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Reclassifications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amounts in the June 28, 2009 condensed balance sheets and condensed consolidated statement of cash flows have been reclassified to conform to the June 27, 2010 presentation.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Concentrations and Uncertainties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94" w:lineRule="exact"/>
        <w:rPr>
          <w:sz w:val="20"/>
          <w:szCs w:val="20"/>
          <w:color w:val="auto"/>
        </w:rPr>
      </w:pPr>
    </w:p>
    <w:p>
      <w:pPr>
        <w:jc w:val="both"/>
        <w:ind w:right="520" w:firstLine="351"/>
        <w:spacing w:after="0" w:line="294" w:lineRule="auto"/>
        <w:rPr>
          <w:sz w:val="20"/>
          <w:szCs w:val="20"/>
          <w:color w:val="auto"/>
        </w:rPr>
      </w:pPr>
      <w:r>
        <w:rPr>
          <w:rFonts w:ascii="Arial" w:cs="Arial" w:eastAsia="Arial" w:hAnsi="Arial"/>
          <w:sz w:val="16"/>
          <w:szCs w:val="16"/>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and collateral is not required. The accounts receivable are recorded at the invoiced amount and do not bear interest. See Note 12 for a discussion of our significant customers.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May 19, 2010, the Company issued 10% Senior Secured Notes in the aggregate principal amount of $225.0 million (the "Original Notes") in an unregistered offering pursuant to Rule 144A and Regulation S under the Securities Act of 1933, as amended (the "Securities Act"), of which $133.0 million was used to finance the acquisition of Gichner Holdings, Inc. ("Gichner") (See Note 2). As of June 27, 2010, the principal amount of $225.0 million is outstanding under the Original Notes. The Original Notes mature on June 1, 2017 and accrue interest at the rate of 10% per annum which is due and payable semi-annually, in arrears, on June 1 and December 1 of each year, commencing on December 1, 2010. In addition, the Company has $25.0 million available under a new senior secured revolving credit agreement. See Note 9 for a complete description of the Original Notes and revolving Credit Facility.</w:t>
      </w:r>
    </w:p>
    <w:p>
      <w:pPr>
        <w:spacing w:after="0" w:line="174"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Company intends to fund its cash requirements with cash flows from operating activities and borrowings under its existing revolving credit facility, and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its control. If the conditions in its industry deteriorate or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31"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On May 19, 2010, the Company acquired 100% of the voting equity interests of Gichner, headquartered in Dallastown, Pennsylvania, pursuant to the Stock Purchase Agreement, dated as of April 12, 2010 (the "Purchase Agreement"), by and between the Company and the stockholders of Gichner, in a cash for stock transaction valued at approximately $133.0 million (the "Gichner Transaction"). Gichner has manufacturing and operating facilities in Dallastown and York, Pennsylvania and Charleston, South Carolina, and is a leading manufacturer of tactical military products, combat support facilities, subsystems, modular systems and shelters primarily for the Department of Defense and leading defense system providers. Representative programs for which Gichner provides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solutions include the MQ—1C Sky Warrior, Gorgon Stare, MQ—8B Fire Scout and RQ-7 Shadow Unmanned Aerial Vehicles, the Command Post Platform and Joint Light Tactical Vehicle Tactical Combat Vehicles, DDG-1000 Modular C5 Compartments and the Persistent Threat Detection System ISR Platform. Gichner is part of the Kratos Government Solutions segment.</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our strengths in the areas of weapons system sustainment, C5ISR, military preset/reset and foreign military sales. It will also enable the Company to realize significant cross selling opportunities, pursue new and larger contracts and increase its sales of higher margin, fixed price products.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completion of the Gichner Transaction, the Company deposited $8.1 million of the purchase price into an escrow account as security for Gichner's indemnification obligations as set forth in the Purchase Agreement. In addition, the Purchase Agreement provides that the purchase price will be (i) increased on a dollar for dollar basis if the working capital on the closing date (as defined in the purchase agreement) exceeds $17.5 million or (ii) decreased on a dollar for dollar basis if the working capital is less than $17.1 million. The estimated adjustment to the purchase price cannot be estimated as the Company and Gichner have not yet agreed as to whether any working capital adjustments may be necessary.</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Gichner provided its initial estimate of working capital which indicated no working capital adjustment was required. The final working capital calculation is due to the Company within ninety days of closing. The Company has not yet received this calculation and expects to receive it within the measurement period under ASC Topic 805.</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Gichner Transaction has been accounted for using the acquisition method of accounting which requires, among other things, the assets acquired and liabilities assumed be recognized at their fair values as of the merger date. The following table summarizes the estimated fair values of major assets acquired and liabilities assumed as part of the Gichner Transaction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1"/>
              </w:rPr>
              <w:t>Inventoried costs, net of progress payments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Current deferred tax assets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Goodwill</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 assets</w:t>
            </w: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194.1</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assets acquired</w:t>
            </w:r>
          </w:p>
        </w:tc>
        <w:tc>
          <w:tcPr>
            <w:tcW w:w="30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00" w:type="dxa"/>
            <w:vAlign w:val="bottom"/>
            <w:gridSpan w:val="2"/>
            <w:vMerge w:val="continue"/>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133.0</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60" w:type="dxa"/>
            <w:vAlign w:val="bottom"/>
            <w:vMerge w:val="restart"/>
          </w:tcPr>
          <w:p>
            <w:pPr>
              <w:jc w:val="right"/>
              <w:ind w:right="2512"/>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the merger date, the expected fair value of accounts receivable approximated the historical cost. The gross contractual receivable was $15.6 million, of which $0.4 million is not expected to be collectable.</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Gichner has two primary areas of contingent liabilities: environmental and uncertain tax liabilities. Additionally, Gichner is involved in various commercial disputes and employment matters. The majority of the contingent liabilities will ultimately be recorded at fair value in the allocation of acquired assets and liabilities or purchase price, aside from those pertaining to uncertainty in income taxes which are an exception to the fair value basis of accounting; however certain environmental matters that are inherently legal contingencies in nature are recorded at the probable and estimable amount. As of the acquisition date approximately $0.1 million has been recorded for probable and estimable environmental and employment litigation.</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Topic 805"), the allocation of the purchase price is subject to adjustment during the measurement period after the closing date (May 19, 2010), when additional information on assets and liability valuations becomes available. Due to the proximity of the closing date to quarter-end, the Company has not finalized its valuation of certain assets and liabilities recorded pursuant to the acquisition including intangible assets, environmental liabilities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fair value of identifiable intangible assets acquired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Funded backlog</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Favorable operating lease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 on Quarterly Financials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has consolidated the results of Gichner for the period of control, or May 20, 2010 through June 27, 2010, with its own financial results for the quarter. The impact from the inclusion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such operating results with the Company's condensed consolidated statement of operations for the three months ended June 27, 2010 includes $20.0 million of revenue, $4.1 million of gross profit and $2.1 million in net income.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summarizes the supplemental statement of operations information on an unaudited pro forma basis as if the acquisition of Gichner had occurred on December 29, 2008, and includes adjustments that were directly attributable to the transaction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periods, nor are they indicative of results of operations which may occur in the future (all amounts, except per share amounts are in millions):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For the Three</w:t>
            </w:r>
          </w:p>
        </w:tc>
        <w:tc>
          <w:tcPr>
            <w:tcW w:w="140" w:type="dxa"/>
            <w:vAlign w:val="bottom"/>
          </w:tcPr>
          <w:p>
            <w:pPr>
              <w:spacing w:after="0"/>
              <w:rPr>
                <w:sz w:val="14"/>
                <w:szCs w:val="1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For the Six</w:t>
            </w:r>
          </w:p>
        </w:tc>
      </w:t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Months Ended</w:t>
            </w:r>
          </w:p>
        </w:tc>
        <w:tc>
          <w:tcPr>
            <w:tcW w:w="14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Months Ended</w:t>
            </w:r>
          </w:p>
        </w:tc>
      </w:tr>
      <w:tr>
        <w:trPr>
          <w:trHeight w:val="129"/>
        </w:trPr>
        <w:tc>
          <w:tcPr>
            <w:tcW w:w="3600" w:type="dxa"/>
            <w:vAlign w:val="bottom"/>
          </w:tcPr>
          <w:p>
            <w:pPr>
              <w:spacing w:after="0"/>
              <w:rPr>
                <w:sz w:val="11"/>
                <w:szCs w:val="11"/>
                <w:color w:val="auto"/>
              </w:rPr>
            </w:pPr>
          </w:p>
        </w:tc>
        <w:tc>
          <w:tcPr>
            <w:tcW w:w="80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28,</w:t>
            </w: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June 27,</w:t>
            </w:r>
          </w:p>
        </w:tc>
        <w:tc>
          <w:tcPr>
            <w:tcW w:w="160" w:type="dxa"/>
            <w:vAlign w:val="bottom"/>
          </w:tcPr>
          <w:p>
            <w:pPr>
              <w:spacing w:after="0"/>
              <w:rPr>
                <w:sz w:val="11"/>
                <w:szCs w:val="11"/>
                <w:color w:val="auto"/>
              </w:rPr>
            </w:pPr>
          </w:p>
        </w:tc>
        <w:tc>
          <w:tcPr>
            <w:tcW w:w="80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28,</w:t>
            </w: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June 27,</w:t>
            </w:r>
          </w:p>
        </w:tc>
        <w:tc>
          <w:tcPr>
            <w:tcW w:w="160" w:type="dxa"/>
            <w:vAlign w:val="bottom"/>
          </w:tcPr>
          <w:p>
            <w:pPr>
              <w:spacing w:after="0"/>
              <w:rPr>
                <w:sz w:val="11"/>
                <w:szCs w:val="11"/>
                <w:color w:val="auto"/>
              </w:rPr>
            </w:pPr>
          </w:p>
        </w:tc>
      </w:tr>
      <w:tr>
        <w:trPr>
          <w:trHeight w:val="161"/>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income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w w:val="99"/>
              </w:rPr>
              <w:t>Diluted pro forma net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r>
    </w:tbl>
    <w:p>
      <w:pPr>
        <w:spacing w:after="0" w:line="20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pro forma financial information reflects additional amortization of $0.7 million for the three months ended June 27, 2010, $1.2 million for the three months ended June 28, 2009, $2.0 million for the six months ended June 27, 2010, and $2.5 million for the six months ended June 28, 2009 associated with intangible assets of $37.6 million valued as of May 19, 2010. The pro forma financial information also reflects additional incremental interest expense and deferred financing fee amortization of $0.5 million for the three months ended June 27, 2010, $2.6 million for the three months ended June 28, 2009, $2.5 million for the six months ended June 27, 2010 and $5.7 million for the six months ended June 28, 2009. The pro forma adjustments also include the tax effect of the increased interest expense and deferred financing amortization of $0.6 million for the three months ended June 27, 2010, $1.0 million for the three months ended June 28, 2009, $1.7 million for the six months ended June 27, 2010 and $1.8 for the six months ended June 28, 2009.</w:t>
      </w:r>
    </w:p>
    <w:p>
      <w:pPr>
        <w:spacing w:after="0" w:line="17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pro forma results for the three and six month period ended June 27, 2010 include $8.8 million of acquisition related expenses incurred by both Kratos and Gichner.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 xml:space="preserve">The Company performs its annual impairment test for goodwill in accordance with FASB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Topic 350") as of the last day of the fiscal year or when evidence of potential impairment exists.</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 or one level below an operating segment, referred to as a component.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operating segments which are Kratos Government Solutions and Public Safety and Security.</w:t>
      </w:r>
    </w:p>
    <w:p>
      <w:pPr>
        <w:spacing w:after="0" w:line="167"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ASC Topic 820). The Company also considers its market capitalization based upon an average of the stock price prior to and subsequent to the date the analysis is performed and reconciles the fair value of the Company's reporting units to the Company's market capitalization assuming a control premium. If the book value exceeds the estimated fair value for a business, a potential impairment is indicated and ASC Topic 350 prescribes the approach for determining the impairment amount, if any.</w:t>
      </w:r>
    </w:p>
    <w:p>
      <w:pPr>
        <w:spacing w:after="0" w:line="15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Given the significant decline in the stock market in general and specifically the Company's stock price and market capitalization in 2009, which declined 39% from an average stock price of $12.90 as of December 28, 2008 to $7.80 as of February 28, 2009, the Company performed an impairment test for goodwill in accordance with ASC Topic 350 as of February 28, 2009. The test indicated that the book value for the Kratos Government Solutions segment exceeded the fair values of these businesses and resulted in the Company recording a charge totaling $41.3 million in the Kratos Government Solutions segment in the first quarter of 2009, for the impairment of goodwill. The impairment charge was primarily driven by adverse equity market conditions that caused a decrease in current market multiples and the Company's average stock price as of February 28, 2009, compared with the test performed as of December 28, 2008. The Company's forecasts of growth rates and operating margins had not changed as of February 28, 2009 as compared to the forecasts which were used as of December 28, 2008. The Company reconciles the fair value of its reporting units, which is calculated using the income approach to the Company's market capitalization. As a result of this reconciliation, it was noted that investors were requiring a higher rate of return, and therefore, the discount factor which is based upon an estimated market participant weighted average cost of capital increased 300 basis points from 14% in the Company's year-end impairment test in 2008 as compared to 17% in the Company's 2009 first quarter interim impairment test. This change was the key factor contributing to the $41.3 million goodwill impairment charge that was recorded in the first quarter of 2009.</w:t>
      </w:r>
    </w:p>
    <w:p>
      <w:pPr>
        <w:spacing w:after="0" w:line="178"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The 2009 annual test did not result in any impairment charge as there was an increase in current market multiples and market capitalization as of December 27, 2009 compared to the 2008 annual test. If an event occurs or circumstances change that would more likely than not reduce the fair value of a reporting unit below its carrying value, the Company will evaluate goodwill for impairment between annual tests in accordance with ASC Topic 350.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the carrying amount of goodwill for the six month period ended June 27,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Public</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8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Safety &amp;</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Government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Security</w:t>
            </w:r>
          </w:p>
        </w:tc>
        <w:tc>
          <w:tcPr>
            <w:tcW w:w="12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2009</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due to business combinations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color w:val="auto"/>
              </w:rPr>
              <w:t>Balance as of June 27, 2010</w:t>
            </w: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Goodwill of $43.1 million was impaired during the first half of 2009 and there was no impairment of goodwill during the first half of 2010. The accumulated impairment losses as of December 27, 2009 and June 27, 2010 were $165.4 million; $147.1 million associated with our Kratos Government Solutions segment and $18.3 million associated with our Public Safety and Security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for finite-life intangible assets subject to amortization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As of December 27, 2009</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9"/>
              </w:rPr>
              <w:t>As of June 27, 2010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4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4"/>
                <w:szCs w:val="14"/>
                <w:b w:val="1"/>
                <w:bCs w:val="1"/>
                <w:color w:val="auto"/>
                <w:w w:val="80"/>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Acquired finite-lived intangible assets</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36.5</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backlog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w w:val="99"/>
              </w:rPr>
              <w:t>Developed technology and technical know-how</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Favorable operating lease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Consolidated amortization expense related to intangible assets subject to amortization was $2.0 million and $1.4 million for the three months ended June 27, 2010 and June 28, 2009, respectively, and $3.3 million and $2.9 million for the six months ended June 27, 2010 and June 28, 2009,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900" w:type="dxa"/>
            <w:vAlign w:val="bottom"/>
          </w:tcPr>
          <w:p>
            <w:pPr>
              <w:ind w:left="296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Note 4. Inventoried Costs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Inventoried costs consisted of the following components (in millions):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27,</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June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Production costs of contracts in process</w:t>
            </w:r>
          </w:p>
        </w:tc>
        <w:tc>
          <w:tcPr>
            <w:tcW w:w="2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customer advances and progress payments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 inventoried costs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Stockholders' Equity for the periods ended June 28, 2009 and June 27, 2010 is provided below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Six Months</w:t>
            </w:r>
          </w:p>
        </w:tc>
        <w:tc>
          <w:tcPr>
            <w:tcW w:w="1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28,</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June 27,</w:t>
            </w:r>
          </w:p>
        </w:tc>
      </w:tr>
      <w:tr>
        <w:trPr>
          <w:trHeight w:val="16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ESPP Plan and RSU settlement in cash</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options/warrants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w:t>
            </w:r>
          </w:p>
        </w:tc>
      </w:tr>
      <w:tr>
        <w:trPr>
          <w:trHeight w:val="27"/>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20" w:firstLine="348"/>
        <w:spacing w:after="0" w:line="306" w:lineRule="auto"/>
        <w:rPr>
          <w:sz w:val="20"/>
          <w:szCs w:val="20"/>
          <w:color w:val="auto"/>
        </w:rPr>
      </w:pPr>
      <w:r>
        <w:rPr>
          <w:rFonts w:ascii="Arial" w:cs="Arial" w:eastAsia="Arial" w:hAnsi="Arial"/>
          <w:sz w:val="16"/>
          <w:szCs w:val="16"/>
          <w:color w:val="auto"/>
        </w:rPr>
        <w:t>The Company has two classes of outstanding stock, Series B Convertible Preferred Stock and common stock. There was no issuance, redemption or conversion of the Series B Convertible Preferred Stock for the three and six months ended June 28, 2009 and June 27, 2010. Common stock issued by the Company for the six months ended June 28, 2009, and June 27, 2010, was as follows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Six Months</w:t>
            </w:r>
          </w:p>
        </w:tc>
        <w:tc>
          <w:tcPr>
            <w:tcW w:w="328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3280" w:type="dxa"/>
            <w:vAlign w:val="bottom"/>
            <w:gridSpan w:val="3"/>
          </w:tcPr>
          <w:p>
            <w:pPr>
              <w:jc w:val="center"/>
              <w:ind w:right="24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28,</w:t>
            </w:r>
          </w:p>
        </w:tc>
        <w:tc>
          <w:tcPr>
            <w:tcW w:w="328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1"/>
              </w:rPr>
              <w:t>Stock issued for employee stock purchase plan, stock options and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RSUs exercised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acquisitions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ind w:left="2300"/>
              <w:spacing w:after="0"/>
              <w:rPr>
                <w:sz w:val="20"/>
                <w:szCs w:val="20"/>
                <w:color w:val="auto"/>
              </w:rPr>
            </w:pPr>
            <w:r>
              <w:rPr>
                <w:rFonts w:ascii="Arial" w:cs="Arial" w:eastAsia="Arial" w:hAnsi="Arial"/>
                <w:sz w:val="18"/>
                <w:szCs w:val="18"/>
                <w:color w:val="auto"/>
              </w:rPr>
              <w:t>Shares outstanding at end of the period</w:t>
            </w:r>
          </w:p>
        </w:tc>
        <w:tc>
          <w:tcPr>
            <w:tcW w:w="10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4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40" w:type="dxa"/>
            <w:vAlign w:val="bottom"/>
            <w:gridSpan w:val="2"/>
            <w:vMerge w:val="restart"/>
          </w:tcPr>
          <w:p>
            <w:pPr>
              <w:jc w:val="right"/>
              <w:ind w:right="1252"/>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 xml:space="preserve">The Company calculates net income (loss) per share in accordance with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Topic 260"). Under ASC Topic 260,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basic and diluted earnings per share were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For the Three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For the Six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18"/>
              <w:spacing w:after="0" w:line="129" w:lineRule="exact"/>
              <w:rPr>
                <w:sz w:val="20"/>
                <w:szCs w:val="20"/>
                <w:color w:val="auto"/>
              </w:rPr>
            </w:pPr>
            <w:r>
              <w:rPr>
                <w:rFonts w:ascii="Arial" w:cs="Arial" w:eastAsia="Arial" w:hAnsi="Arial"/>
                <w:sz w:val="14"/>
                <w:szCs w:val="14"/>
                <w:b w:val="1"/>
                <w:bCs w:val="1"/>
                <w:color w:val="auto"/>
                <w:w w:val="96"/>
              </w:rPr>
              <w:t>June 28,</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6"/>
              </w:rPr>
              <w:t>June 28,</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income (loss) from continuing operations available for common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outstanding shares of common stock(B)</w:t>
            </w: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awards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Dilutive effect of contingently issuable shares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Basic(A/B)</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Diluted(A/C)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shares were excluded from the calculation of diluted earnings per share because their inclusion would have been anti-dilutive.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6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For the Three</w:t>
            </w:r>
          </w:p>
        </w:tc>
        <w:tc>
          <w:tcPr>
            <w:tcW w:w="160" w:type="dxa"/>
            <w:vAlign w:val="bottom"/>
          </w:tcPr>
          <w:p>
            <w:pPr>
              <w:spacing w:after="0"/>
              <w:rPr>
                <w:sz w:val="14"/>
                <w:szCs w:val="14"/>
                <w:color w:val="auto"/>
              </w:rPr>
            </w:pPr>
          </w:p>
        </w:tc>
        <w:tc>
          <w:tcPr>
            <w:tcW w:w="16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Six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6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rPr>
              <w:t>Months Ended</w:t>
            </w:r>
          </w:p>
        </w:tc>
        <w:tc>
          <w:tcPr>
            <w:tcW w:w="160" w:type="dxa"/>
            <w:vAlign w:val="bottom"/>
          </w:tcPr>
          <w:p>
            <w:pPr>
              <w:spacing w:after="0"/>
              <w:rPr>
                <w:sz w:val="14"/>
                <w:szCs w:val="14"/>
                <w:color w:val="auto"/>
              </w:rPr>
            </w:pPr>
          </w:p>
        </w:tc>
        <w:tc>
          <w:tcPr>
            <w:tcW w:w="1620" w:type="dxa"/>
            <w:vAlign w:val="bottom"/>
            <w:gridSpan w:val="4"/>
          </w:tcPr>
          <w:p>
            <w:pPr>
              <w:ind w:left="30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66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96"/>
              </w:rPr>
              <w:t>June 28,</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7"/>
              </w:rPr>
              <w:t>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Shares from preferred stock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w w:val="87"/>
              </w:rPr>
              <w:t>0.1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contingently issuable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7"/>
              </w:rPr>
              <w:t>0.1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Shares of common stock from convertible debt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w w:val="87"/>
              </w:rPr>
              <w:t>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31" w:lineRule="exact"/>
        <w:rPr>
          <w:sz w:val="20"/>
          <w:szCs w:val="20"/>
          <w:color w:val="auto"/>
        </w:rPr>
      </w:pPr>
    </w:p>
    <w:p>
      <w:pPr>
        <w:ind w:right="300" w:firstLine="341"/>
        <w:spacing w:after="0" w:line="335" w:lineRule="auto"/>
        <w:rPr>
          <w:sz w:val="20"/>
          <w:szCs w:val="20"/>
          <w:color w:val="auto"/>
        </w:rPr>
      </w:pPr>
      <w:r>
        <w:rPr>
          <w:rFonts w:ascii="Arial" w:cs="Arial" w:eastAsia="Arial" w:hAnsi="Arial"/>
          <w:sz w:val="15"/>
          <w:szCs w:val="15"/>
          <w:color w:val="auto"/>
        </w:rPr>
        <w:t>As of December 27, 2009, the Company had $12.6 million of unrecognized tax benefits that if recognized would affect the effective tax rate, subject to possible offset by an increase in the valuation allowance. During the six months ended June 27, 2010, this amount was reduced by $0.5 million relating to the expiration of statutes of limitations. The reduction in unrecognized tax benefits was recorded as a tax benefit from discontinued operations for $0.5 million.</w:t>
      </w:r>
    </w:p>
    <w:p>
      <w:pPr>
        <w:spacing w:after="0" w:line="1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the second quarter of 2010, the unrecognized tax benefits of Gichner of $0.4 million were recorded, resulting in unrecognized tax benefits at June 27, 2010 of $12.5 million. The increase in unrecognized tax benefits was recorded as an adjustment to goodwill. The Gichner unrecognized tax benefits are related to various state tax issues.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 (Continued)</w:t>
      </w:r>
    </w:p>
    <w:p>
      <w:pPr>
        <w:spacing w:after="0" w:line="231" w:lineRule="exact"/>
        <w:rPr>
          <w:sz w:val="20"/>
          <w:szCs w:val="20"/>
          <w:color w:val="auto"/>
        </w:rPr>
      </w:pPr>
    </w:p>
    <w:p>
      <w:pPr>
        <w:ind w:right="480" w:firstLine="348"/>
        <w:spacing w:after="0" w:line="305" w:lineRule="auto"/>
        <w:rPr>
          <w:sz w:val="20"/>
          <w:szCs w:val="20"/>
          <w:color w:val="auto"/>
        </w:rPr>
      </w:pPr>
      <w:r>
        <w:rPr>
          <w:rFonts w:ascii="Arial" w:cs="Arial" w:eastAsia="Arial" w:hAnsi="Arial"/>
          <w:sz w:val="15"/>
          <w:szCs w:val="15"/>
          <w:color w:val="auto"/>
        </w:rPr>
        <w:t>The Company recognizes interest and penalties related to unrecognized tax benefits in its provision for income taxes. There were no material expense amounts recorded during the three and six month periods ended June 28, 2009 and June 27, 2010, respectively. As a result of the Gichner acquisition, a</w:t>
      </w:r>
    </w:p>
    <w:p>
      <w:pPr>
        <w:ind w:right="20"/>
        <w:spacing w:after="0" w:line="254" w:lineRule="auto"/>
        <w:rPr>
          <w:sz w:val="20"/>
          <w:szCs w:val="20"/>
          <w:color w:val="auto"/>
        </w:rPr>
      </w:pPr>
      <w:r>
        <w:rPr>
          <w:rFonts w:ascii="Arial" w:cs="Arial" w:eastAsia="Arial" w:hAnsi="Arial"/>
          <w:sz w:val="18"/>
          <w:szCs w:val="18"/>
          <w:color w:val="auto"/>
        </w:rPr>
        <w:t>$0.1 million liability for cumulative interest and penalties was recorded with a corresponding increase to goodwill. The Company recorded a benefit for interest and penalties related to the reversal of prior positions of $0.2 and $0.3 million for the six month periods ended June 28, 2009 and June 27, 2010, respectively. No benefit for interest and penalties related to the reversal of prior positions was recorded for the three month periods ended June 28, 2009 and June 27, 2010, respectively.</w:t>
      </w:r>
    </w:p>
    <w:p>
      <w:pPr>
        <w:spacing w:after="0" w:line="19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$3.0 million of the liabilities for uncertain tax positions will expire within 12 months of June 27, 2010 due to the expiration of various applicable statutes of limitations and possible settlement of a pending income tax refund claim.</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Company's acquisition of Gichner, the Company recorded the acquired assets and liabilities at their respective fair market value. For financial statement purposes, the Company increased the historic basis of the Gichner assets by approximately $46.3 million. For tax purposes, the Company is required to carry over the historic tax basis of the assets and liabilities of Gichner. In accordance with ASC Topic 805, the Company established deferred tax liabilities of approximately $16.2 million for the increase in the financial statement basis of the acquired assets of Gichner. As a result of the ability to recognize deferred tax assets for these deferred tax liabilities, the Company released valuation allowances against its deferred tax assets and recognized an income tax benefit of $12.2 million for the six months ended June 27, 2010.</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 (Continued)</w:t>
      </w:r>
    </w:p>
    <w:p>
      <w:pPr>
        <w:spacing w:after="0" w:line="231"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 reconciliation of total income tax provision to the amount computed by applying the statutory federal income tax rate of 35% to loss from continuing operations before income tax provision for the three and six months ended June 28, 2009 and June 27, 2010 is as follows (in millions):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Three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Six</w:t>
            </w: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Months Ended</w:t>
            </w: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6"/>
              </w:rPr>
              <w:t>June 28,</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6"/>
              </w:rPr>
              <w:t>June 28,</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State taxes, net of federal tax benefit and valuation allowance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Release of valuation allowance due to Gichner acquisition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Decrease in federal valuation allowance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("Section 382") of the Internal Revenue Code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Services ("IRS") in the month of the ownership change or the two preceding months. As of June 27, 2010, we believe that an "ownership change" had occurred which will limit the utilization of the loss carryforwards. We are currently evaluating the extent of the limitation on our annual utilization of the net operating loss carryforwards. Any potential limitation would not impact the income tax provision for the quarter ended June 27, 2010. In addition, future equity offerings on acquisitions that have equity as a component of the purchase price could result in an "ownership change". If and when an "ownership change" occurs, utilization of the net operating loss or other tax attributes may be further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July 7, 2007, the Company entered into a definitive agreement with an affiliate of Platinum Equity to sell the Company's wireless deployment business. Total consideration for the acquisition was $24.0 million including $18.0 million in cash at closing, subject to post closing working capital adjustments, and an aggregate of $6.0 million in a three-year earn-out arrangement through 2010.</w:t>
      </w:r>
    </w:p>
    <w:p>
      <w:pPr>
        <w:spacing w:after="0" w:line="194"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On July 16, 2008, the Company came to an agreement with Platinum Equity on a working capital adjustment of $5.0 million. In connection with that resolution, the earn-out arrangement was terminated. Payments of $1.0 million were made in each of August and September of 2008, with an additional $0.5 million paid in December 2008. In March of 2009, the Company paid $1.5 million of</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working capital adjustment. On August 4, 2009, the Company paid $1.3 million in full settlement of all amounts due to Platinum Equity.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due diligence process related to the acquisition of SYS, senior management identified three business units of SYS which were non-core to Kratos' base national security and public security businesses. In accordance with ASC Topic 205</w:t>
      </w:r>
      <w:r>
        <w:rPr>
          <w:rFonts w:ascii="Arial" w:cs="Arial" w:eastAsia="Arial" w:hAnsi="Arial"/>
          <w:sz w:val="18"/>
          <w:szCs w:val="18"/>
          <w:i w:val="1"/>
          <w:iCs w:val="1"/>
          <w:color w:val="auto"/>
        </w:rPr>
        <w:t>, Presentation of Financial Statements</w:t>
      </w:r>
      <w:r>
        <w:rPr>
          <w:rFonts w:ascii="Arial" w:cs="Arial" w:eastAsia="Arial" w:hAnsi="Arial"/>
          <w:sz w:val="18"/>
          <w:szCs w:val="18"/>
          <w:color w:val="auto"/>
        </w:rPr>
        <w:t xml:space="preserve"> ("ASC Topic 205"), these business units were classified as held for sale and reported in discontinued operations. In the quarter ended March 29, 2009, all three of the businesses were sold for an aggregate cash consideration of approximately $0.4 million.</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plan to sell these businesses included a comprehensive assessment of personnel, relocation of personnel, facility consolidation and exit strategies for certain lines of business. The plan provided for approximately $2.0 million of restructuring costs associated with personnel, and additional costs of $0.6 million for facilities consolidation. The restructuring costs are primarily associated with the businesses sold and are accounted for in discontinued operations in the accompanying condensed consolidated financial statements. As of June 27, 2010, approximately $1.5 million of severance costs and $0.5 million of facilities costs have been paid. The remaining liabilities for severance and facilities are $0.4 million and $0.1 million, respectively, and are included in other current liabilities in the condensed consolidated balance sheet. The following table shows a reconciliation of the beginning accrual to the remaining balance as of June 27, 2010 (in millions):</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Severance</w:t>
            </w:r>
          </w:p>
        </w:tc>
        <w:tc>
          <w:tcPr>
            <w:tcW w:w="160" w:type="dxa"/>
            <w:vAlign w:val="bottom"/>
            <w:gridSpan w:val="2"/>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Original accrual recorded in 2008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Payments in 2008</w:t>
            </w:r>
          </w:p>
        </w:tc>
        <w:tc>
          <w:tcPr>
            <w:tcW w:w="2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 in 2009</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Payments in 2010</w:t>
            </w:r>
          </w:p>
        </w:tc>
        <w:tc>
          <w:tcPr>
            <w:tcW w:w="2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June 27, 2010</w:t>
            </w:r>
          </w:p>
        </w:tc>
        <w:tc>
          <w:tcPr>
            <w:tcW w:w="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June 24, 2009, as a result of the continued operating losses in the Southeast division of the Company's Public Safety and Security segment, the Company's Board of Directors approved a plan to sell and dispose of the Southeast division. In accordance with ASC Topic 205, this business unit was classified as held for sale and reported in discontinued operations in the accompanying condensed consolidated financial statements. The Company recorded a $2.0 million impairment charge in the second quarter of 2009 related to management's estimate of the fair value of the business.</w:t>
      </w:r>
    </w:p>
    <w:p>
      <w:pPr>
        <w:spacing w:after="0" w:line="16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 August 2, 2010, the Company divested its Southeast division of the Company's Public Safety and Security segment for approximately $0.1 million cash consideration and the assumption of certain liabilities. The Company has recorded an additional impairment charge of approximately $0.2 million in the second quarter 2010 condensed consolidated statement of operations to reflect the terms of the sale.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For the Six</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600" w:type="dxa"/>
            <w:vAlign w:val="bottom"/>
          </w:tcPr>
          <w:p>
            <w:pPr>
              <w:spacing w:after="0"/>
              <w:rPr>
                <w:sz w:val="11"/>
                <w:szCs w:val="11"/>
                <w:color w:val="auto"/>
              </w:rPr>
            </w:pPr>
          </w:p>
        </w:tc>
        <w:tc>
          <w:tcPr>
            <w:tcW w:w="8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28,</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June 27,</w:t>
            </w:r>
          </w:p>
        </w:tc>
        <w:tc>
          <w:tcPr>
            <w:tcW w:w="160" w:type="dxa"/>
            <w:vAlign w:val="bottom"/>
          </w:tcPr>
          <w:p>
            <w:pPr>
              <w:spacing w:after="0"/>
              <w:rPr>
                <w:sz w:val="11"/>
                <w:szCs w:val="11"/>
                <w:color w:val="auto"/>
              </w:rPr>
            </w:pPr>
          </w:p>
        </w:tc>
        <w:tc>
          <w:tcPr>
            <w:tcW w:w="8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28,</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June 27,</w:t>
            </w:r>
          </w:p>
        </w:tc>
        <w:tc>
          <w:tcPr>
            <w:tcW w:w="160" w:type="dxa"/>
            <w:vAlign w:val="bottom"/>
          </w:tcPr>
          <w:p>
            <w:pPr>
              <w:spacing w:after="0"/>
              <w:rPr>
                <w:sz w:val="11"/>
                <w:szCs w:val="11"/>
                <w:color w:val="auto"/>
              </w:rPr>
            </w:pPr>
          </w:p>
        </w:tc>
      </w:tr>
      <w:tr>
        <w:trPr>
          <w:trHeight w:val="161"/>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loss before taxes</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(0.4)</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(0.6)</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(0.8)</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Net income (loss) after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360" w:type="dxa"/>
            <w:vAlign w:val="bottom"/>
          </w:tcPr>
          <w:p>
            <w:pPr>
              <w:jc w:val="right"/>
              <w:ind w:right="182"/>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60" w:type="dxa"/>
            <w:vAlign w:val="bottom"/>
          </w:tcPr>
          <w:p>
            <w:pPr>
              <w:jc w:val="right"/>
              <w:ind w:right="182"/>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bl>
    <w:p>
      <w:pPr>
        <w:spacing w:after="0" w:line="20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benefit for income taxes for the six months ended June 28, 2009 and June 27, 2010 was primarily due to the expiration of the statute of limitations for certain foreign tax contingencies related to our discontinued wireless services business.</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following is a summary of the assets and liabilities of discontinued operations which are in other current assets, other assets, other current liabilities and other long-term liabilities in the accompanying condensed consolidated balance sheets as of December 27, 2009 and June 27, 2010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27,</w:t>
            </w:r>
          </w:p>
        </w:tc>
        <w:tc>
          <w:tcPr>
            <w:tcW w:w="3100" w:type="dxa"/>
            <w:vAlign w:val="bottom"/>
            <w:gridSpan w:val="4"/>
          </w:tcPr>
          <w:p>
            <w:pPr>
              <w:ind w:left="100"/>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2300"/>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gridSpan w:val="2"/>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2300"/>
              <w:spacing w:after="0"/>
              <w:rPr>
                <w:sz w:val="20"/>
                <w:szCs w:val="20"/>
                <w:color w:val="auto"/>
              </w:rPr>
            </w:pPr>
            <w:r>
              <w:rPr>
                <w:rFonts w:ascii="Arial" w:cs="Arial" w:eastAsia="Arial" w:hAnsi="Arial"/>
                <w:sz w:val="18"/>
                <w:szCs w:val="18"/>
                <w:color w:val="auto"/>
              </w:rPr>
              <w:t>Non-current unrecognized tax benefits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gridSpan w:val="2"/>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2300"/>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0" w:type="dxa"/>
            <w:vAlign w:val="bottom"/>
            <w:gridSpan w:val="2"/>
            <w:vMerge w:val="restart"/>
          </w:tcPr>
          <w:p>
            <w:pPr>
              <w:jc w:val="right"/>
              <w:ind w:right="1312"/>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May 2010 10% Senior Secured Note Offering</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May 19, 2010, the Company issued the Original Notes in an unregistered offering pursuant to Rule 144A and Regulation S under the Securities Act. On July 12, 2010, the Company commenced an exchange offer for the Original Notes pursuant to a registration rights agreement entered into in connection with the issuance of the Original Notes. In the exchange offer, the Company is offering to exchange the Original Notes for a like aggregate amount of 10% Senior Secured Notes due June 1, 2017 registered under the Securities Act (the "Exchange Notes"). The Exchange Notes will have substantially similar terms as the Original Notes, except that the Exchange Notes will have no transfer restrictions or registration rights. The expiration date of the exchange offer is August 11, 2010, unless it is extended by the Company. The Exchange Notes are fully and unconditionally guaranteed, jointly and severally, on a senior secured basis by the Company and each of its subsidiaries, as the guarantors thereof. The Company will pay interest on the Exchange Notes semi-annually, in arrears, on June 1 and December 1 of each year, beginning December 1, 2010.</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Exchange Notes are secured by a lien on substantially all of the Company's assets and the assets of the guarantors thereunder, subject to certain exceptions and permitted liens. The holders of the Exchange Notes have a first priority lien on substantially all assets of the Company and the guarantors, except accounts receivable, inventories, deposit accounts, securities accounts, cash, securities and general intangibles (other than intellectual property) where the holders of the Exchange Notes have a second priority lien to the $25.0 million revolving line of credit described below.</w:t>
      </w:r>
    </w:p>
    <w:p>
      <w:pPr>
        <w:spacing w:after="0" w:line="16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or after June 1, 2014, the Company may redeem some or all of the Exchange Notes at 105% of the aggregate principal amount of such notes through June 1, 2015, 102.5% of the aggregate principal amount of such through June 1, 2016 and 100% of the aggregate principal amount of such notes thereafter, plus accrued and unpaid interest to the date of redemption. Prior to June 1, 2013, the Company may redeem up to 35% of the aggregate principal amount of the Exchange Notes at 110% of the aggregate principal amount of the Exchange Notes, plus accrued and unpaid interest to the redemption date, with the net cash proceeds of certain equity offerings. In addition, the Company may, at its option, redeem some or all of the Exchange Notes at any time prior to June 1, 2014, by paying a "make whole" premium, plus accrued and unpaid interest, if any, to the date of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$25 Million Credit Facility</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May 19, 2010, the Company entered into the May 2010 Credit Agreement with KeyBank National Association ("KeyBank"), each of its subsidiaries, as guarantors, and the lenders party thereto, for a four year senior secured revolving credit facility in the amount of $25.0 million (the "Revolver"). The Revolver is secured by a lien on substantially all of the Company's assets and the assets of the guarantors thereunder, subject to certain exceptions and permitted liens. The Revolver has a first priority lien on accounts receivable, inventories, deposit accounts, securities accounts, cash, securities and intellectual property. On all other assets, the Revolver has a second priority lien to the Original Notes.</w:t>
      </w:r>
    </w:p>
    <w:p>
      <w:pPr>
        <w:spacing w:after="0" w:line="170"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Revolver is available for four years and may be increased to $45.0 million. The increases in the Revolver are subject to the consent of KeyBank and compliance with covenants in the Original Notes. The amounts of borrowings that may be made under the Revolver are based on a borrowing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base and are comprised of specified percentages of eligible receivables and eligible inventory, up to a maximum of $25.0 million. If the amount of borrowings outstanding under the Revolver exceeds the borrowing base then in effect, the Company is required to repay such borrowings in an amount sufficient to eliminate such excess. The Revolver includes $10.0 million of availability for letters of credit and $5.0 million of availability for swingline loans.</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June 27, 2010 the Company had no outstanding borrowings on the Revolver and $2.4 million in outstanding letters of credit resulting in net availability of $22.6 million. The Company was in compliance with the covenants contained in the Revolver as of June 27, 2010.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Prior to May 19, 2010, the Company had a revolving credit facility (the "Second Credit Facility") with KeyBank, as administrative agent and lender, in the aggregate principal amount of $60.0 million, which was secured by the assets of the Company and its subsidiaries. The Second Credit Facility was entered into on March 3, 2010 and was comprised of a (i) $35.0 million term loan facility and (ii) $25.0 million revolving line of credit. Bank of America, N.A., was syndication agent and lender, and KeyBanc Capital Markets and Banc of America acted as co-lead arrangers and book runners. All loans under the credit facility had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2.0% to 4.5% and a margin of 0.5% to 4.25% on the revolving line of credit. All rates were subject to a LIBOR floor of 2.75% and a "prime rate" floor of 5.25%. On May 19, 2010 the outstanding balance of $54.5 million was paid in full. As a result of the refinance, the Company recorded an interest charge of approximately $1.7 million in the second quarter of 2010 relating to the write-off of previously deferred financing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Prior to March 3, 2010, the Company had a credit facility of $85.0 million with KeyBank, as administrative agent (the "First Credit Facility"). This First Credit Facility provided for (i) two term loans consisting of a first lien term note of $50.0 million and a second lien term note of $10.0 million and (ii) a first lien $25.0 million revolving line of credit. The First Credit Facility was secured by the assets of the Company and its subsidiaries. KeyBank held the revolving line of credit and the second lien term note. Field Point III, Ltd. and SPF CDO I, Ltd., both affiliates of Silverpoint Capital LP ("Silverpoint"), held the first lien term note. All loans under the First Credit Facility had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were subject to a LIBOR floor of 4.25% and a "prime rate" floor of 5.25%.</w:t>
      </w:r>
    </w:p>
    <w:p>
      <w:pPr>
        <w:spacing w:after="0" w:line="19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March 3, 2010 the outstanding balance of $55.4 million was paid in full as a result of the refinance described above. Approximately $25.0 million of the proceeds were used to pay in full the remaining balance on the first lien term loan under the First Credit Facility held by Silverpoint, at par, with no prepayment penalties, pursuant to the Settlement Agreement that the Company entered into with Silverpoint in October 2009. As a result of the refinance, the Company recorded an interest charge of approximately $2.2 million in the first quarter of 2010 relating to the write-off of previously deferred financing costs.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of June 27, 2010, the Company had outstanding convertible notes payable totaling $950,000 which were acquired as a result of the SYS acquisition and are due on August 14, 2010, $25,000 of which is payable to a related party. The balance of the outstanding notes is $950,000 and is potentially convertible into common stock of Kratos at $10.20 per share or approximately 93,137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ASC Topic 820 defines fair value, establishes a market-based framework or hierarchy for measuring fair value, and expands disclosures about fair value measurements. ASC Topic 820 is applicable whenever another accounting pronouncement requires or permits assets and liabilities to be measured at fair value, but does not require any new fair value measurements.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hierarchy established in ASC Topic 820 prioritizes the inputs used in valuation techniques into three levels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liabilities—includes quoted prices for similar instruments, quoted prices for identical or similar instruments in inactive markets, and amounts derived from valuation models where all significant inputs are observable in active markets; and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 (Continued)</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86"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presents assets and liabilities measured and recorded at fair value on the Company's condensed consolidated balance sheets on a recurring basis and their level within the fair value hierarchy as of December 27, 2009 and June, 27, 2010:</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Derivative Liabilities (Interest Rate Swaps)</w:t>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24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December 27, 2009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June 27, 2010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significant Level 2 observable inputs utilized to value the Company's interest rate swaps are based upon the terminal value of the swaps. The terminal value of the interest rate swaps is calculated by comparing the fixed rate on the swap to the rate that would be received by entering into an identical swap at the rates in effect at the time of termination. The difference in these two rates (in %) is then multiplied by the notional amount of the swap in each remaining period and discounted to present value. The major inputs utilized in the terminal value calculation are valuation date, original swap rate, replacement swap rate, and discount rate. The terminal value calculations are validated with the use of quotes on similar financial instruments from a nationally recognized financial reporting service.</w:t>
      </w:r>
    </w:p>
    <w:p>
      <w:pPr>
        <w:spacing w:after="0" w:line="198"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carrying value of the interest rate swaps is classified as other current liabilities as of June 27, 2010 and long term liabilities as of December 27, 2009 in the condensed consolidated balance sheet. Mark to market adjustments for the interest rate swaps are recorded in other income (expense), net in the condensed consolidated statements of operations.</w:t>
      </w:r>
    </w:p>
    <w:p>
      <w:pPr>
        <w:spacing w:after="0" w:line="194" w:lineRule="exact"/>
        <w:rPr>
          <w:sz w:val="20"/>
          <w:szCs w:val="20"/>
          <w:color w:val="auto"/>
        </w:rPr>
      </w:pPr>
    </w:p>
    <w:p>
      <w:pPr>
        <w:ind w:right="540" w:firstLine="351"/>
        <w:spacing w:after="0" w:line="335" w:lineRule="auto"/>
        <w:rPr>
          <w:sz w:val="20"/>
          <w:szCs w:val="20"/>
          <w:color w:val="auto"/>
        </w:rPr>
      </w:pPr>
      <w:r>
        <w:rPr>
          <w:rFonts w:ascii="Arial" w:cs="Arial" w:eastAsia="Arial" w:hAnsi="Arial"/>
          <w:sz w:val="15"/>
          <w:szCs w:val="15"/>
          <w:color w:val="auto"/>
        </w:rPr>
        <w:t>Carrying amounts and the related estimated fair values of the Company's financial instruments not measured at fair value on a recurring basis at December 27, 2009 and June 27, 2010 are presented in the following table. The carrying value of all other financial instruments, including cash and cash equivalents, accounts receivable, accounts payable and short-term debt, approximated their estimated fair values at December 27, 2009 and June 27, 2010.</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December 27, 2009</w:t>
            </w:r>
          </w:p>
        </w:tc>
        <w:tc>
          <w:tcPr>
            <w:tcW w:w="160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27,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26"/>
              <w:spacing w:after="0" w:line="12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80" w:type="dxa"/>
            <w:vAlign w:val="bottom"/>
          </w:tcPr>
          <w:p>
            <w:pPr>
              <w:spacing w:after="0"/>
              <w:rPr>
                <w:sz w:val="14"/>
                <w:szCs w:val="14"/>
                <w:color w:val="auto"/>
              </w:rPr>
            </w:pPr>
          </w:p>
        </w:tc>
        <w:tc>
          <w:tcPr>
            <w:tcW w:w="580" w:type="dxa"/>
            <w:vAlign w:val="bottom"/>
          </w:tcPr>
          <w:p>
            <w:pPr>
              <w:jc w:val="center"/>
              <w:ind w:right="26"/>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225.0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225.0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Long-Term Debt—the fair value of the long-term debt was calculated using present value techniques based on interest rates available for debt with terms and due dates similar to the Company's existing debt arrangements and the Company's current scheduled principal payments (Level 2, Significant other observable inputs).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uses derivative financial instruments, in particular, interest rate swaps, to reduce the Company's exposure to its variable rate debt. The primary objective of the interest rate swaps is to eliminate the variability of cash flows and interest rate risk for payments made on variable rate debt, the sole source of which is due to changes in the benchmark three month LIBOR interest rate. Changes in the cash flows of the interest rate swap are expected to exactly offset the changes in cash flows (i.e., changes in interest rate payments) attributable to fluctuations in the three month LIBOR on the variable-rate debt.</w:t>
      </w:r>
    </w:p>
    <w:p>
      <w:pPr>
        <w:spacing w:after="0" w:line="167"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Company records derivatives at their fair value. The classification of gains and losses resulting from changes in the fair values of derivatives is dependent on the Company's intended use of the derivative and its resulting designation. Adjustments to reflect changes in fair values of derivatives that the Company considers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 aggregate notional amount of outstanding interest rate swap contracts at June 27, 2010 was $45.0 million.</w:t>
      </w:r>
    </w:p>
    <w:p>
      <w:pPr>
        <w:spacing w:after="0" w:line="172"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Company's derivative financial instruments, which are cash flow hedges, were considered ineffective as a result of the interest rate floor that occurred with the first amendment of the Company's Prior Credit Facility in March 2008. The effect of marking the derivative instruments to market for the three and six months ended June 28, 2009 was expense of $0.0 million and $0.2 million, respectively, and for the three and six months ended June 27, 2010 was income of $0.2 million and $0.3 million, respectively; all of which is reflected in other income (expense) in the accompanying condensed consolidated statements of operations. The fair value of the Company's derivative liabilities as of December 27, 2009 and June 27, 2010 was $1.4 million and $0.8 million, respectively, and is carried in other long term liabilities and other current liabilities, respectively, in the accompanying condensed consolidated balance sheets. See Note 10 for further discussion on the fair value measurements related to the Company's derivative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periods presented and the percentage of net sales made to such customers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Key</w:t>
            </w:r>
          </w:p>
        </w:tc>
        <w:tc>
          <w:tcPr>
            <w:tcW w:w="24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w w:val="87"/>
              </w:rPr>
              <w:t>For the Six Months Ended</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Customers</w:t>
            </w: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28, 2009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4"/>
              </w:rPr>
              <w:t>June 27, 2010</w:t>
            </w:r>
          </w:p>
        </w:tc>
        <w:tc>
          <w:tcPr>
            <w:tcW w:w="18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June 28, 2009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June 27,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Navy</w:t>
            </w:r>
          </w:p>
        </w:tc>
        <w:tc>
          <w:tcPr>
            <w:tcW w:w="8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   31.0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34.7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U.S. Army</w:t>
            </w:r>
          </w:p>
        </w:tc>
        <w:tc>
          <w:tcPr>
            <w:tcW w:w="820" w:type="dxa"/>
            <w:vAlign w:val="bottom"/>
          </w:tcPr>
          <w:p>
            <w:pPr>
              <w:jc w:val="right"/>
              <w:ind w:right="102"/>
              <w:spacing w:after="0"/>
              <w:rPr>
                <w:sz w:val="20"/>
                <w:szCs w:val="20"/>
                <w:color w:val="auto"/>
              </w:rPr>
            </w:pPr>
            <w:r>
              <w:rPr>
                <w:rFonts w:ascii="Arial" w:cs="Arial" w:eastAsia="Arial" w:hAnsi="Arial"/>
                <w:sz w:val="18"/>
                <w:szCs w:val="18"/>
                <w:color w:val="auto"/>
              </w:rPr>
              <w:t>18.3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8"/>
                <w:szCs w:val="18"/>
                <w:color w:val="auto"/>
              </w:rPr>
              <w:t>15.8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29.2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customers are all part of the Kratos Government Services segment. The Company's top five customers accounted for approximately 64% of total revenue for the three and six months ended June 28, 2009, respectively, and for approximately 58% and 34% for the three and six months ended June 27, 2010, respectively. Total revenue from the federal government for the three and six months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 (Continued)</w:t>
      </w:r>
    </w:p>
    <w:p>
      <w:pPr>
        <w:spacing w:after="0" w:line="231"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ended June 28, 2009 was $78.4 million and $149.7 million, respectively, and for the three and six months ended June 27, 2010 was $85.8 million and $144.1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operates in two principal business segments: Kratos Government Solutions and Public Safety and Security. The Company organizes its business segments based on the nature of the services offered. In the following table, total operating income of the business segments is reconciled to the corresponding consolidated amount. The reconciling item "Unallocated corporate income (expense), net" includes costs for certain stock-based compensation programs (including stock-based compensation costs for stock options and restricted stock units), the effects of items not considered part of management's evaluation of segment operating performance,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Revenues and operating income (loss) generated by the Company's current reporting segments for the three months ended June 28, 2009 and June 27, 2010 are as follows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June 28,</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85"/>
              </w:rPr>
              <w:t>June 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6"/>
              </w:rPr>
              <w:t>June 28,</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Unallocated corporate income (expense), net</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six months ended June 28, 2009, the operating loss of the KGS segment includes a non-cash charge of $41.3 million related to goodwill impairment.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296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3100" w:type="dxa"/>
            <w:vAlign w:val="bottom"/>
            <w:gridSpan w:val="4"/>
          </w:tcPr>
          <w:p>
            <w:pPr>
              <w:jc w:val="center"/>
              <w:ind w:right="2420"/>
              <w:spacing w:after="0" w:line="149" w:lineRule="exact"/>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234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405.3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activities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78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234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120" w:type="dxa"/>
            <w:vAlign w:val="bottom"/>
            <w:vMerge w:val="restart"/>
          </w:tcPr>
          <w:p>
            <w:pPr>
              <w:jc w:val="right"/>
              <w:ind w:right="1312"/>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and Section 10(b) of the Securities Exchange Act of 1934, as amended (the "Exchange Act")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In 2004, two derivative lawsuits were filed in the U.S.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contained in the original complaint and adding allegations regarding the Company's stock option granting practices.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settlement of all derivative litigation, discussed below, the court stayed all other matters except as necessary to document and consummate the settlement. Similarly, the appellate court stayed all matters related to plaintiffs' notice of appeal of the personal jurisdictional order pending settlement.</w:t>
      </w:r>
    </w:p>
    <w:p>
      <w:pPr>
        <w:spacing w:after="0" w:line="200" w:lineRule="exact"/>
        <w:rPr>
          <w:sz w:val="20"/>
          <w:szCs w:val="20"/>
          <w:color w:val="auto"/>
        </w:rPr>
      </w:pPr>
    </w:p>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August and September 2004, two virtually identical derivative lawsuits were filed in California Superior Court for San Diego County against certain of the Company's current and former officers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directors. These actions contain factual allegations similar to those of the federal derivative lawsuit,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 for an additional six months. The Court subsequently granted the parties' stipulation and stay request and ordered the parties to file an updated status report in April 2010.</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district court granted the parties' joint motion for preliminary approval of their proposed settlement in January 2010. In March 2010, the district court granted final approval of the proposed settlement and issued its Final Judgment and Order of Dismissal. Under the terms of the parties' settlement agreement, the district court's judgment becomes "final" upon the latest of: "(a) the date of final affirmance on an appeal of the Judgment, the expiration of the time for a petition for or a denial of a writ of certiorari to review the Judgment and, if certiorari is granted, the date of final affirmance of the Judgment following review pursuant to that grant; (b) the date of final dismissal of any appeal from the Judgment or the final dismissal, denial or withdrawal of any proceeding on certiorari to review the Judgment; or (c) if no appeal is filed, the expiration date of the applicable time to file a notice of appeal from the Judgment." The details of the settlement are set forth in the settlement papers filed with the court. The time to file a notice of appeal has expired and the settlement agreement has become effective.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its business, financial condition, operating results or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and competition in the marketplace which could reduce revenues and profit margins.</w:t>
      </w:r>
    </w:p>
    <w:p>
      <w:pPr>
        <w:spacing w:after="0" w:line="17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amortization expense, may be considered non-GAAP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20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2009 Form 10-K, including the disclosures made in Item 1A "Risk Factors" and the audited consolidated financial statements and related notes included therein.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are one of the leading providers of mission-critical engineering, information technology services, strategic communications and warfighter products, solutions and services for customers primarily within the U.S. Department of Defense ("DoD"), U.S. intelligence agencies and other U.S. federal agencies. We believe we have particular expertise in providing products, solutions and services related to Command, Control, Communications, Computing, Combat Systems, Intelligence, Surveillance and Reconnaissance ("C5ISR"); weapons systems sustainment; military weapon range operations; network engineering services; information assurance and cyber security solutions and security and surveillance systems. Our employees are strategically located throughout the U.S. and at key military installations, and a majority of our over 2,750 employees have national security clearances. These security clearances, along with our past performance qualifications, are a requirement for the majority of our contract vehicles and customer engagements.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offer our customers solutions and expertise to support their mission-critical needs by leveraging our skills across our core service areas. Our primary customers include the U.S. Army, U.S. Navy, U.S. Air Force, other agencies under the DoD and other federal agencies. In addition, we provide services to various state and local governments as well as commercial customers. We believe our strong customer relationships provide for a diversified and stable contract base. We provide products, solutions and services for a wide range of established, deployed and operating national security platforms, including: Aegis Ballistic Missile Defense systems, Chaparral and Hawk missile systems, Kiowa AH-60 helicopters, DDG-1000 Zumwalt destroyers, attack and missile submarines, certain intelligence surveillance and reconnaissance systems and various unmanned systems.</w:t>
      </w:r>
    </w:p>
    <w:p>
      <w:pPr>
        <w:spacing w:after="0" w:line="17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also provide tactical combat vehicle shelters for C5ISR systems, weapon systems and warfighters. Our tactical military facilities and products include lightweight, high-strength enclosures for widely recognized military programs and platforms, as well as ruggedized and readily transported enclosures. Our product design approach focuses on highly engineered enclosures and facilities that have the flexibility to be modified to customer specifications. We routinely design, integrate and install components into our standard products, such as communication systems infrastructure, racks and cabinets and power distribution and lighting, among others.</w:t>
      </w:r>
    </w:p>
    <w:p>
      <w:pPr>
        <w:spacing w:after="0" w:line="197"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On May 19, 2010, we completed the offering of 10% Senior Secured Notes in the aggregate amount of $225.0 million (the "Original Notes") and our acquisition of Gichner, a privately held leading manufacturer, designer and integrator of customized tactical military products and facilities, subsystems and modular systems for the U.S. military and its allies, for a total purchase price of approximately $133.0 million in cash. Concurrent with the completion of the offering of the Original Notes, on May 19, 2010, we entered into a Credit and Security Agreement (the "May 2010 Credit Agreement") with certain lenders and with KeyBank National Association ("KeyBank"), as administrative agent, lead arranger and sole book runner, for a four year senior secured revolving credit facility in the amount of $25.0 million. See "Contractual Obligations and Commitments" for a further discussion of the Original Notes and the revolving credit facility.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operate in two principal business segments: Kratos Government Solutions and Public Safety and Security.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Quarterly Report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KGS segment provides engineering, information technology and weapons systems to federal, state, and local government agencies, but primarily the DoD. Our work includes weapon systems sustainment, lifecycle support and extension; C5ISR services; military range operations and technical services; missile, rocket, and weapons systems test and evaluation; mission launch services; modeling and simulation, UAV products and technology, and advanced network engineering and information technology services; and public safety, security and surveillance systems integration. We produce products, solutions and services related to certain C5ISR platforms, unmanned system platforms, weapons systems, national security related assets and warfighter systems.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Our PSS segment provides independent integrated solutions for advanced homeland security, public safety, security and surveillance systems for government and commercial applications. Our solutions include designing, installing and servicing building technologies that protect people, assets, information and property and make facilities more secure and efficient. We provide solutions in such areas as access control, building automation and control, communications, digital and closed circuit television security and surveillance, fire and life safety, maintenance and services and product support services.</w:t>
      </w:r>
    </w:p>
    <w:p>
      <w:pPr>
        <w:spacing w:after="0" w:line="167"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provide solutions for customers in the financial, information technology, healthcare, education, transportation and petro-chemical industries, as well as certain government and military customers. For example, we provide biometrics and other access control technologies to customers such as large data centers, government installations and other commercial enterprises.</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2009 Form 10-K.</w:t>
      </w:r>
    </w:p>
    <w:p>
      <w:pPr>
        <w:spacing w:after="0" w:line="186"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On September 10, 2009, we completed a 1-for-10 reverse split of our common stock. All common stock, stock options, and warrants to purchase common stock and earnings per share amounts have been retroactively restated as if the reverse stock split occurred at the beginning of the periods presented.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27, 2010, we consider the factors discussed below to be important to understanding our financial statements.</w:t>
      </w:r>
    </w:p>
    <w:p>
      <w:pPr>
        <w:spacing w:after="0" w:line="225"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federal government and provided to our PSS customers under fixed price contracts, the Company utilizes both cost-to-cost and units produced measures under the percentage-of-completion method of accounting under the provisions of ASC</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deliveries or as computed on the basis of the estimated final average unit costs plus profit. The company classifies contract revenues as product sales or service revenues depending upon the predominant attributes of the relevant underlying contracts.</w:t>
      </w:r>
    </w:p>
    <w:p>
      <w:pPr>
        <w:spacing w:after="0" w:line="17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120"/>
        <w:spacing w:after="0" w:line="268" w:lineRule="auto"/>
        <w:rPr>
          <w:sz w:val="20"/>
          <w:szCs w:val="20"/>
          <w:color w:val="auto"/>
        </w:rPr>
      </w:pPr>
      <w:r>
        <w:rPr>
          <w:rFonts w:ascii="Arial" w:cs="Arial" w:eastAsia="Arial" w:hAnsi="Arial"/>
          <w:sz w:val="18"/>
          <w:szCs w:val="18"/>
          <w:color w:val="auto"/>
        </w:rPr>
        <w:t>future growth. Additionally, our sales personnel and senior corporate executives have, as part of their compensation packages, periodic and annual bonus/commission incentives based on the attainment of specified performance goals.</w:t>
      </w:r>
    </w:p>
    <w:p>
      <w:pPr>
        <w:spacing w:after="0" w:line="186"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described in the 2009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monthly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28, 2009 to the Three Months Ended June 27, 2010</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$8.5 million from $90.6 million for the three months ended June 28, 2009 to $99.1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27, 2010. This increase was primarily due to the acquisition of Gichner, which had revenues of $20.0 million partially offset by the planned reductions of lower margin pass through work and to a lesser extent expected reductions of small business set aside contract work and in-sourcing of our employees by the U.S. Government in the KGS segment. Revenues by operating segment for the three months ended June 28, 2009 and June 27, 2010 are as follows (in millions):</w:t>
      </w: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r>
      <w:tr>
        <w:trPr>
          <w:trHeight w:val="21"/>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7"/>
        </w:trPr>
        <w:tc>
          <w:tcPr>
            <w:tcW w:w="3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Product revenues increased $22.8 million from $5.2 million for the three months ended June 28, 2009 to $28.0 million for the three months ended June 27, 2010. This increase was primarily related to an air defense weapon system munitions contract we were awarded during the first quarter of 2010 and the acquisition of Gichner. Service revenue decreased by $14.3 million from $85.4 million for the three months ended June 28, 2009 to $71.1 million for the three months ended June 27, 2010 primarily related to the reductions discussed above.</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$73.2 million for the three months ended June 28, 2009 to $77.7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27, 2010. The $4.5 million increase in cost of revenues was primarily a result of the acquisition of Gichner which had cost of revenues of $15.9 million offset by reductions in revenue in our KGS segment. Gross margin increased from 19.2% for the three months ended June 28, 2009 to 21.6% for the three months ended June 27, 2010 as a result of the mix of revenues and the reduction of lower margin work. Products were 5.7% of revenue for the three months ended June 28, 2009 as compared to 28.2% of revenue for the three months ended June 27, 2010. Margins on services increased for the three months ended June 28, 2009 as compared to June 27, 2010 from 19.8% to 23.1%, respectively, as a result of the planned reductions of lower margin pass through work. Margins on products increased for the three months ended June 28,</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2009 as compared to June 27, 2010 from 9.6% to 17.8%, respectively, as a result of the Gichner acquisition. Margins in the PSS segment increased from 29.7% for the three months ended June 28, 2009 to 34.7% for the three months ended June 27, 2010 as a result of performance improvements.</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$2.2 million from $13.1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28, 2009 to $15.3 million for the three months ended June 27, 2010. The increase was primarily a result of the acquisition of Gichner. As a percentage of revenues, SG&amp;A increased from 14.5% to 15.4%. Excluding amortization of intangibles of $1.4 million for the three months ended June 28, 2009 and amortization of intangibles of $2.0 million for the three months ended June 27, 2010, SG&amp;A increased slightly as a percentage of revenues from 12.9% to 13.4% for the three months ended June 28, 2009 and June 27, 2010, respectively.</w:t>
      </w:r>
    </w:p>
    <w:p>
      <w:pPr>
        <w:spacing w:after="0" w:line="17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were $1.1 million for the three months ended June 27, 2010 primarily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Gichner on May 19, 2010. We had no acquisition expenses for the three months ended June 28, 2009.</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$0.5 million for the three months ended June 28, 2009 and $0.5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27, 2010.</w:t>
      </w:r>
    </w:p>
    <w:p>
      <w:pPr>
        <w:spacing w:after="0" w:line="186"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i w:val="1"/>
          <w:iCs w:val="1"/>
          <w:color w:val="auto"/>
        </w:rPr>
        <w:t xml:space="preserve">Other Expense, Net. </w:t>
      </w:r>
      <w:r>
        <w:rPr>
          <w:rFonts w:ascii="Arial" w:cs="Arial" w:eastAsia="Arial" w:hAnsi="Arial"/>
          <w:sz w:val="15"/>
          <w:szCs w:val="15"/>
          <w:color w:val="auto"/>
        </w:rPr>
        <w:t>Other expense, net increased from $3.2 million to $5.1 million for the three months ended June 28, 2009 and June 27, 2010,</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The increase in expense of $1.9 million is primarily related to an increase in interest expense of $2.5 million as a result of the write-off of deferred financing fees associated with a prior credit facility of $1.7 million and an increase in interest expense as a result of the $225.0 million offering of the Original Notes partially offset by a decrease of $0.6 million in other expense primarily related to the non-cash adjustments to mark our interest rate derivative to market.</w:t>
      </w:r>
    </w:p>
    <w:p>
      <w:pPr>
        <w:spacing w:after="0" w:line="152"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Income taxes changed from a provision of $0.3 million on income of $0.6 million before income taxes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28, 2009 to a benefit of $11.7 million on a loss of $0.6 million before income taxes for the three months ended June 27, 2010. The provision for the three months ended June 28, 2009 was primarily due to current state taxes. The benefit for the three months ended June 27, 2010 was primarily related to the acquisition of Gichner. In accordance with ASC Topic 805, we established deferred tax liabilities of approximately $16.2 million for the increase in the financial statement basis of the acquired assets of Gichner. As a result or our ability to recognize deferred tax assets for these deferred tax liabilities, we released valuation allowance against our deferred tax assets and recognized an income tax benefit of $12.2 million. This benefit was partially offset by current state taxes of $0.5 million.</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(loss) from discontinued operations improved from a loss of $2.8 million to a loss of $0.4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28, 2009 and June 27, 2010, respectively. The loss of $0.4 million for the three months ended June 27, 2010 was primarily due to the impairment charge of $0.2 million to reflect the terms of the recent sale of our Southeast division of our PSS segment which occurred in August 2010 and operating losses for this division. Revenues generated by these businesses were approximately $1.3 million and $0.8 million for the three months ended June 28, 2009 and June 27, 2010, respectively. Excluding the impairment charge for both periods, loss before taxes was $2.6 million for the three months ended June 28, 2009 and $0.4 million for the three months ended June 27,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28, 2009 to the Six Months Ended June 27, 2010</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decreased $5.4 million from $173.2 million for the six months ended June 28, 2009 to $167.8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2010. This decrease was primarily due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planned reductions of lower margin pass through work and to a lesser extent reductions of small business set aside contract work and in-sourcing of our employees by the U.S. government in KGS segment partially offset by the acquisition of Gichner, which had revenues of $20.0 million. Revenues by operating segment for the six months ended June 28, 2009 and June 27, 2010 are as follows (in millions):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3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r>
      <w:tr>
        <w:trPr>
          <w:trHeight w:val="21"/>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7"/>
        </w:trPr>
        <w:tc>
          <w:tcPr>
            <w:tcW w:w="3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Product revenues increased $23.5 million from $8.6 million for the six months ended June 28, 2009 to $32.1 million for the six months ended June 27, 2010. This increase was primarily related to an air defense weapon system munitions contract we were awarded during the first quarter of 2010 and the acquisition of Gichner. Service revenue decreased by $28.9 million from $164.6 million for the six months ended June 28, 2009 to $135.7 million for the six months ended June 27, 2010 primarily related to the planned reductions discussed above.</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decreased from $138.6 million for the six months ended June 28, 2009 to $129.9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27, 2010. The $8.7 million decrease in cost of revenues was primarily a result of reductions in revenue in our KGS segment partially offset by the acquisition of Gichner which had cost of revenues of $15.9 million. Gross margin increased from 20.0% for the six months ended June 28, 2009 to 22.6% for the six months ended June 27, 2010. Products were 5.0% of revenue for the six months ended June 28, 2009 as compared to 19.1% of revenue for the six months ended June 27, 2010. Margins on services increased for the six months ended June 28, 2009 as compared to June 27, 2010 from 20.0% to 23.8%, respectively, as a result of the planned reductions of lower margin pass through work, and margins on products decreased for the six months ended June 28, 2009 as compared to June 27, 2010 from 18.6% to 17.4%, respectively, primarily as a result of the acquisition of Gichner. Margins in the PSS segment increased from 29.5% for the six months ended June 28, 2009 to 34.0% for the six months ended June 27, 2010 as a result of performance improvements.</w:t>
      </w:r>
    </w:p>
    <w:p>
      <w:pPr>
        <w:spacing w:after="0" w:line="172"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increased $0.3 million from $27.3 million for the six months ended June 28, 2009 to $27.6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27, 2010. The increase was primarily a result of $1.7 million in SG&amp;A expenses related to Gichner in the six months ended June 27, 2010 offset by non-recurring expenses in the six months ended June 28, 2009 of $0.6 million related to an accrual of unused office space and</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$0.3 million in expenses related to now completed government inquiries by the Department of Justice related to our historical stock option granting practices. As a percentage of revenues, SG&amp;A increased slightly from 15.8% to 16.5%. Excluding amortization of intangibles of $2.9 million for the six months ended June 28, 2009 and amortization of intangibles of $3.3 million for the six months ended June 27, 2010, SG&amp;A increased slightly as a percentage of revenues from 14.1% to 14.5% for the six months ended June 28, 2009 and June 27, 2010, respectively.</w:t>
      </w:r>
    </w:p>
    <w:p>
      <w:pPr>
        <w:spacing w:after="0" w:line="19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were $1.1 million for the six months ended June 27, 2010 primarily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Gichner on May 19, 2010. We had no acquisition expenses for the six months ended June 28, 2009.</w:t>
      </w:r>
    </w:p>
    <w:p>
      <w:pPr>
        <w:spacing w:after="0" w:line="186"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$0.9 million for the six months ended June 28, 2009 to</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for the six months ended June 27, 2010.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The impairment charge of $41.3 million for the six months ended June 28, 2009, was primarily driven by adverse equity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that caused a decrease in current market multiples and our average stock price as of February 28, 2009, compared with the impairment test performed as of December 28, 2008. In our analysis, we used the income approach and validated its reasonableness by considering our market capitalization based upon an average of our stock price for a period prior to and subsequent to the date we performed our analysis. The average market price of our stock as of February 28, 2009 was $7.80 which equates to a 39% drop in our average stock price and corresponding market capitalization from December 28, 2008 which had an average stock price of $12.90. We reconciled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7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from a commercial wireless service provider to a U.S. government defense contractor. The decline in revenues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7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contracts are long-term in nature and are supported by significant backlog. Because our contracts are of a long-term nature, a majority of our receivables are with agencies within the U. S. government or we are a subcontractor to a customer whose receivables are with the agencies within the U.S. government, and as such, we are not subject to significant short term changes in operating cash flow. Moreover, because of the nature of our current business we do not have significant capital expenditure requirements. Additionally, our contract base is highly diversified and the loss of any one contract would not impact revenues by more than 6%. In addition, we did not assume a recovery of the global or national economy in our cash flow projections in either analysis. The charge does not impact our normal business operations.</w:t>
      </w:r>
    </w:p>
    <w:p>
      <w:pPr>
        <w:spacing w:after="0" w:line="19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increased from $5.7 million to $8.8 million for the six months ended June 28, 2009 and June 27, 2010,</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increase in expense of $3.1 million is primarily related to an increase in interest expense of $3.9 million as a result of the write-off of deferred financing fees associated with our prior credit facilities and an increase in interest expense as a result of the $225.0 million offering of the Original Notes partially offset by a decrease of $0.8 million in other expense primarily related to the non-cash charges to mark our interest rate derivative to market.</w:t>
      </w:r>
    </w:p>
    <w:p>
      <w:pPr>
        <w:spacing w:after="0" w:line="16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decreased from a provision of $0.6 million on a loss of $40.6 million before income taxes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28, 2009 to a benefit of $11.4 million on a loss before income taxes of $0.7 million for the six months ended June 27, 2010.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provision for the six months ended June 28, 2009 was primarily due to current state taxes. The benefit for the three months ended June 27, 2010 was primarily related to the acquisition of Gichner. In accordance with ASC Topic 805, we established deferred tax liabilities of approximately $16.2 million for the increase in the financial statement basis of the acquired assets of Gichner. As a result or our ability to recognize deferred tax assets for these deferred tax liabilities, we released valuation allowances against our deferred tax assets and recognized an income tax benefit of $12.2 million. This benefit was partially offset by current state taxes of $0.8 million.</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Loss from discontinued operations improved from a loss of $3.4 million to income of $0.2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28, 2009 and June 27, 2010, respectively. In 2009, $2.0 million of the loss was related to the impairment of assets related to the Southeast division of PSS recorded to reflect management's estimate of the fair value of this business. In 2010, the income was primarily due to a reduction in liabilities as a result of the final settlement of sales and use tax liabilities related to our discontinued wireless deployment business partially offset by losses in the Southeast division of PSS. Revenues generated by these businesses were approximately $2.6 million and $1.9 million for the six months ended June 28, 2009 and June 27, 2010, respectively. Excluding the impairment charge losses before taxes were $1.8 million for the six months ended June 28, 2009 and $0.4 million for the six months ended June 27, 2010. For the six months ended June 28, 209 and June 27, 2010, we recognized a tax benefit of $0.4 million and $0.8 million, respectively, primarily related to the expiration of the statute of limitations for certain domestic and foreign tax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of June 28, 2009 and June 27, 2010, our backlog was approximately $640 million and $680 million, respectively, of which $130 million was funded in 2009 and $252 million in 2010.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7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that cancellations or scope adjustments will not occur. The majority of funded backlog represents contracts under the terms of which cancellation by the customer would entitle us to all or a portion of our costs incurred and potential fees.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ended the second quarter of 2010 with a cash balance of $43.4 million, compared with a cash and cash equivalents balance of $9.9 million at the end of 2009. Our net debt increased by $137.1 million, from $45.5 million on December 27, 2009 to $182.6 million at June 27, 2010. This increase was the result of the offering of the Original Notes in the aggregate amount of $225.0 million, the proceeds of which were primarily used to (i) finance the acquisition of Gichner for a total purchase price of $133.0 million, (ii) refinance existing debt of $54.5 million under our senior secured credit facility with KeyBank and Bank of America Securities, LLC ("Bank of America"), and (iii) to provide additional cash for general corporate purposes. Concurrent with the completion of the offering of the Original Notes, we entered into the May 2010 Credit Agreement with certain lenders and with KeyBank, for a four year senior secured revolving credit facility in the amount of $25.0 million.</w:t>
      </w:r>
    </w:p>
    <w:p>
      <w:pPr>
        <w:spacing w:after="0" w:line="20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97"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27,</w:t>
            </w:r>
          </w:p>
        </w:tc>
      </w:tr>
      <w:tr>
        <w:trPr>
          <w:trHeight w:val="161"/>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r>
      <w:tr>
        <w:trPr>
          <w:trHeight w:val="201"/>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cash provided by operating activities of continuing</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bl>
    <w:p>
      <w:pPr>
        <w:spacing w:after="0" w:line="208"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Cash provided by operating activities from continuing operations for the six months ended June 27, 2010 decreased by $6.7 million from the six months ended June 28, 2009, primarily as a result of $1.3 million in transaction costs paid related to the Gichner acquisition and a reduction of cash received on collections of our accounts receivable of $6.0 million for the three months ended June 27, 2010 as compared to the six months ended June 28, 2009.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Cash paid for contingent acquisition consideration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80" w:type="dxa"/>
            <w:vAlign w:val="bottom"/>
          </w:tcPr>
          <w:p>
            <w:pPr>
              <w:ind w:left="120"/>
              <w:spacing w:after="0"/>
              <w:rPr>
                <w:sz w:val="20"/>
                <w:szCs w:val="20"/>
                <w:color w:val="auto"/>
              </w:rPr>
            </w:pPr>
            <w:r>
              <w:rPr>
                <w:rFonts w:ascii="Arial" w:cs="Arial" w:eastAsia="Arial" w:hAnsi="Arial"/>
                <w:sz w:val="18"/>
                <w:szCs w:val="18"/>
                <w:color w:val="auto"/>
              </w:rPr>
              <w:t>Payments from the disposition of discontinued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30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80" w:type="dxa"/>
            <w:vAlign w:val="bottom"/>
            <w:vMerge w:val="restart"/>
          </w:tcPr>
          <w:p>
            <w:pPr>
              <w:ind w:left="260"/>
              <w:spacing w:after="0"/>
              <w:rPr>
                <w:sz w:val="20"/>
                <w:szCs w:val="20"/>
                <w:color w:val="auto"/>
              </w:rPr>
            </w:pPr>
            <w:r>
              <w:rPr>
                <w:rFonts w:ascii="Arial" w:cs="Arial" w:eastAsia="Arial" w:hAnsi="Arial"/>
                <w:sz w:val="18"/>
                <w:szCs w:val="18"/>
                <w:color w:val="auto"/>
              </w:rPr>
              <w:t>Net cash used in investing activities from</w:t>
            </w: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8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9"/>
        </w:trPr>
        <w:tc>
          <w:tcPr>
            <w:tcW w:w="4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May 19, 2010, we purchased Gichner for $132.9 million net of cash acquired of $0.1 million. Cash paid for contingent acquisition consideration accounted for the most significant outlays for investing activities for the six months ended June 28, 2009 as a result of the implementation of our strategies to diversify our business while focusing on our core competencies. During the six months ended June 28, 2009, we made the final holdback payment of $2.4 million for the MRC acquisition and the first holdback payment of $0.6 million related to the Haverstick acquisition. In addition, we paid $1.5 million to Platinum Equity related to the working capital adjustment for the sale of our domestic wireless business which was partially offset by proceeds of $0.4 million related to the sale of our discontinued SYS commercial businesses.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(used in) financing activities from continuing operations is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Proceeds from Senior Secured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Payments of subordinated debt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80" w:type="dxa"/>
            <w:vAlign w:val="bottom"/>
            <w:vMerge w:val="restart"/>
          </w:tcPr>
          <w:p>
            <w:pPr>
              <w:ind w:left="260"/>
              <w:spacing w:after="0"/>
              <w:rPr>
                <w:sz w:val="20"/>
                <w:szCs w:val="20"/>
                <w:color w:val="auto"/>
              </w:rPr>
            </w:pPr>
            <w:r>
              <w:rPr>
                <w:rFonts w:ascii="Arial" w:cs="Arial" w:eastAsia="Arial" w:hAnsi="Arial"/>
                <w:sz w:val="18"/>
                <w:szCs w:val="18"/>
                <w:color w:val="auto"/>
                <w:w w:val="96"/>
              </w:rPr>
              <w:t>Net cash provided by (used in) financing activities</w:t>
            </w: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80" w:type="dxa"/>
            <w:vAlign w:val="bottom"/>
          </w:tcPr>
          <w:p>
            <w:pPr>
              <w:ind w:left="440"/>
              <w:spacing w:after="0"/>
              <w:rPr>
                <w:sz w:val="20"/>
                <w:szCs w:val="20"/>
                <w:color w:val="auto"/>
              </w:rPr>
            </w:pPr>
            <w:r>
              <w:rPr>
                <w:rFonts w:ascii="Arial" w:cs="Arial" w:eastAsia="Arial" w:hAnsi="Arial"/>
                <w:sz w:val="18"/>
                <w:szCs w:val="18"/>
                <w:color w:val="auto"/>
              </w:rPr>
              <w:t>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9"/>
        </w:trPr>
        <w:tc>
          <w:tcPr>
            <w:tcW w:w="4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During the six months ended June 27, 2010, cash provided by financing activities was primarily related to the proceeds from the offering of the Original Notes in the aggregate amount of $225.0 million, which proceeds were primarily used to finance the acquisition of Gichner and refinance our senior secured credit facility with KeyBank and Bank of America.</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the six months ended June 28, 2009, cash used by financing activities was primarily related to payments of $2.1 million on the subordinated debt we assumed in the SYS acquisition and principal payments under the terms of our credit facility.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discontinued operations is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27,</w:t>
            </w:r>
          </w:p>
        </w:tc>
      </w:tr>
      <w:tr>
        <w:trPr>
          <w:trHeight w:val="161"/>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cash flows used by discontinued operations decreased by $1.6 million primarily as a result of the use of cash by the SYS commercial businesses which were sold during the first quarter of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May 2010 10% Senior Secured Note Offering</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May 19, 2010, we issued the Original Notes in an unregistered offering pursuant to Rule 144A and Regulation S under the Securities Act. On July 12, 2010, we commenced an exchange offer for the Original Notes pursuant to a registration rights agreement entered into in connection with the issuance of the Original Notes. In the exchange offer, we are offering to exchange the Original Notes for a like aggregate amount of 10% Senior Secured Notes due June 1, 2017 registered under the Securities Act. The Exchange Notes will have substantially similar terms as the Original Notes, except that the Exchange Notes will have no transfer restrictions or registration rights. The expiration date of the exchange offer is August 11, 2010, unless it is extended by us. The Exchange Notes are fully and unconditionally guaranteed, jointly and severally, on a senior secured basis by the Company and each of its subsidiaries, as the guarantors thereof. We will pay interest on the Exchange Notes semi-annually, in arrears, on June 1 and December 1 of each year, beginning December 1, 2010.</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Exchange Notes are secured by a lien on substantially all of the Company's assets and the assets of the guarantors thereunder, subject to certain exceptions and permitted liens. The holders of the Exchange Notes have a first priority lien on substantially all assets of the Company and the guarantors, except accounts receivable, inventories, deposit accounts, securities accounts, cash, securities and general intangibles (other than intellectual property) where the holders of the Exchange Notes have a second priority lien to the $25.0 million revolving line of credit described below.</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or after June 1, 2014, we may redeem some or all of the Exchange Notes at 105% of the aggregate principal amount of such notes through June 1, 2015, 102.5% of the aggregate principal amount of such through June 1, 2016 and 100% of the aggregate principal amount of such notes thereafter, plus accrued and unpaid interest to the date of redemption. Prior to June 1, 2013, we may redeem up to 35% of the aggregate principal amount of the Exchange Notes at 110% of the aggregate principal amount of the Exchange Notes, plus accrued and unpaid interest to the redemption date, with the net cash proceeds of certain equity offerings. In addition, we may, at our option, redeem some or all of the Exchange Notes at any time prior to June 1, 2014, by paying a "make whole" premium, plus accrued and unpaid interest, if any, to the date of redemption.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$25 Million Credit Facility</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May 19, 2010, we entered into the May 2010 Credit Agreement with KeyBank, each of our subsidiaries, as guarantors, and the lenders party thereto, for a four year senior secured revolving credit facility in the amount of $25.0 million. The Revolver is secured by a lien on substantially all of the Company's assets and the assets of the guarantors thereunder, subject to certain exceptions and permitted liens. The Revolver has a first priority lien on accounts receivable, inventories, deposit accounts, securities accounts, cash, securities and intellectual property. On all other assets, the Revolver has a second priority lien to the Original Notes.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Revolver is available for four years and may be increased to $45.0 million. The increases in the Revolver are subject to the consent of KeyBank and compliance with covenants in the Original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Notes. The amounts of borrowings that may be made under the Revolver are based on a borrowing base and are comprised of specified percentages of eligible receivables and eligible inventory, up to a maximum of $25.0 million. If the amount of borrowings outstanding under the Revolver exceeds the borrowing base then in effect, then we are required to repay such borrowings in an amount sufficient to eliminate such excess. The Revolver includes $10.0 million of availability for letters of credit and $5.0 million of availability for swingline loans.</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8"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As of June 27, 2010 we had no outstanding borrowings on the Revolver and $2.4 million in outstanding letters of credit resulting in net availability of $22.6 million. We were in compliance with the covenants contained in the Revolver as of June 27, 2010.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May 19, 2010, we had a revolving credit facility with KeyBank, as administrative agent and lender, in the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$60.0 million, which was secured by the assets of the Company and its subsidiaries. This Second Credit Facility was entered into on March 3, 2010 and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comprised of (i) $35.0 million term loan facility and (ii) $25.0 million revolving line of credit. Bank of America, N.A., was syndication agent and lender,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KeyBanc Capital Markets and Banc of America acted as co-lead arrangers and book runners. All loans under the credit facility had an interest rate equal to a base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rate defined as a fluctuating rate per annum equal to the higher of (a) the Federal Funds Rate plus 0.5% and (b) the rate of interest in effect for such day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publicly announced from time to time by KeyBank as its "prime rate" plus a margin for the term loans of 2.0% to 4.5% and a margin of 0.5% to 4.25%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line of credit. All rates were subject to a LIBOR floor of 2.75% and a "prime rate" floor of 5.25%. On May 19, 2010 the outstanding balance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$54.5 million was paid in full. As a result of the refinance, we recorded an interest charge of approximately $1.7 million in the second quarter of 2010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write-off of previously deferred financing costs.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Prior to March 3, 2010, we had a credit facility of $85.0 million with KeyBank, as administrative agent. This First Credit Facility provided for (i) two term loans consisting of a first lien term note of $50.0 million and a second lien term note of $10.0 million and (ii) a first lien $25.0 million revolving line of credit. The First Credit Facility was secured by the assets of the Company and its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KeyBank held the revolving line of credit and the second lien term note. Field Point III, Ltd. and SPF CDO I, Ltd., both affiliates of Silverpoint Capital LP ("Silverpoint"), held the first lien term note. All loans under the First Credit Facility had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were subject to a LIBOR floor of 4.25% and a "prime rate" floor of 5.25%.</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March 3, 2010 the outstanding balance of $55.4 million was paid in full as a result of the refinance described above. Approximately $25.0 million of the proceeds were used to pay in full the remaining balance on the first lien term loan under the First Credit Facility held by Silverpoint, at par, with no prepayment penalties, pursuant to the Settlement Agreement that we entered into with Silverpoint in October 2009. As a result of the refinance, we recorded an interest charge of approximately $2.2 million in the first quarter of 2010 relating to the write-off of previously deferred financing costs.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June 27, 2010, we had outstanding convertible notes payable totaling $950,000 which were acquired as a result of the SYS acquisition and are due on August 14, 2010, $25,000 of which is payable to a related party. The balance of the outstanding notes is $950,000 and is potentially convertible into common stock of Kratos at $10.20 per share or approximately 93,137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120" w:firstLine="341"/>
        <w:spacing w:after="0" w:line="335" w:lineRule="auto"/>
        <w:rPr>
          <w:sz w:val="20"/>
          <w:szCs w:val="20"/>
          <w:color w:val="auto"/>
        </w:rPr>
      </w:pPr>
      <w:r>
        <w:rPr>
          <w:rFonts w:ascii="Arial" w:cs="Arial" w:eastAsia="Arial" w:hAnsi="Arial"/>
          <w:sz w:val="15"/>
          <w:szCs w:val="15"/>
          <w:color w:val="auto"/>
        </w:rPr>
        <w:t>At June 27, 2010, we had working capital of $84.5 million compared to $37.1 million at December 27, 2009. The increase was primarily due to the acquisition of Gichner and issuance of the Original Notes. We believe that our cash on hand, together with funds available under the Revolver and cash expected to be generated from operating activities, will be sufficient to fund our anticipated working capital and other cash needs for at least the next 12 months.</w:t>
      </w:r>
    </w:p>
    <w:p>
      <w:pPr>
        <w:spacing w:after="0" w:line="14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also pursue business acquisitions and other transactions designed to expand our business, which we would expect to fund from borrowings under the Revolver, other future indebtedness or, if appropriate, the private and/or public sale or exchange of our debt or equity securities.</w:t>
      </w:r>
    </w:p>
    <w:p>
      <w:pPr>
        <w:spacing w:after="0" w:line="139"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discussed in Part II, Item 1A, "Risk Factors" section of the 2009 Form 10-K, our quarterly and annual operating results have fluctuated in the past and may vary in the future due to a variety of factors, many of which are external to our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foregoing discussion of our financial condition and results of operations is based on the condensed consolidated financial statements included in this Form 10-Q, which have been prepared in accordance with GAAP.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the six months ended June 27, 2010 there have been no significant changes to our Critical Accounting Policies or Estimates compared to the significant accounting policies described in the 2009 Form 10-K, with the following exceptions: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In accounting for the Company's long-term contracts for production of products provided to the federal government, the Company utilizes both cost-to-cost and units produced measures under the percentage-of-completion method of accounting under the provisions of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produced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among other things, amends ASC Topic 820 to require entities to separately present purchases, sales, issuances, and settlements in their reconciliation of Level 3 fair value measurements (i.e., to present such items on a gross basis rather than on a net basis), and which clarifies existing disclosure requirements provided by ASC 820 regarding the level of disaggregation and the inputs and valuation techniques used to measure fair value for measurements that fall within either Level 2 or Level 3 of the fair value hierarchy. ASU No.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Our adoption of this standard had no impact on our consolidated financial position, results of operations or cash flows.</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Other new accounting pronouncements issued or effective during the period ended June 27, 2010 have not had or are not expected to have a material impact on the Company's consolidated financial position, results of operations, or cash flows.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Exposure to market risk for changes in interest rates relates to our outstanding debt. At June 27, 2010, we had no debt outstanding that was subject to variable interest rates. We are exposed to interest rate risk primarily through our borrowing activities under our Revolver discussed in Item 2 of this Report. Based on our current outstanding balances as a result of the refinancing in May 2010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Cash and cash equivalents as of June 27, 2010 were $43.4 million and are primarily invested in money market interest bearing accounts. A hypothetical 10% adverse change in the average interest rate on our money market cash investments and short-term investments would have had no material effect on net loss for the six month period ended June 27, 2010.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June 27, 2010.</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six months ended June 27, 2010 that has materially affected, or is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IPO violated Section 11 of the Securities Act and Section 10(b) of the Exchange Act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the Issuers that conducted IPOs of their common stock in the late 1990s and 2000. These complaints have been consolidated into an action captioned In re Initial Public Offering Securities Litigation, 21 MC 92.</w:t>
      </w:r>
    </w:p>
    <w:p>
      <w:pPr>
        <w:spacing w:after="0" w:line="172"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fairness hearing was held on September 10, 2009. On October 6, 2009, the Court entered an opinion 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In 2004, two derivative lawsuits were filed in the U.S.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contained in the original complaint and adding allegations regarding the Company's stock option granting practices.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settlement of all derivative litigation, discussed below, the court stayed all other matters except as necessary to document and consummate the settlement. Similarly, the appellate court stayed all matters related to plaintiffs' notice of appeal of the personal jurisdictional order pending settlement.</w:t>
      </w:r>
    </w:p>
    <w:p>
      <w:pPr>
        <w:spacing w:after="0" w:line="200" w:lineRule="exact"/>
        <w:rPr>
          <w:sz w:val="20"/>
          <w:szCs w:val="20"/>
          <w:color w:val="auto"/>
        </w:rPr>
      </w:pPr>
    </w:p>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derivative lawsuit,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an additional six months. The Court subsequently granted the parties' stipulation and stay request and ordered the parties to file an updated status report in April 2010.</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district court granted the parties' joint motion for preliminary approval of their proposed settlement in January 2010. In March 2010, the district court granted final approval of the proposed settlement and issued its Final Judgment and Order of Dismissal. Under the terms of the parties' settlement agreement, the district court's judgment becomes "final" upon the latest of: "(a) the date of final affirmance on an appeal of the Judgment, the expiration of the time for a petition for or a denial of a writ of certiorari to review the Judgment and, if certiorari is granted, the date of final affirmance of the Judgment following review pursuant to that grant; (b) the date of final dismissal of any appeal from the Judgment or the final dismissal, denial or withdrawal of any proceeding on certiorari to review the Judgment; or (c) if no appeal is filed, the expiration date of the applicable time to file a notice of appeal from the Judgment." The details of the settlement are set forth in the settlement papers filed with the court. The time to file a notice of appeal has expired and the settlement agreement has become effective.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its business, financial condition, operating results or cash flows.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While we attempt to identify, manage, and mitigate risks and uncertainties associated with our business to the extent practical under the circumstances, some level of risk and uncertainty will always be present. Item 1A of the 2009 Form 10-K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the 2009 Form 10-K, except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of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times the greater of the long-term tax-exempt rate determined by the IRS in the month of the ownership change or the two preceding months. We believe that an "ownership change" may have occurred which could limit the utilization of the loss carryforwards. We are currently evaluating the extent of the limitation on our annual utilization of the NOL carryforwards. Any potential limitation would not impact the income tax provision for the quarter ended June 27, 2010. In addition, future equity offerings or acquisitions that have equity as a component of the purchase price could result in an "ownership change". If and when an "ownership change" occurs, utilization of the NOL or other tax attributes may be further limited.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 of Gichner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of our acquisition of Gichner because of integration difficulties.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Integrating the operations of the businesses of Gichner successfully or otherwise realizing any of the anticipated benefits of the acquisition of Gichner, including anticipated cost savings and additional revenue opportunities, involves a number of potential challenges. The failure to meet these integration challenges could seriously harm our financial condition and results of operations. Realizing the benefits of the acquisition will depend in part on the integration of information technology, or IT, operations and personnel. These integration activities are complex and time-consuming and we may encounter unexpected difficulties or incur unexpected costs, including:</w:t>
      </w:r>
    </w:p>
    <w:p>
      <w:pPr>
        <w:spacing w:after="0" w:line="210"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Gichner that the acquisition will not result in adverse changes in customer service standards or business focus;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may not successfully integrate the operations of the businesses of Gichner in a timely manner, and we may not realize the anticipated benefits and synergies of the merger with Gichner to the extent, or in the time frame, anticipated.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significantly increased our leverage in connection with our financing of our acquisition of Gichner.</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incurred approximately $225.0 million of indebtedness in connection with our financing of our acquisition of Gichner. As a result of this indebtedness, our interest payment obligations will increase. The degree to which we will be leveraged could have adverse effects on our business, including the following:</w:t>
      </w:r>
    </w:p>
    <w:p>
      <w:pPr>
        <w:spacing w:after="0" w:line="166"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may make it difficult for us to satisfy our obligations under the Original Notes or the Exchange Notes and our other indebtedness and contractual and commercial commitments;</w:t>
      </w:r>
    </w:p>
    <w:p>
      <w:pPr>
        <w:spacing w:after="0" w:line="199"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the Original Notes or the Exchange Notes tendered to us if there is a change of control, which would constitute a default under the indentures governing the Original Notes and the Exchange Notes and under our credit facility;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new debt is incurred, these risks may intensify. Our ability to meet our debt service obligations will depend upon our future performance, which may be subject to the financial, business and other factors affecting our operations, many of which are beyond our control.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increase in our debt service obligations may adversely affect our cash flow.</w:t>
      </w:r>
    </w:p>
    <w:p>
      <w:pPr>
        <w:spacing w:after="0" w:line="22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generate cash flows from operations and to make scheduled payments on our indebtedness will depend on our future financial performance. Our future financial performance will be affected by a range of economic, competitive and business factors that we cannot control. A significant reduction in operating cash flows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 or refinancing our indebtedness or seeking additional equity capital. We cannot assure that any of these alternative strategies could be affected on satisfactory terms, if at all, or that they would yield sufficient funds to make required payments on the Original Notes and the Exchange Notes and our other indebtedness.</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the Original Notes or the Exchange Notes. If the amounts outstanding under any outstanding indebtedness, were to be accelerated, we cannot assure that our assets would be sufficient to repay in full the money owed to the lenders or to our other debt 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profitably on a combined basis, our business and financial results could suffer.</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future financial results will depend in part on our ability to profitably manage our growth on a combined basis with Gichner. Management will need to maintain existing customers and attract new customers, recruit, retain and effectively manage employees, as well as expand operations and integrate customer support and financial control systems. If the integration-related expenses and capital expenditure requirements are greater than anticipated or if we are unable to manage our growth profitably after the acquisition, our financial condition and results of operations may suffer.</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86"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As a result of the acquisition of Gichner, we will use hazardous materials common to the industry in which Gichner operates. We will be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or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under environmental laws, ordinances or regulations, a current or previous owner or operator of property may be liable for the costs of removal or remediation of some kinds of hazardous substances or petroleum products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Gichner has incurred and is incurring currently, and we may incur in the future, liabilities under CERCLA and other environmental cleanup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or petroleum products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4"/>
                <w:szCs w:val="14"/>
                <w:color w:val="auto"/>
              </w:rPr>
            </w:pPr>
          </w:p>
        </w:tc>
        <w:tc>
          <w:tcPr>
            <w:tcW w:w="180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89"/>
              </w:rPr>
              <w:t>Filed—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18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6080" w:type="dxa"/>
            <w:vAlign w:val="bottom"/>
            <w:gridSpan w:val="2"/>
          </w:tcPr>
          <w:p>
            <w:pPr>
              <w:ind w:left="2380"/>
              <w:spacing w:after="0"/>
              <w:rPr>
                <w:sz w:val="20"/>
                <w:szCs w:val="20"/>
                <w:color w:val="auto"/>
              </w:rPr>
            </w:pPr>
            <w:r>
              <w:rPr>
                <w:rFonts w:ascii="Arial" w:cs="Arial" w:eastAsia="Arial" w:hAnsi="Arial"/>
                <w:sz w:val="14"/>
                <w:szCs w:val="14"/>
                <w:b w:val="1"/>
                <w:bCs w:val="1"/>
                <w:color w:val="auto"/>
              </w:rPr>
              <w:t>Exhibit Description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5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Amended and Restated Certificate of Incorporation of Kratos Defense &amp; Security</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09/30/01</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Solutions,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3"/>
              </w:rPr>
              <w:t>Certificate of Designations, Preferences and Rights of Series A Preferred Stock of</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09/30/01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Kratos Defense &amp; Security Solutions,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3"/>
              </w:rPr>
              <w:t>Certificate of Designations, Preferences and Rights of Series B Preferred Stock of</w:t>
            </w:r>
          </w:p>
        </w:tc>
        <w:tc>
          <w:tcPr>
            <w:tcW w:w="500" w:type="dxa"/>
            <w:vAlign w:val="bottom"/>
          </w:tcPr>
          <w:p>
            <w:pPr>
              <w:jc w:val="center"/>
              <w:spacing w:after="0"/>
              <w:rPr>
                <w:sz w:val="20"/>
                <w:szCs w:val="20"/>
                <w:color w:val="auto"/>
              </w:rPr>
            </w:pPr>
            <w:r>
              <w:rPr>
                <w:rFonts w:ascii="Arial" w:cs="Arial" w:eastAsia="Arial" w:hAnsi="Arial"/>
                <w:sz w:val="18"/>
                <w:szCs w:val="18"/>
                <w:color w:val="auto"/>
              </w:rPr>
              <w:t>8-K/A</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06/05/02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Kratos Defense &amp; Security Solutions,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1"/>
              </w:rPr>
              <w:t>Certificate of Designation of Series C Preferred Stock of Kratos Defense &amp; Security</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12/17/04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Solutions,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4"/>
              </w:rPr>
              <w:t>Certificate of Ownership and Merger of Kratos Defense &amp; Security Solutions, Inc.</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09/12/07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into Wireless Facilities,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5"/>
              </w:rPr>
              <w:t>Certificate of Amended to Amended and Restated Certificate of Incorporation of</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09/27/09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Kratos Defense &amp; Security Solutions,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Amended and Restated Bylaws of Kratos Defense &amp; Security Solutions, Inc.</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05/17/10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6"/>
              </w:rPr>
              <w:t>Indenture, dated as of May 19, 2010, by and among Kratos Defense &amp; Security</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8"/>
              </w:rPr>
              <w:t>Solutions, Inc., the Guarantors set forth therein and Wilmington Trust FSB, as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1"/>
              </w:rPr>
              <w:t>Trustee and Collateral Agent (including the Form of 10% Senior Secured Notes due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2017 as an exhibit thereto)</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5"/>
              </w:rPr>
              <w:t>Registration Rights Agreement, dated as of May 19, 2010, by and among Kratos</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6"/>
              </w:rPr>
              <w:t>Defense &amp; Security Solutions, Inc., the Guarantors set forth therein, Jefferies &amp;</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Company, Inc., B. Riley &amp; Co., LLC, Imperial Capital, LLC, Keybanc Capital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Markets Inc. and Noble International Investments,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4"/>
              </w:rPr>
              <w:t>Security Agreement, dated as of May 19, 2010, by and among Kratos Defense &amp;</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w w:val="97"/>
              </w:rPr>
              <w:t>Security Solutions, Inc., the Guarantors set forth therein, and Wilmington Trust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FSB, as Collateral Agent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80" w:type="dxa"/>
            <w:vAlign w:val="bottom"/>
            <w:gridSpan w:val="2"/>
          </w:tcPr>
          <w:p>
            <w:pPr>
              <w:ind w:left="38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47"/>
              <w:spacing w:after="0"/>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Filed—</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0" w:type="dxa"/>
            <w:vAlign w:val="bottom"/>
            <w:gridSpan w:val="2"/>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7"/>
                <w:szCs w:val="17"/>
                <w:color w:val="auto"/>
              </w:rPr>
            </w:pPr>
          </w:p>
        </w:tc>
        <w:tc>
          <w:tcPr>
            <w:tcW w:w="59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Intercreditor Agreement, dated as of May 19, 2010, by and among Kratos</w:t>
            </w:r>
          </w:p>
        </w:tc>
        <w:tc>
          <w:tcPr>
            <w:tcW w:w="160" w:type="dxa"/>
            <w:vAlign w:val="bottom"/>
          </w:tcPr>
          <w:p>
            <w:pPr>
              <w:spacing w:after="0"/>
              <w:rPr>
                <w:sz w:val="17"/>
                <w:szCs w:val="17"/>
                <w:color w:val="auto"/>
              </w:rPr>
            </w:pPr>
          </w:p>
        </w:tc>
        <w:tc>
          <w:tcPr>
            <w:tcW w:w="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8-K</w:t>
            </w: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w w:val="96"/>
              </w:rPr>
              <w:t>Defense &amp; Security Solutions, Inc., the Guarantors set forth therein, Wilmington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Trust FSB, as Indenture Agent and KeyBank National Association, as Credit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Facility Agent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w w:val="93"/>
              </w:rPr>
              <w:t>Purchase Agreement, dated as of May 12, 2010, by and among Kratos Defense &amp;</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00" w:type="dxa"/>
            <w:vAlign w:val="bottom"/>
            <w:gridSpan w:val="3"/>
          </w:tcPr>
          <w:p>
            <w:pPr>
              <w:jc w:val="center"/>
              <w:ind w:left="139"/>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w w:val="91"/>
              </w:rPr>
              <w:t>Security Solutions, Inc., the Guarantors set forth therein, Jefferies &amp; Company, Inc.,</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w w:val="99"/>
              </w:rPr>
              <w:t>B. Riley &amp; Co., LLC, Imperial Capital, LLC, Keybanc Capital Markets Inc. and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Noble International Investments, Inc.</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Credit and Security Agreement, dated as of May 19, 2010, among Kratos</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00" w:type="dxa"/>
            <w:vAlign w:val="bottom"/>
            <w:gridSpan w:val="3"/>
          </w:tcPr>
          <w:p>
            <w:pPr>
              <w:jc w:val="center"/>
              <w:ind w:left="139"/>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w w:val="94"/>
              </w:rPr>
              <w:t>Defense &amp; Security Solutions, Inc., as Borrower, the Lenders named therein, and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Key Bank National Association, as Lead Arranger, Sole Book Runner and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Administrative Agent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w w:val="96"/>
              </w:rPr>
              <w:t>Certification of Chief Executive Officer pursuant to Section 302 of the Sarbanes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Oxley Act of 2002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w w:val="97"/>
              </w:rPr>
              <w:t>Certification of Chief Financial Officer pursuant to Section 302 of the Sarbanes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Oxley Act of 2002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00" w:type="dxa"/>
            <w:vAlign w:val="bottom"/>
          </w:tcPr>
          <w:p>
            <w:pPr>
              <w:ind w:left="570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94"/>
              </w:rPr>
              <w:t>/s/ ERIC M. DEMARCO</w:t>
            </w:r>
          </w:p>
        </w:tc>
      </w:tr>
      <w:tr>
        <w:trPr>
          <w:trHeight w:val="97"/>
        </w:trPr>
        <w:tc>
          <w:tcPr>
            <w:tcW w:w="610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610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Eric M. DeMarco</w:t>
            </w:r>
          </w:p>
        </w:tc>
      </w:tr>
      <w:tr>
        <w:trPr>
          <w:trHeight w:val="216"/>
        </w:trPr>
        <w:tc>
          <w:tcPr>
            <w:tcW w:w="6100" w:type="dxa"/>
            <w:vAlign w:val="bottom"/>
          </w:tcPr>
          <w:p>
            <w:pPr>
              <w:spacing w:after="0"/>
              <w:rPr>
                <w:sz w:val="18"/>
                <w:szCs w:val="18"/>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88"/>
              </w:rPr>
              <w:t>Chief Executive Officer, President</w:t>
            </w:r>
          </w:p>
        </w:tc>
      </w:tr>
      <w:tr>
        <w:trPr>
          <w:trHeight w:val="222"/>
        </w:trPr>
        <w:tc>
          <w:tcPr>
            <w:tcW w:w="610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1"/>
              </w:rPr>
              <w:t>(Principal Executive Officer)</w:t>
            </w:r>
          </w:p>
        </w:tc>
      </w:tr>
      <w:tr>
        <w:trPr>
          <w:trHeight w:val="459"/>
        </w:trPr>
        <w:tc>
          <w:tcPr>
            <w:tcW w:w="6100" w:type="dxa"/>
            <w:vAlign w:val="bottom"/>
          </w:tcPr>
          <w:p>
            <w:pPr>
              <w:ind w:left="570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94"/>
              </w:rPr>
              <w:t>/s/ DEANNA H. LUND, CPA</w:t>
            </w:r>
          </w:p>
        </w:tc>
      </w:tr>
      <w:tr>
        <w:trPr>
          <w:trHeight w:val="97"/>
        </w:trPr>
        <w:tc>
          <w:tcPr>
            <w:tcW w:w="610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610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Deanna H. Lund</w:t>
            </w:r>
          </w:p>
        </w:tc>
      </w:tr>
      <w:tr>
        <w:trPr>
          <w:trHeight w:val="216"/>
        </w:trPr>
        <w:tc>
          <w:tcPr>
            <w:tcW w:w="6100" w:type="dxa"/>
            <w:vAlign w:val="bottom"/>
          </w:tcPr>
          <w:p>
            <w:pPr>
              <w:spacing w:after="0"/>
              <w:rPr>
                <w:sz w:val="18"/>
                <w:szCs w:val="18"/>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0"/>
              </w:rPr>
              <w:t>Executive Vice President, Chief Financial Officer</w:t>
            </w:r>
          </w:p>
        </w:tc>
      </w:tr>
      <w:tr>
        <w:trPr>
          <w:trHeight w:val="222"/>
        </w:trPr>
        <w:tc>
          <w:tcPr>
            <w:tcW w:w="610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4"/>
              </w:rPr>
              <w:t>(Principal Financial Officer)</w:t>
            </w:r>
          </w:p>
        </w:tc>
      </w:tr>
      <w:tr>
        <w:trPr>
          <w:trHeight w:val="459"/>
        </w:trPr>
        <w:tc>
          <w:tcPr>
            <w:tcW w:w="6100" w:type="dxa"/>
            <w:vAlign w:val="bottom"/>
          </w:tcPr>
          <w:p>
            <w:pPr>
              <w:ind w:left="570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/s/ LAURA L. SIEGAL</w:t>
            </w:r>
          </w:p>
        </w:tc>
      </w:tr>
      <w:tr>
        <w:trPr>
          <w:trHeight w:val="97"/>
        </w:trPr>
        <w:tc>
          <w:tcPr>
            <w:tcW w:w="610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610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Laura L. Siegal</w:t>
            </w:r>
          </w:p>
        </w:tc>
      </w:tr>
      <w:tr>
        <w:trPr>
          <w:trHeight w:val="216"/>
        </w:trPr>
        <w:tc>
          <w:tcPr>
            <w:tcW w:w="6100" w:type="dxa"/>
            <w:vAlign w:val="bottom"/>
          </w:tcPr>
          <w:p>
            <w:pPr>
              <w:spacing w:after="0"/>
              <w:rPr>
                <w:sz w:val="18"/>
                <w:szCs w:val="18"/>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89"/>
              </w:rPr>
              <w:t>Vice President, Corporate Controller</w:t>
            </w:r>
          </w:p>
        </w:tc>
      </w:tr>
      <w:tr>
        <w:trPr>
          <w:trHeight w:val="222"/>
        </w:trPr>
        <w:tc>
          <w:tcPr>
            <w:tcW w:w="610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2"/>
              </w:rPr>
              <w:t>(Principal Accounting Officer)</w:t>
            </w:r>
          </w:p>
        </w:tc>
      </w:tr>
      <w:tr>
        <w:trPr>
          <w:trHeight w:val="432"/>
        </w:trPr>
        <w:tc>
          <w:tcPr>
            <w:tcW w:w="6100" w:type="dxa"/>
            <w:vAlign w:val="bottom"/>
          </w:tcPr>
          <w:p>
            <w:pPr>
              <w:spacing w:after="0"/>
              <w:rPr>
                <w:sz w:val="20"/>
                <w:szCs w:val="20"/>
                <w:color w:val="auto"/>
              </w:rPr>
            </w:pPr>
            <w:r>
              <w:rPr>
                <w:rFonts w:ascii="Arial" w:cs="Arial" w:eastAsia="Arial" w:hAnsi="Arial"/>
                <w:sz w:val="18"/>
                <w:szCs w:val="18"/>
                <w:color w:val="auto"/>
              </w:rPr>
              <w:t>Date: August 5, 2010</w:t>
            </w: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6100" w:type="dxa"/>
            <w:vAlign w:val="bottom"/>
          </w:tcPr>
          <w:p>
            <w:pPr>
              <w:ind w:left="5620"/>
              <w:spacing w:after="0"/>
              <w:rPr>
                <w:sz w:val="20"/>
                <w:szCs w:val="20"/>
                <w:color w:val="auto"/>
              </w:rPr>
            </w:pPr>
            <w:r>
              <w:rPr>
                <w:rFonts w:ascii="Arial" w:cs="Arial" w:eastAsia="Arial" w:hAnsi="Arial"/>
                <w:sz w:val="18"/>
                <w:szCs w:val="18"/>
                <w:color w:val="auto"/>
              </w:rPr>
              <w:t>52</w:t>
            </w: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61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rPr>
          <w:rFonts w:ascii="Arial" w:cs="Arial" w:eastAsia="Arial" w:hAnsi="Arial"/>
          <w:sz w:val="22"/>
          <w:szCs w:val="22"/>
          <w:color w:val="0000EE"/>
        </w:rPr>
      </w:pPr>
      <w:hyperlink w:anchor="page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CERTIFICATION OF PRINCIPAL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55" w:name="page56"/>
    <w:bookmarkEnd w:id="55"/>
    <w:p>
      <w:pPr>
        <w:spacing w:after="0"/>
        <w:rPr>
          <w:rFonts w:ascii="Arial" w:cs="Arial" w:eastAsia="Arial" w:hAnsi="Arial"/>
          <w:sz w:val="22"/>
          <w:szCs w:val="22"/>
          <w:color w:val="0000EE"/>
        </w:rPr>
      </w:pPr>
      <w:hyperlink w:anchor="page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CERTIFICATION OF PRINCIPAL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57" w:name="page58"/>
    <w:bookmarkEnd w:id="57"/>
    <w:p>
      <w:pPr>
        <w:spacing w:after="0"/>
        <w:rPr>
          <w:rFonts w:ascii="Arial" w:cs="Arial" w:eastAsia="Arial" w:hAnsi="Arial"/>
          <w:sz w:val="22"/>
          <w:szCs w:val="22"/>
          <w:color w:val="0000EE"/>
        </w:rPr>
      </w:pPr>
      <w:hyperlink w:anchor="page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27, 2010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21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2010</w:t>
      </w:r>
    </w:p>
    <w:p>
      <w:pPr>
        <w:ind w:right="7340"/>
        <w:spacing w:after="0" w:line="485" w:lineRule="auto"/>
        <w:rPr>
          <w:rFonts w:ascii="Arial" w:cs="Arial" w:eastAsia="Arial" w:hAnsi="Arial"/>
          <w:sz w:val="18"/>
          <w:szCs w:val="18"/>
          <w:color w:val="auto"/>
        </w:rPr>
      </w:pPr>
      <w:r>
        <w:rPr>
          <w:rFonts w:ascii="Arial" w:cs="Arial" w:eastAsia="Arial" w:hAnsi="Arial"/>
          <w:sz w:val="18"/>
          <w:szCs w:val="18"/>
          <w:color w:val="auto"/>
        </w:rPr>
        <w:t>KRATOS DEFENSE &amp; SECURITY SOLUTIONS, INC. /s/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59" w:name="page60"/>
    <w:bookmarkEnd w:id="59"/>
    <w:p>
      <w:pPr>
        <w:spacing w:after="0"/>
        <w:rPr>
          <w:rFonts w:ascii="Arial" w:cs="Arial" w:eastAsia="Arial" w:hAnsi="Arial"/>
          <w:sz w:val="22"/>
          <w:szCs w:val="22"/>
          <w:color w:val="0000EE"/>
        </w:rPr>
      </w:pPr>
      <w:hyperlink w:anchor="page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27, 2010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2010</w:t>
      </w:r>
    </w:p>
    <w:p>
      <w:pPr>
        <w:ind w:right="7340"/>
        <w:spacing w:after="0" w:line="485" w:lineRule="auto"/>
        <w:rPr>
          <w:rFonts w:ascii="Arial" w:cs="Arial" w:eastAsia="Arial" w:hAnsi="Arial"/>
          <w:sz w:val="18"/>
          <w:szCs w:val="18"/>
          <w:color w:val="auto"/>
        </w:rPr>
      </w:pPr>
      <w:r>
        <w:rPr>
          <w:rFonts w:ascii="Arial" w:cs="Arial" w:eastAsia="Arial" w:hAnsi="Arial"/>
          <w:sz w:val="18"/>
          <w:szCs w:val="18"/>
          <w:color w:val="auto"/>
        </w:rPr>
        <w:t>KRATOS DEFENSE &amp; SECURITY SOLUTIONS, INC. /s/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2019-12-10T17:48:33Z</dcterms:created>
  <dcterms:modified xsi:type="dcterms:W3CDTF">2019-12-10T17:48:33Z</dcterms:modified>
</cp:coreProperties>
</file>